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9A275" w14:textId="77777777" w:rsidR="00ED5AB4" w:rsidRDefault="00ED5AB4" w:rsidP="003F76D0">
      <w:pPr>
        <w:pStyle w:val="Normal-pool"/>
        <w:jc w:val="center"/>
        <w:rPr>
          <w:sz w:val="48"/>
          <w:szCs w:val="38"/>
        </w:rPr>
      </w:pPr>
    </w:p>
    <w:p w14:paraId="1F2A3035" w14:textId="77777777" w:rsidR="00ED5AB4" w:rsidRDefault="00ED5AB4" w:rsidP="003F76D0">
      <w:pPr>
        <w:pStyle w:val="Normal-pool"/>
        <w:jc w:val="center"/>
        <w:rPr>
          <w:sz w:val="48"/>
          <w:szCs w:val="38"/>
        </w:rPr>
      </w:pPr>
    </w:p>
    <w:p w14:paraId="30882298" w14:textId="77777777" w:rsidR="00ED5AB4" w:rsidRDefault="00ED5AB4" w:rsidP="003F76D0">
      <w:pPr>
        <w:pStyle w:val="Normal-pool"/>
        <w:jc w:val="center"/>
        <w:rPr>
          <w:sz w:val="48"/>
          <w:szCs w:val="38"/>
        </w:rPr>
      </w:pPr>
    </w:p>
    <w:p w14:paraId="71A3E3AD" w14:textId="77777777" w:rsidR="00ED5AB4" w:rsidRPr="00B9064F" w:rsidRDefault="00ED5AB4" w:rsidP="003F76D0">
      <w:pPr>
        <w:pStyle w:val="Normal-pool"/>
        <w:jc w:val="center"/>
        <w:rPr>
          <w:sz w:val="48"/>
          <w:szCs w:val="48"/>
          <w:lang w:val="es-ES"/>
        </w:rPr>
      </w:pPr>
      <w:r w:rsidRPr="00EC6493">
        <w:rPr>
          <w:sz w:val="48"/>
          <w:szCs w:val="48"/>
          <w:lang w:val="es-ES"/>
        </w:rPr>
        <w:t xml:space="preserve">Documento de orientación para la adopción </w:t>
      </w:r>
      <w:r>
        <w:rPr>
          <w:sz w:val="48"/>
          <w:szCs w:val="48"/>
          <w:lang w:val="es-ES"/>
        </w:rPr>
        <w:br/>
      </w:r>
      <w:r w:rsidRPr="00EC6493">
        <w:rPr>
          <w:sz w:val="48"/>
          <w:szCs w:val="48"/>
          <w:lang w:val="es-ES"/>
        </w:rPr>
        <w:t>de decisiones</w:t>
      </w:r>
    </w:p>
    <w:p w14:paraId="37626879" w14:textId="77777777" w:rsidR="00ED5AB4" w:rsidRPr="00B9064F" w:rsidRDefault="00ED5AB4" w:rsidP="003F76D0">
      <w:pPr>
        <w:pStyle w:val="Normal-pool"/>
        <w:jc w:val="center"/>
        <w:rPr>
          <w:sz w:val="48"/>
          <w:szCs w:val="48"/>
          <w:lang w:val="es-ES"/>
        </w:rPr>
      </w:pPr>
    </w:p>
    <w:p w14:paraId="554EB0EA" w14:textId="77777777" w:rsidR="00ED5AB4" w:rsidRPr="00B9064F" w:rsidRDefault="00ED5AB4" w:rsidP="003F76D0">
      <w:pPr>
        <w:pStyle w:val="Normal-pool"/>
        <w:jc w:val="center"/>
        <w:rPr>
          <w:sz w:val="48"/>
          <w:szCs w:val="48"/>
          <w:lang w:val="es-ES"/>
        </w:rPr>
      </w:pPr>
      <w:proofErr w:type="spellStart"/>
      <w:r w:rsidRPr="00EC6493">
        <w:rPr>
          <w:sz w:val="48"/>
          <w:szCs w:val="48"/>
          <w:lang w:val="es-ES"/>
        </w:rPr>
        <w:t>Fentión</w:t>
      </w:r>
      <w:proofErr w:type="spellEnd"/>
      <w:r w:rsidRPr="00EC6493">
        <w:rPr>
          <w:sz w:val="48"/>
          <w:szCs w:val="48"/>
          <w:lang w:val="es-ES"/>
        </w:rPr>
        <w:t xml:space="preserve"> (formulaciones de ultra bajo volumen de 640 g/l de ingrediente activo o por encima de </w:t>
      </w:r>
      <w:r>
        <w:rPr>
          <w:sz w:val="48"/>
          <w:szCs w:val="48"/>
          <w:lang w:val="es-ES"/>
        </w:rPr>
        <w:br/>
      </w:r>
      <w:r w:rsidRPr="00EC6493">
        <w:rPr>
          <w:sz w:val="48"/>
          <w:szCs w:val="48"/>
          <w:lang w:val="es-ES"/>
        </w:rPr>
        <w:t>ese nivel)</w:t>
      </w:r>
    </w:p>
    <w:p w14:paraId="46E5DB5F" w14:textId="77777777" w:rsidR="00ED5AB4" w:rsidRPr="00B9064F" w:rsidRDefault="00ED5AB4" w:rsidP="003F76D0">
      <w:pPr>
        <w:pStyle w:val="Normal-pool"/>
        <w:jc w:val="center"/>
        <w:rPr>
          <w:szCs w:val="36"/>
          <w:lang w:val="es-ES"/>
        </w:rPr>
      </w:pPr>
    </w:p>
    <w:p w14:paraId="7B1DA798" w14:textId="77777777" w:rsidR="00ED5AB4" w:rsidRPr="00B9064F" w:rsidRDefault="00ED5AB4" w:rsidP="003F76D0">
      <w:pPr>
        <w:pStyle w:val="Normal-pool"/>
        <w:jc w:val="center"/>
        <w:rPr>
          <w:szCs w:val="36"/>
          <w:lang w:val="es-ES"/>
        </w:rPr>
      </w:pPr>
    </w:p>
    <w:p w14:paraId="3BB37B7D" w14:textId="77777777" w:rsidR="00ED5AB4" w:rsidRPr="00B9064F" w:rsidRDefault="00ED5AB4" w:rsidP="00976043">
      <w:pPr>
        <w:pStyle w:val="NormalNonumber"/>
        <w:tabs>
          <w:tab w:val="clear" w:pos="1247"/>
        </w:tabs>
        <w:rPr>
          <w:lang w:val="es-ES"/>
        </w:rPr>
      </w:pPr>
    </w:p>
    <w:p w14:paraId="6F953B41" w14:textId="77777777" w:rsidR="00ED5AB4" w:rsidRPr="00B9064F" w:rsidRDefault="00ED5AB4" w:rsidP="00011317">
      <w:pPr>
        <w:pStyle w:val="Normal-pool"/>
        <w:spacing w:before="320"/>
        <w:jc w:val="center"/>
        <w:rPr>
          <w:sz w:val="36"/>
          <w:szCs w:val="36"/>
          <w:lang w:val="es-ES"/>
        </w:rPr>
      </w:pPr>
    </w:p>
    <w:p w14:paraId="4B0F2C71" w14:textId="77777777" w:rsidR="00ED5AB4" w:rsidRPr="00B9064F" w:rsidRDefault="00ED5AB4" w:rsidP="00595271">
      <w:pPr>
        <w:pStyle w:val="Normal-pool"/>
        <w:spacing w:before="320"/>
        <w:jc w:val="center"/>
        <w:rPr>
          <w:sz w:val="56"/>
          <w:szCs w:val="56"/>
          <w:lang w:val="es-ES"/>
        </w:rPr>
      </w:pPr>
      <w:r w:rsidRPr="00EC6493">
        <w:rPr>
          <w:sz w:val="36"/>
          <w:szCs w:val="36"/>
          <w:lang w:val="es-ES"/>
        </w:rPr>
        <w:t>Convenio de Rotterdam</w:t>
      </w:r>
    </w:p>
    <w:p w14:paraId="2028C065" w14:textId="77777777" w:rsidR="00ED5AB4" w:rsidRPr="00B9064F" w:rsidRDefault="00ED5AB4" w:rsidP="00265DF8">
      <w:pPr>
        <w:pStyle w:val="Normal-pool"/>
        <w:jc w:val="center"/>
        <w:rPr>
          <w:sz w:val="56"/>
          <w:szCs w:val="56"/>
          <w:lang w:val="es-ES"/>
        </w:rPr>
      </w:pPr>
    </w:p>
    <w:p w14:paraId="5669B842" w14:textId="77777777" w:rsidR="00ED5AB4" w:rsidRPr="00B9064F" w:rsidRDefault="00ED5AB4" w:rsidP="00265DF8">
      <w:pPr>
        <w:pStyle w:val="Normal-pool"/>
        <w:jc w:val="center"/>
        <w:rPr>
          <w:sz w:val="56"/>
          <w:szCs w:val="56"/>
          <w:lang w:val="es-ES"/>
        </w:rPr>
      </w:pPr>
      <w:r w:rsidRPr="00EC6493">
        <w:rPr>
          <w:sz w:val="36"/>
          <w:szCs w:val="36"/>
          <w:lang w:val="es-ES"/>
        </w:rPr>
        <w:t>Aplicación del procedimiento de consentimiento fundamentado previo a productos químicos prohibidos o rigurosamente restringidos</w:t>
      </w:r>
    </w:p>
    <w:p w14:paraId="30CEA673" w14:textId="77777777" w:rsidR="00ED5AB4" w:rsidRPr="00B9064F" w:rsidRDefault="00ED5AB4" w:rsidP="00265DF8">
      <w:pPr>
        <w:pStyle w:val="Normal-pool"/>
        <w:jc w:val="center"/>
        <w:rPr>
          <w:sz w:val="38"/>
          <w:szCs w:val="38"/>
          <w:lang w:val="es-ES"/>
        </w:rPr>
      </w:pPr>
    </w:p>
    <w:p w14:paraId="02D467E4" w14:textId="77777777" w:rsidR="00ED5AB4" w:rsidRPr="00B9064F" w:rsidRDefault="00ED5AB4" w:rsidP="00265DF8">
      <w:pPr>
        <w:pStyle w:val="Normal-pool"/>
        <w:jc w:val="center"/>
        <w:rPr>
          <w:sz w:val="52"/>
          <w:szCs w:val="38"/>
          <w:lang w:val="es-ES"/>
        </w:rPr>
      </w:pPr>
    </w:p>
    <w:p w14:paraId="29A24EB3" w14:textId="77777777" w:rsidR="00ED5AB4" w:rsidRPr="00B9064F" w:rsidRDefault="00ED5AB4" w:rsidP="00265DF8">
      <w:pPr>
        <w:pStyle w:val="Normal-pool"/>
        <w:jc w:val="center"/>
        <w:rPr>
          <w:szCs w:val="36"/>
          <w:lang w:val="es-ES"/>
        </w:rPr>
      </w:pPr>
    </w:p>
    <w:p w14:paraId="52B1FDB3" w14:textId="77777777" w:rsidR="00ED5AB4" w:rsidRPr="00B9064F" w:rsidRDefault="00ED5AB4" w:rsidP="00265DF8">
      <w:pPr>
        <w:pStyle w:val="Normal-pool"/>
        <w:jc w:val="center"/>
        <w:rPr>
          <w:szCs w:val="36"/>
          <w:lang w:val="es-ES"/>
        </w:rPr>
      </w:pPr>
    </w:p>
    <w:p w14:paraId="115E9040" w14:textId="77777777" w:rsidR="00ED5AB4" w:rsidRPr="00B9064F" w:rsidRDefault="00ED5AB4" w:rsidP="00265DF8">
      <w:pPr>
        <w:pStyle w:val="Normal-pool"/>
        <w:jc w:val="center"/>
        <w:rPr>
          <w:szCs w:val="36"/>
          <w:lang w:val="es-ES"/>
        </w:rPr>
      </w:pPr>
    </w:p>
    <w:p w14:paraId="73D0A104" w14:textId="77777777" w:rsidR="00ED5AB4" w:rsidRPr="00B9064F" w:rsidRDefault="00ED5AB4" w:rsidP="00265DF8">
      <w:pPr>
        <w:pStyle w:val="Normal-pool"/>
        <w:jc w:val="center"/>
        <w:rPr>
          <w:szCs w:val="36"/>
          <w:lang w:val="es-ES"/>
        </w:rPr>
      </w:pPr>
    </w:p>
    <w:p w14:paraId="25BE1861" w14:textId="77777777" w:rsidR="00ED5AB4" w:rsidRPr="00B9064F" w:rsidRDefault="00ED5AB4" w:rsidP="00265DF8">
      <w:pPr>
        <w:pStyle w:val="Normal-pool"/>
        <w:jc w:val="center"/>
        <w:rPr>
          <w:szCs w:val="36"/>
          <w:lang w:val="es-ES"/>
        </w:rPr>
      </w:pPr>
    </w:p>
    <w:p w14:paraId="08BA19E2" w14:textId="77777777" w:rsidR="00ED5AB4" w:rsidRPr="00B9064F" w:rsidRDefault="00ED5AB4" w:rsidP="00265DF8">
      <w:pPr>
        <w:pStyle w:val="Normal-pool"/>
        <w:jc w:val="center"/>
        <w:rPr>
          <w:szCs w:val="36"/>
          <w:lang w:val="es-ES"/>
        </w:rPr>
      </w:pPr>
    </w:p>
    <w:p w14:paraId="667FA201" w14:textId="77777777" w:rsidR="00ED5AB4" w:rsidRPr="00B9064F" w:rsidRDefault="00ED5AB4" w:rsidP="00EC6493">
      <w:pPr>
        <w:pStyle w:val="Normal-pool"/>
        <w:rPr>
          <w:szCs w:val="36"/>
          <w:lang w:val="es-ES"/>
        </w:rPr>
      </w:pPr>
    </w:p>
    <w:p w14:paraId="4976F553" w14:textId="77777777" w:rsidR="00ED5AB4" w:rsidRPr="00B9064F" w:rsidRDefault="00ED5AB4" w:rsidP="00265DF8">
      <w:pPr>
        <w:pStyle w:val="Normal-pool"/>
        <w:jc w:val="center"/>
        <w:rPr>
          <w:szCs w:val="36"/>
          <w:lang w:val="es-ES"/>
        </w:rPr>
      </w:pPr>
    </w:p>
    <w:tbl>
      <w:tblPr>
        <w:tblW w:w="0" w:type="auto"/>
        <w:tblInd w:w="-318" w:type="dxa"/>
        <w:tblLayout w:type="fixed"/>
        <w:tblLook w:val="0000" w:firstRow="0" w:lastRow="0" w:firstColumn="0" w:lastColumn="0" w:noHBand="0" w:noVBand="0"/>
      </w:tblPr>
      <w:tblGrid>
        <w:gridCol w:w="1419"/>
        <w:gridCol w:w="8221"/>
        <w:gridCol w:w="8221"/>
      </w:tblGrid>
      <w:tr w:rsidR="00ED5AB4" w:rsidRPr="00ED5AB4" w14:paraId="26D17D35" w14:textId="77777777" w:rsidTr="00303A5B">
        <w:tc>
          <w:tcPr>
            <w:tcW w:w="1419" w:type="dxa"/>
          </w:tcPr>
          <w:p w14:paraId="73AE5FBE" w14:textId="77777777" w:rsidR="00ED5AB4" w:rsidRPr="00864712" w:rsidRDefault="00ED5AB4" w:rsidP="00366A34">
            <w:r w:rsidRPr="00864712">
              <w:rPr>
                <w:color w:val="000000"/>
              </w:rPr>
              <w:fldChar w:fldCharType="begin" w:fldLock="1"/>
            </w:r>
            <w:r w:rsidRPr="00864712">
              <w:rPr>
                <w:color w:val="000000"/>
              </w:rPr>
              <w:instrText>IMPORT S:\\Marin\\Agenda\\!OLEGENE.WPG</w:instrText>
            </w:r>
            <w:r w:rsidRPr="00864712">
              <w:rPr>
                <w:color w:val="000000"/>
              </w:rPr>
              <w:fldChar w:fldCharType="separate"/>
            </w:r>
            <w:r w:rsidRPr="00864712">
              <w:rPr>
                <w:noProof/>
                <w:color w:val="000000"/>
                <w:lang w:eastAsia="zh-CN"/>
              </w:rPr>
              <w:drawing>
                <wp:inline distT="0" distB="0" distL="0" distR="0" wp14:anchorId="75D599A3" wp14:editId="1E73EA11">
                  <wp:extent cx="586740" cy="586740"/>
                  <wp:effectExtent l="0" t="0" r="3810" b="3810"/>
                  <wp:docPr id="4" name="Picture 4" descr="S:\Marin\Agenda\!OLEGENE.W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Marin\Agenda\!OLEGENE.W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6740" cy="586740"/>
                          </a:xfrm>
                          <a:prstGeom prst="rect">
                            <a:avLst/>
                          </a:prstGeom>
                          <a:noFill/>
                          <a:ln>
                            <a:noFill/>
                          </a:ln>
                        </pic:spPr>
                      </pic:pic>
                    </a:graphicData>
                  </a:graphic>
                </wp:inline>
              </w:drawing>
            </w:r>
            <w:r w:rsidRPr="00864712">
              <w:rPr>
                <w:color w:val="000000"/>
              </w:rPr>
              <w:fldChar w:fldCharType="end"/>
            </w:r>
          </w:p>
          <w:p w14:paraId="039C0020" w14:textId="77777777" w:rsidR="00ED5AB4" w:rsidRPr="00864712" w:rsidRDefault="00ED5AB4" w:rsidP="00366A34"/>
          <w:p w14:paraId="12BD8818" w14:textId="77777777" w:rsidR="00ED5AB4" w:rsidRPr="00B9064F" w:rsidRDefault="00ED5AB4" w:rsidP="00B9064F">
            <w:pPr>
              <w:rPr>
                <w:color w:val="000000"/>
                <w:lang w:val="es-ES"/>
              </w:rPr>
            </w:pPr>
            <w:r w:rsidRPr="00B9064F">
              <w:rPr>
                <w:noProof/>
                <w:color w:val="000000"/>
                <w:lang w:val="es-ES"/>
              </w:rPr>
              <w:drawing>
                <wp:inline distT="0" distB="0" distL="0" distR="0" wp14:anchorId="5FE75EB9" wp14:editId="4A29C329">
                  <wp:extent cx="711200" cy="749036"/>
                  <wp:effectExtent l="0" t="0" r="0" b="0"/>
                  <wp:docPr id="4222384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2637" cy="750550"/>
                          </a:xfrm>
                          <a:prstGeom prst="rect">
                            <a:avLst/>
                          </a:prstGeom>
                          <a:noFill/>
                          <a:ln>
                            <a:noFill/>
                          </a:ln>
                        </pic:spPr>
                      </pic:pic>
                    </a:graphicData>
                  </a:graphic>
                </wp:inline>
              </w:drawing>
            </w:r>
          </w:p>
          <w:p w14:paraId="0C1ACA9A" w14:textId="77777777" w:rsidR="00ED5AB4" w:rsidRPr="00864712" w:rsidRDefault="00ED5AB4" w:rsidP="00366A34">
            <w:r w:rsidRPr="00864712">
              <w:rPr>
                <w:color w:val="000000"/>
              </w:rPr>
              <w:fldChar w:fldCharType="begin" w:fldLock="1"/>
            </w:r>
            <w:r w:rsidRPr="00864712">
              <w:rPr>
                <w:color w:val="000000"/>
              </w:rPr>
              <w:instrText>IMPORT S:\\Marin\\Agenda\\!UNEP.WPG</w:instrText>
            </w:r>
            <w:r w:rsidRPr="00864712">
              <w:rPr>
                <w:color w:val="000000"/>
              </w:rPr>
              <w:fldChar w:fldCharType="separate"/>
            </w:r>
            <w:r w:rsidRPr="00864712">
              <w:rPr>
                <w:color w:val="000000"/>
              </w:rPr>
              <w:fldChar w:fldCharType="end"/>
            </w:r>
          </w:p>
        </w:tc>
        <w:tc>
          <w:tcPr>
            <w:tcW w:w="8221" w:type="dxa"/>
          </w:tcPr>
          <w:p w14:paraId="7ADB2D2A" w14:textId="77777777" w:rsidR="00ED5AB4" w:rsidRPr="00B9064F" w:rsidRDefault="00ED5AB4" w:rsidP="009D0D83">
            <w:pPr>
              <w:spacing w:before="40" w:after="60"/>
              <w:ind w:right="1593"/>
              <w:outlineLvl w:val="0"/>
              <w:rPr>
                <w:b/>
                <w:bCs/>
                <w:kern w:val="28"/>
                <w:sz w:val="36"/>
                <w:szCs w:val="36"/>
                <w:lang w:val="es-ES"/>
              </w:rPr>
            </w:pPr>
            <w:r w:rsidRPr="00EC6493">
              <w:rPr>
                <w:b/>
                <w:bCs/>
                <w:color w:val="000000"/>
                <w:sz w:val="36"/>
                <w:szCs w:val="36"/>
                <w:lang w:val="es-ES"/>
              </w:rPr>
              <w:t>Secretaría del Convenio de Rotterdam sobre el Procedimiento de Consentimiento Fundamentado Previo Aplicable a Ciertos Plaguicidas y Productos Químicos Peligrosos Objeto de Comercio Internacional</w:t>
            </w:r>
          </w:p>
        </w:tc>
        <w:tc>
          <w:tcPr>
            <w:tcW w:w="8221" w:type="dxa"/>
          </w:tcPr>
          <w:p w14:paraId="45609F71" w14:textId="77777777" w:rsidR="00ED5AB4" w:rsidRPr="00B9064F" w:rsidRDefault="00ED5AB4" w:rsidP="00366A34">
            <w:pPr>
              <w:rPr>
                <w:sz w:val="16"/>
                <w:szCs w:val="28"/>
                <w:lang w:val="es-ES"/>
              </w:rPr>
            </w:pPr>
          </w:p>
        </w:tc>
      </w:tr>
    </w:tbl>
    <w:p w14:paraId="4DBD14D9" w14:textId="77777777" w:rsidR="00ED5AB4" w:rsidRPr="00B9064F" w:rsidRDefault="00ED5AB4" w:rsidP="00265DF8">
      <w:pPr>
        <w:pStyle w:val="Normal-pool"/>
        <w:rPr>
          <w:lang w:val="es-ES"/>
        </w:rPr>
        <w:sectPr w:rsidR="00ED5AB4" w:rsidRPr="00B9064F" w:rsidSect="00ED5AB4">
          <w:headerReference w:type="first" r:id="rId13"/>
          <w:footerReference w:type="first" r:id="rId14"/>
          <w:type w:val="continuous"/>
          <w:pgSz w:w="11907" w:h="16840" w:code="9"/>
          <w:pgMar w:top="907" w:right="992" w:bottom="1418" w:left="1418" w:header="539" w:footer="975" w:gutter="0"/>
          <w:cols w:space="708"/>
          <w:titlePg/>
          <w:docGrid w:linePitch="326"/>
        </w:sectPr>
      </w:pPr>
    </w:p>
    <w:p w14:paraId="69D5A451" w14:textId="77777777" w:rsidR="00ED5AB4" w:rsidRPr="00ED5AB4" w:rsidRDefault="00ED5AB4" w:rsidP="007C5C6A">
      <w:pPr>
        <w:pStyle w:val="Normal-pool"/>
        <w:spacing w:after="120"/>
        <w:ind w:left="1247"/>
        <w:rPr>
          <w:b/>
          <w:bCs/>
          <w:sz w:val="32"/>
          <w:szCs w:val="32"/>
          <w:lang w:val="es-ES"/>
        </w:rPr>
      </w:pPr>
      <w:r w:rsidRPr="00ED5AB4">
        <w:rPr>
          <w:b/>
          <w:bCs/>
          <w:sz w:val="24"/>
          <w:szCs w:val="24"/>
          <w:lang w:val="es-ES"/>
        </w:rPr>
        <w:t>Introducción</w:t>
      </w:r>
    </w:p>
    <w:p w14:paraId="440DAF50" w14:textId="77777777" w:rsidR="00ED5AB4" w:rsidRPr="00B9064F" w:rsidRDefault="00ED5AB4" w:rsidP="00265DF8">
      <w:pPr>
        <w:pStyle w:val="Normal-pool"/>
        <w:spacing w:after="120"/>
        <w:ind w:left="1247"/>
        <w:rPr>
          <w:lang w:val="es-ES"/>
        </w:rPr>
      </w:pPr>
      <w:r>
        <w:rPr>
          <w:lang w:val="es-ES"/>
        </w:rPr>
        <w:t>El objetivo del Convenio de Rotterdam es promover la responsabilidad compartida y los esfuerzos conjuntos de las Partes en el comercio internacional de ciertos productos químicos peligrosos a fin de proteger la salud humana y el medio ambiente frente a posibles daños y contribuir a su utilización ambientalmente racional, facilitando el intercambio de información sobre sus características, estableciendo un proceso nacional de adopción de decisiones sobre su importación y exportación y difundiendo esas decisiones a las Partes. El Programa de las Naciones Unidas para el Medio Ambiente (PNUMA) y la Organización de las Naciones Unidas para la Alimentación y la Agricultura (FAO) ejercen conjuntamente las funciones de Secretaría del Convenio.</w:t>
      </w:r>
    </w:p>
    <w:p w14:paraId="5C0B5B84" w14:textId="77777777" w:rsidR="00ED5AB4" w:rsidRPr="00B9064F" w:rsidRDefault="00ED5AB4" w:rsidP="00265DF8">
      <w:pPr>
        <w:pStyle w:val="Normal-pool"/>
        <w:spacing w:after="120"/>
        <w:ind w:left="1247"/>
        <w:rPr>
          <w:lang w:val="es-ES"/>
        </w:rPr>
      </w:pPr>
      <w:r>
        <w:rPr>
          <w:lang w:val="es-ES"/>
        </w:rPr>
        <w:t xml:space="preserve">Entre los productos químicos propuestos para su inclusión en el Convenio de Rotterdam se incluyen las formulaciones plaguicidas extremadamente peligrosas. A los fines del Convenio de Rotterdam, las formulaciones plaguicidas extremadamente peligrosas son aquellas propuestas por un país en desarrollo o país con economía en transición que experimente problemas causados por esas formulaciones en las condiciones en que se usan en su territorio. La inclusión de una formulación plaguicida extremadamente peligrosa en el Convenio se basa en la propuesta presentada por un país en desarrollo o país con economía en transición y en la información adicional recopilada por la Secretaría de conformidad con las partes 1 y 2 del anexo IV del Convenio. Para cada producto químico incluido en el Convenio de Rotterdam, se solicita a las Partes que adopten una decisión fundamentada sobre si dan su consentimiento acerca de la futura importación del producto químico.  </w:t>
      </w:r>
    </w:p>
    <w:p w14:paraId="3AC2AD6C" w14:textId="77777777" w:rsidR="00ED5AB4" w:rsidRPr="00B9064F" w:rsidRDefault="00ED5AB4" w:rsidP="00265DF8">
      <w:pPr>
        <w:pStyle w:val="Normal-pool"/>
        <w:spacing w:after="120"/>
        <w:ind w:left="1247"/>
        <w:rPr>
          <w:lang w:val="es-ES"/>
        </w:rPr>
      </w:pPr>
      <w:r>
        <w:rPr>
          <w:lang w:val="es-ES"/>
        </w:rPr>
        <w:t xml:space="preserve">En su 12ª reunión, celebrada en Ginebra los días 28 de abril a 9 de mayo de 2025, la Conferencia de las Partes acordó incluir el </w:t>
      </w:r>
      <w:proofErr w:type="spellStart"/>
      <w:r>
        <w:rPr>
          <w:lang w:val="es-ES"/>
        </w:rPr>
        <w:t>fentión</w:t>
      </w:r>
      <w:proofErr w:type="spellEnd"/>
      <w:r>
        <w:rPr>
          <w:lang w:val="es-ES"/>
        </w:rPr>
        <w:t xml:space="preserve"> (formulaciones de ultra bajo volumen de 640 g/l de ingrediente activo o por encima de ese nivel) en el anexo III del Convenio y aprobó el documento de orientación para la adopción de decisiones a los efectos de que ese grupo de productos químicos quedase sujeto al procedimiento del consentimiento fundamentado previo.</w:t>
      </w:r>
    </w:p>
    <w:p w14:paraId="5983D33D" w14:textId="77777777" w:rsidR="00ED5AB4" w:rsidRPr="00B9064F" w:rsidRDefault="00ED5AB4" w:rsidP="00265DF8">
      <w:pPr>
        <w:pStyle w:val="Normal-pool"/>
        <w:spacing w:after="120"/>
        <w:ind w:left="1247"/>
        <w:rPr>
          <w:lang w:val="es-ES"/>
        </w:rPr>
      </w:pPr>
      <w:r>
        <w:rPr>
          <w:lang w:val="es-ES"/>
        </w:rPr>
        <w:t>El presente documento de orientación para la adopción de decisiones se transmitió a las autoridades nacionales designadas el 22 de octubre de 2025, de conformidad con los artículos 7 y 10 del Convenio de Rotterdam.</w:t>
      </w:r>
    </w:p>
    <w:p w14:paraId="152D2B52" w14:textId="77777777" w:rsidR="00114789" w:rsidRPr="00B92FD5" w:rsidRDefault="00114789" w:rsidP="00E20D59">
      <w:pPr>
        <w:pStyle w:val="Normal-pool"/>
        <w:spacing w:before="240" w:after="120"/>
        <w:ind w:left="1247"/>
        <w:rPr>
          <w:b/>
          <w:bCs/>
          <w:sz w:val="24"/>
          <w:szCs w:val="24"/>
          <w:lang w:val="es-ES_tradnl"/>
        </w:rPr>
      </w:pPr>
      <w:bookmarkStart w:id="0" w:name="EndSectionTitle:3.5__SELECTION,_TRAINING"/>
      <w:bookmarkStart w:id="1" w:name="SectionTitle:3.6__ADDITIONAL_REGULATIONS"/>
      <w:bookmarkEnd w:id="0"/>
      <w:bookmarkEnd w:id="1"/>
      <w:r w:rsidRPr="00B92FD5">
        <w:rPr>
          <w:b/>
          <w:bCs/>
          <w:sz w:val="24"/>
          <w:szCs w:val="24"/>
          <w:lang w:val="es-ES_tradnl"/>
        </w:rPr>
        <w:t xml:space="preserve">Finalidad del documento de orientación para la adopción de decisiones </w:t>
      </w:r>
    </w:p>
    <w:p w14:paraId="00E39B5F" w14:textId="77777777" w:rsidR="00114789" w:rsidRPr="00B92FD5" w:rsidRDefault="00114789" w:rsidP="00E20D59">
      <w:pPr>
        <w:pStyle w:val="Normal-pool"/>
        <w:spacing w:after="120"/>
        <w:ind w:left="1247"/>
        <w:rPr>
          <w:lang w:val="es-ES_tradnl" w:eastAsia="es-ES" w:bidi="es-ES"/>
        </w:rPr>
      </w:pPr>
      <w:r w:rsidRPr="00B92FD5">
        <w:rPr>
          <w:lang w:val="es-ES_tradnl" w:eastAsia="es-ES" w:bidi="es-ES"/>
        </w:rPr>
        <w:t xml:space="preserve">Para cada producto químico incluido en el anexo III del Convenio de Rotterdam, la Conferencia de las Partes aprueba un documento de orientación para la adopción de decisiones. Los documentos de orientación para la adopción de decisiones se envían a </w:t>
      </w:r>
      <w:r w:rsidRPr="00B92FD5">
        <w:rPr>
          <w:lang w:val="es-ES_tradnl"/>
        </w:rPr>
        <w:t>todas</w:t>
      </w:r>
      <w:r w:rsidRPr="00B92FD5">
        <w:rPr>
          <w:lang w:val="es-ES_tradnl" w:eastAsia="es-ES" w:bidi="es-ES"/>
        </w:rPr>
        <w:t xml:space="preserve"> las Partes solicitándoseles que remitan una respuesta con respecto a la decisión sobre las futuras importaciones del producto químico. </w:t>
      </w:r>
    </w:p>
    <w:p w14:paraId="36CC2FEE" w14:textId="77777777" w:rsidR="00114789" w:rsidRPr="00B92FD5" w:rsidRDefault="00114789" w:rsidP="00E20D59">
      <w:pPr>
        <w:pStyle w:val="Normal-pool"/>
        <w:spacing w:after="120"/>
        <w:ind w:left="1247"/>
        <w:rPr>
          <w:lang w:val="es-ES_tradnl" w:eastAsia="es-ES" w:bidi="es-ES"/>
        </w:rPr>
      </w:pPr>
      <w:r w:rsidRPr="00B92FD5">
        <w:rPr>
          <w:lang w:val="es-ES_tradnl" w:eastAsia="es-ES" w:bidi="es-ES"/>
        </w:rPr>
        <w:t xml:space="preserve">El Comité de Examen de Productos Químicos elabora el documento de orientación para la adopción de decisiones. El Comité es un grupo de expertos designados por los gobiernos según lo establecido en el artículo 18 del Convenio, encargado de evaluar los productos químicos y las formulaciones plaguicidas extremadamente peligrosas propuestos para su posible inclusión en el anexo III del Convenio. El documento de orientación para la adopción de decisiones respecto de una formulación </w:t>
      </w:r>
      <w:r w:rsidRPr="00B92FD5">
        <w:rPr>
          <w:lang w:val="es-ES_tradnl"/>
        </w:rPr>
        <w:t>plaguicida</w:t>
      </w:r>
      <w:r w:rsidRPr="00B92FD5">
        <w:rPr>
          <w:lang w:val="es-ES_tradnl" w:eastAsia="es-ES" w:bidi="es-ES"/>
        </w:rPr>
        <w:t xml:space="preserve"> extremadamente peligrosa refleja la información proporcionada por un país en desarrollo o país con economía en transición y la información adicional recopilada por la secretaría de conformidad con las partes 1 y 2 del anexo IV del Convenio. No se considera la única fuente de información sobre un producto químico ni tampoco se actualiza o revisa una vez adoptado por la Conferencia de las Partes.</w:t>
      </w:r>
    </w:p>
    <w:p w14:paraId="52577B94" w14:textId="77777777" w:rsidR="00114789" w:rsidRPr="00B92FD5" w:rsidRDefault="00114789" w:rsidP="00E20D59">
      <w:pPr>
        <w:pStyle w:val="Normal-pool"/>
        <w:spacing w:after="120"/>
        <w:ind w:left="1247"/>
        <w:rPr>
          <w:lang w:val="es-ES_tradnl" w:eastAsia="es-ES" w:bidi="es-ES"/>
        </w:rPr>
      </w:pPr>
      <w:r w:rsidRPr="00B92FD5">
        <w:rPr>
          <w:lang w:val="es-ES_tradnl" w:eastAsia="es-ES" w:bidi="es-ES"/>
        </w:rPr>
        <w:t>Puede llegar a haber más Partes que hayan experimentado problemas causados por esos productos químicos o hayan tomado medidas reglamentarias para prohibir o restringir rigurosamente el producto químico, así como también otras que no hayan experimentado problemas ni tomado medida reglamentaria alguna. Las evaluaciones del riesgo o la información sobre medidas alternativas de mitigación presentadas por dichas Partes pueden encontrarse en el sitio web del Convenio de Rotterdam (www.pic.int).</w:t>
      </w:r>
    </w:p>
    <w:p w14:paraId="012CB1F7" w14:textId="77777777" w:rsidR="00114789" w:rsidRPr="00B92FD5" w:rsidRDefault="00114789" w:rsidP="00E20D59">
      <w:pPr>
        <w:pStyle w:val="Normal-pool"/>
        <w:spacing w:after="120"/>
        <w:ind w:left="1247"/>
        <w:rPr>
          <w:lang w:val="es-ES_tradnl" w:eastAsia="es-ES" w:bidi="es-ES"/>
        </w:rPr>
      </w:pPr>
      <w:r w:rsidRPr="00B92FD5">
        <w:rPr>
          <w:lang w:val="es-ES_tradnl" w:eastAsia="es-ES" w:bidi="es-ES"/>
        </w:rPr>
        <w:t xml:space="preserve">Según se establece en el artículo 14 del Convenio, las Partes pueden intercambiar información científica, técnica, económica y jurídica relativa a los productos químicos bajo </w:t>
      </w:r>
      <w:r w:rsidRPr="00B92FD5">
        <w:rPr>
          <w:lang w:val="es-ES_tradnl"/>
        </w:rPr>
        <w:t>el</w:t>
      </w:r>
      <w:r w:rsidRPr="00B92FD5">
        <w:rPr>
          <w:lang w:val="es-ES_tradnl" w:eastAsia="es-ES" w:bidi="es-ES"/>
        </w:rPr>
        <w:t xml:space="preserve"> ámbito de aplicación del Convenio, incluyendo información toxicológica, </w:t>
      </w:r>
      <w:proofErr w:type="spellStart"/>
      <w:r w:rsidRPr="00B92FD5">
        <w:rPr>
          <w:lang w:val="es-ES_tradnl" w:eastAsia="es-ES" w:bidi="es-ES"/>
        </w:rPr>
        <w:t>ecotoxicológica</w:t>
      </w:r>
      <w:proofErr w:type="spellEnd"/>
      <w:r w:rsidRPr="00B92FD5">
        <w:rPr>
          <w:lang w:val="es-ES_tradnl" w:eastAsia="es-ES" w:bidi="es-ES"/>
        </w:rPr>
        <w:t xml:space="preserve"> y de seguridad. Esta información puede ser enviada directamente a las otras Partes directamente o a través de la secretaría. La información enviada a la secretaría será publicada en el sitio web del Convenio de Rotterdam.</w:t>
      </w:r>
    </w:p>
    <w:p w14:paraId="2AB3F200" w14:textId="77777777" w:rsidR="00114789" w:rsidRPr="00B92FD5" w:rsidRDefault="00114789" w:rsidP="00E20D59">
      <w:pPr>
        <w:pStyle w:val="Normal-pool"/>
        <w:spacing w:after="120"/>
        <w:ind w:left="1247"/>
        <w:rPr>
          <w:lang w:val="es-ES_tradnl" w:eastAsia="es-ES" w:bidi="es-ES"/>
        </w:rPr>
      </w:pPr>
      <w:r w:rsidRPr="00B92FD5">
        <w:rPr>
          <w:lang w:val="es-ES_tradnl" w:eastAsia="es-ES" w:bidi="es-ES"/>
        </w:rPr>
        <w:t xml:space="preserve">Tal vez se pueda encontrar en otras fuentes más </w:t>
      </w:r>
      <w:r w:rsidRPr="00B92FD5">
        <w:rPr>
          <w:lang w:val="es-ES_tradnl"/>
        </w:rPr>
        <w:t>información</w:t>
      </w:r>
      <w:r w:rsidRPr="00B92FD5">
        <w:rPr>
          <w:lang w:val="es-ES_tradnl" w:eastAsia="es-ES" w:bidi="es-ES"/>
        </w:rPr>
        <w:t xml:space="preserve"> sobre el producto químico.</w:t>
      </w:r>
    </w:p>
    <w:p w14:paraId="11DF1CC2" w14:textId="77777777" w:rsidR="00ED5AB4" w:rsidRDefault="00ED5AB4" w:rsidP="00E20D59">
      <w:pPr>
        <w:pStyle w:val="Normal-pool"/>
        <w:spacing w:before="240" w:after="120"/>
        <w:ind w:left="1247"/>
        <w:rPr>
          <w:b/>
          <w:bCs/>
          <w:sz w:val="24"/>
          <w:szCs w:val="24"/>
          <w:lang w:val="es-ES_tradnl"/>
        </w:rPr>
      </w:pPr>
    </w:p>
    <w:p w14:paraId="5457B65A" w14:textId="3792B2B8" w:rsidR="00114789" w:rsidRPr="00B92FD5" w:rsidRDefault="00114789" w:rsidP="00E20D59">
      <w:pPr>
        <w:pStyle w:val="Normal-pool"/>
        <w:spacing w:before="240" w:after="120"/>
        <w:ind w:left="1247"/>
        <w:rPr>
          <w:b/>
          <w:bCs/>
          <w:sz w:val="24"/>
          <w:szCs w:val="24"/>
          <w:lang w:val="es-ES_tradnl"/>
        </w:rPr>
      </w:pPr>
      <w:r w:rsidRPr="00B92FD5">
        <w:rPr>
          <w:b/>
          <w:bCs/>
          <w:sz w:val="24"/>
          <w:szCs w:val="24"/>
          <w:lang w:val="es-ES_tradnl"/>
        </w:rPr>
        <w:t>Descargo de responsabilidad</w:t>
      </w:r>
    </w:p>
    <w:p w14:paraId="43FB838F" w14:textId="294CDE4B" w:rsidR="00114789" w:rsidRPr="00B92FD5" w:rsidRDefault="00114789" w:rsidP="00E20D59">
      <w:pPr>
        <w:pStyle w:val="Normal-pool"/>
        <w:spacing w:after="120"/>
        <w:ind w:left="1247"/>
        <w:rPr>
          <w:lang w:val="es-ES_tradnl" w:eastAsia="es-ES" w:bidi="es-ES"/>
        </w:rPr>
      </w:pPr>
      <w:r w:rsidRPr="00B92FD5">
        <w:rPr>
          <w:lang w:val="es-ES_tradnl" w:eastAsia="es-ES" w:bidi="es-ES"/>
        </w:rPr>
        <w:t>El empleo de nombres comerciales en el presente documento tiene por objeto principalmente facilitar la correcta identificación del producto químico. No entraña aprobación o reprobación de ninguna empresa. Como no es posible incluir en el presente documento todos los nombres comerciales que se</w:t>
      </w:r>
      <w:r w:rsidR="00E20D59" w:rsidRPr="00B92FD5">
        <w:rPr>
          <w:lang w:val="es-ES_tradnl" w:eastAsia="es-ES" w:bidi="es-ES"/>
        </w:rPr>
        <w:t> </w:t>
      </w:r>
      <w:r w:rsidRPr="00B92FD5">
        <w:rPr>
          <w:lang w:val="es-ES_tradnl" w:eastAsia="es-ES" w:bidi="es-ES"/>
        </w:rPr>
        <w:t>utilizan actualmente, solo se incluyen algunos nombres comerciales comúnmente utilizados y publicados.</w:t>
      </w:r>
    </w:p>
    <w:p w14:paraId="22F2D37A" w14:textId="55892604" w:rsidR="00114789" w:rsidRPr="00B92FD5" w:rsidRDefault="00114789" w:rsidP="00E20D59">
      <w:pPr>
        <w:pStyle w:val="Normal-pool"/>
        <w:spacing w:after="120"/>
        <w:ind w:left="1247"/>
        <w:rPr>
          <w:lang w:val="es-ES_tradnl" w:eastAsia="es-ES" w:bidi="es-ES"/>
        </w:rPr>
      </w:pPr>
      <w:r w:rsidRPr="00B92FD5">
        <w:rPr>
          <w:lang w:val="es-ES_tradnl" w:eastAsia="es-ES" w:bidi="es-ES"/>
        </w:rPr>
        <w:t>Aunque se estima que la información proporcionada es exacta según los datos disponibles a la</w:t>
      </w:r>
      <w:r w:rsidR="00E20D59" w:rsidRPr="00B92FD5">
        <w:rPr>
          <w:lang w:val="es-ES_tradnl" w:eastAsia="es-ES" w:bidi="es-ES"/>
        </w:rPr>
        <w:t> </w:t>
      </w:r>
      <w:r w:rsidRPr="00B92FD5">
        <w:rPr>
          <w:lang w:val="es-ES_tradnl" w:eastAsia="es-ES" w:bidi="es-ES"/>
        </w:rPr>
        <w:t>fecha</w:t>
      </w:r>
      <w:r w:rsidR="00E20D59" w:rsidRPr="00B92FD5">
        <w:rPr>
          <w:lang w:val="es-ES_tradnl" w:eastAsia="es-ES" w:bidi="es-ES"/>
        </w:rPr>
        <w:t> </w:t>
      </w:r>
      <w:r w:rsidRPr="00B92FD5">
        <w:rPr>
          <w:lang w:val="es-ES_tradnl" w:eastAsia="es-ES" w:bidi="es-ES"/>
        </w:rPr>
        <w:t xml:space="preserve">de preparación de este documento de orientación para la adopción de decisiones, la Organización de las Naciones Unidas para la Agricultura y la Alimentación (FAO) y el </w:t>
      </w:r>
      <w:r w:rsidRPr="00B92FD5">
        <w:rPr>
          <w:lang w:val="es-ES_tradnl"/>
        </w:rPr>
        <w:t>Programa</w:t>
      </w:r>
      <w:r w:rsidRPr="00B92FD5">
        <w:rPr>
          <w:lang w:val="es-ES_tradnl" w:eastAsia="es-ES" w:bidi="es-ES"/>
        </w:rPr>
        <w:t xml:space="preserve"> de</w:t>
      </w:r>
      <w:r w:rsidR="00E20D59" w:rsidRPr="00B92FD5">
        <w:rPr>
          <w:lang w:val="es-ES_tradnl" w:eastAsia="es-ES" w:bidi="es-ES"/>
        </w:rPr>
        <w:t> </w:t>
      </w:r>
      <w:r w:rsidRPr="00B92FD5">
        <w:rPr>
          <w:lang w:val="es-ES_tradnl" w:eastAsia="es-ES" w:bidi="es-ES"/>
        </w:rPr>
        <w:t>las Naciones</w:t>
      </w:r>
      <w:r w:rsidR="00E20D59" w:rsidRPr="00B92FD5">
        <w:rPr>
          <w:lang w:val="es-ES_tradnl" w:eastAsia="es-ES" w:bidi="es-ES"/>
        </w:rPr>
        <w:t> </w:t>
      </w:r>
      <w:r w:rsidRPr="00B92FD5">
        <w:rPr>
          <w:lang w:val="es-ES_tradnl" w:eastAsia="es-ES" w:bidi="es-ES"/>
        </w:rPr>
        <w:t>Unidas para el Medio Ambiente (PNUMA) declinan toda responsabilidad por omisiones o por las consecuencias que de ellas pudieran derivarse. Ni la FAO ni el PNUMA serán responsables por lesiones, pérdidas, daños o perjuicios del tipo que fueren a que pudieran dar lugar la</w:t>
      </w:r>
      <w:r w:rsidR="00E20D59" w:rsidRPr="00B92FD5">
        <w:rPr>
          <w:lang w:val="es-ES_tradnl" w:eastAsia="es-ES" w:bidi="es-ES"/>
        </w:rPr>
        <w:t> </w:t>
      </w:r>
      <w:r w:rsidRPr="00B92FD5">
        <w:rPr>
          <w:lang w:val="es-ES_tradnl" w:eastAsia="es-ES" w:bidi="es-ES"/>
        </w:rPr>
        <w:t>importación o prohibición de la importación de ese producto químico.</w:t>
      </w:r>
    </w:p>
    <w:p w14:paraId="58A7B095" w14:textId="3461AE0B" w:rsidR="00114789" w:rsidRPr="00B92FD5" w:rsidRDefault="00114789" w:rsidP="00E20D59">
      <w:pPr>
        <w:pStyle w:val="Normal-pool"/>
        <w:spacing w:after="120"/>
        <w:ind w:left="1247"/>
        <w:rPr>
          <w:sz w:val="4"/>
          <w:szCs w:val="4"/>
          <w:lang w:val="es-ES_tradnl" w:eastAsia="es-ES" w:bidi="es-ES"/>
        </w:rPr>
      </w:pPr>
      <w:r w:rsidRPr="00B92FD5">
        <w:rPr>
          <w:lang w:val="es-ES_tradnl" w:eastAsia="es-ES" w:bidi="es-ES"/>
        </w:rPr>
        <w:t>Las denominaciones utilizadas y la presentación del material en la presente publicación no suponen la</w:t>
      </w:r>
      <w:r w:rsidR="00E20D59" w:rsidRPr="00B92FD5">
        <w:rPr>
          <w:lang w:val="es-ES_tradnl" w:eastAsia="es-ES" w:bidi="es-ES"/>
        </w:rPr>
        <w:t> </w:t>
      </w:r>
      <w:r w:rsidRPr="00B92FD5">
        <w:rPr>
          <w:lang w:val="es-ES_tradnl" w:eastAsia="es-ES" w:bidi="es-ES"/>
        </w:rPr>
        <w:t xml:space="preserve">expresión de opinión alguna, sea cual fuere, por parte de la FAO o el </w:t>
      </w:r>
      <w:r w:rsidRPr="00B92FD5">
        <w:rPr>
          <w:lang w:val="es-ES_tradnl"/>
        </w:rPr>
        <w:t>PNUMA</w:t>
      </w:r>
      <w:r w:rsidRPr="00B92FD5">
        <w:rPr>
          <w:lang w:val="es-ES_tradnl" w:eastAsia="es-ES" w:bidi="es-ES"/>
        </w:rPr>
        <w:t>, con respecto a la situación jurídica de ningún país, territorio, ciudad o región o sus autoridades, ni con respecto a la delimitación de sus fronteras o límites.</w:t>
      </w:r>
      <w:r w:rsidRPr="00B92FD5">
        <w:rPr>
          <w:lang w:val="es-ES_tradnl" w:eastAsia="es-ES" w:bidi="es-ES"/>
        </w:rPr>
        <w:br w:type="page"/>
      </w:r>
    </w:p>
    <w:tbl>
      <w:tblPr>
        <w:tblW w:w="9492" w:type="dxa"/>
        <w:tblInd w:w="35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76"/>
        <w:gridCol w:w="8416"/>
      </w:tblGrid>
      <w:tr w:rsidR="00114789" w:rsidRPr="00ED5AB4" w14:paraId="697416ED" w14:textId="77777777" w:rsidTr="00A642F9">
        <w:trPr>
          <w:tblHeader/>
        </w:trPr>
        <w:tc>
          <w:tcPr>
            <w:tcW w:w="9492" w:type="dxa"/>
            <w:gridSpan w:val="2"/>
            <w:tcBorders>
              <w:top w:val="single" w:sz="6" w:space="0" w:color="auto"/>
              <w:bottom w:val="single" w:sz="6" w:space="0" w:color="auto"/>
            </w:tcBorders>
            <w:shd w:val="clear" w:color="auto" w:fill="auto"/>
          </w:tcPr>
          <w:p w14:paraId="342E25FC" w14:textId="77777777" w:rsidR="00114789" w:rsidRPr="00B92FD5" w:rsidRDefault="00114789" w:rsidP="00A642F9">
            <w:pPr>
              <w:suppressAutoHyphens/>
              <w:ind w:left="-108" w:right="33" w:firstLine="142"/>
              <w:rPr>
                <w:b/>
                <w:sz w:val="24"/>
                <w:szCs w:val="24"/>
                <w:lang w:val="es-ES_tradnl" w:eastAsia="es-ES" w:bidi="es-ES"/>
              </w:rPr>
            </w:pPr>
            <w:r w:rsidRPr="00B92FD5">
              <w:rPr>
                <w:b/>
                <w:sz w:val="24"/>
                <w:szCs w:val="24"/>
                <w:lang w:val="es-ES_tradnl" w:eastAsia="es-ES" w:bidi="es-ES"/>
              </w:rPr>
              <w:t xml:space="preserve">LISTA BÁSICA DE SIGLAS CORRIENTES </w:t>
            </w:r>
          </w:p>
        </w:tc>
      </w:tr>
      <w:tr w:rsidR="00114789" w:rsidRPr="00B92FD5" w14:paraId="084392A7" w14:textId="77777777" w:rsidTr="00A642F9">
        <w:tc>
          <w:tcPr>
            <w:tcW w:w="1076" w:type="dxa"/>
            <w:tcBorders>
              <w:top w:val="single" w:sz="6" w:space="0" w:color="auto"/>
            </w:tcBorders>
            <w:shd w:val="clear" w:color="auto" w:fill="auto"/>
          </w:tcPr>
          <w:p w14:paraId="25A06EE5" w14:textId="77777777" w:rsidR="00114789" w:rsidRPr="00B92FD5" w:rsidRDefault="00114789" w:rsidP="00A642F9">
            <w:pPr>
              <w:ind w:firstLine="34"/>
              <w:rPr>
                <w:lang w:val="es-ES_tradnl" w:eastAsia="es-ES" w:bidi="es-ES"/>
              </w:rPr>
            </w:pPr>
            <w:r w:rsidRPr="00B92FD5">
              <w:rPr>
                <w:lang w:val="es-ES_tradnl" w:eastAsia="es-ES" w:bidi="es-ES"/>
              </w:rPr>
              <w:t>&lt;</w:t>
            </w:r>
          </w:p>
        </w:tc>
        <w:tc>
          <w:tcPr>
            <w:tcW w:w="8416" w:type="dxa"/>
            <w:tcBorders>
              <w:top w:val="single" w:sz="6" w:space="0" w:color="auto"/>
            </w:tcBorders>
            <w:shd w:val="clear" w:color="auto" w:fill="auto"/>
          </w:tcPr>
          <w:p w14:paraId="16CB1725" w14:textId="77777777" w:rsidR="00114789" w:rsidRPr="00B92FD5" w:rsidRDefault="00114789" w:rsidP="00A642F9">
            <w:pPr>
              <w:ind w:left="176"/>
              <w:rPr>
                <w:lang w:val="es-ES_tradnl" w:eastAsia="es-ES" w:bidi="es-ES"/>
              </w:rPr>
            </w:pPr>
            <w:r w:rsidRPr="00B92FD5">
              <w:rPr>
                <w:lang w:val="es-ES_tradnl" w:eastAsia="es-ES" w:bidi="es-ES"/>
              </w:rPr>
              <w:t>menor que</w:t>
            </w:r>
          </w:p>
        </w:tc>
      </w:tr>
      <w:tr w:rsidR="00114789" w:rsidRPr="00B92FD5" w14:paraId="70857185" w14:textId="77777777" w:rsidTr="00A642F9">
        <w:tc>
          <w:tcPr>
            <w:tcW w:w="1076" w:type="dxa"/>
            <w:shd w:val="clear" w:color="auto" w:fill="auto"/>
          </w:tcPr>
          <w:p w14:paraId="235DCA97" w14:textId="77777777" w:rsidR="00114789" w:rsidRPr="00B92FD5" w:rsidRDefault="00114789" w:rsidP="00A642F9">
            <w:pPr>
              <w:ind w:left="176" w:hanging="142"/>
              <w:rPr>
                <w:lang w:val="es-ES_tradnl" w:eastAsia="es-ES" w:bidi="es-ES"/>
              </w:rPr>
            </w:pPr>
            <w:r w:rsidRPr="00B92FD5">
              <w:rPr>
                <w:u w:val="single"/>
                <w:lang w:val="es-ES_tradnl" w:eastAsia="es-ES" w:bidi="es-ES"/>
              </w:rPr>
              <w:t>&lt;</w:t>
            </w:r>
          </w:p>
        </w:tc>
        <w:tc>
          <w:tcPr>
            <w:tcW w:w="8416" w:type="dxa"/>
            <w:shd w:val="clear" w:color="auto" w:fill="auto"/>
          </w:tcPr>
          <w:p w14:paraId="6031C5FD" w14:textId="77777777" w:rsidR="00114789" w:rsidRPr="00B92FD5" w:rsidRDefault="00114789" w:rsidP="00A642F9">
            <w:pPr>
              <w:ind w:left="176"/>
              <w:rPr>
                <w:lang w:val="es-ES_tradnl" w:eastAsia="es-ES" w:bidi="es-ES"/>
              </w:rPr>
            </w:pPr>
            <w:r w:rsidRPr="00B92FD5">
              <w:rPr>
                <w:lang w:val="es-ES_tradnl" w:eastAsia="es-ES" w:bidi="es-ES"/>
              </w:rPr>
              <w:t>menor o igual a</w:t>
            </w:r>
          </w:p>
        </w:tc>
      </w:tr>
      <w:tr w:rsidR="00114789" w:rsidRPr="00B92FD5" w14:paraId="7FBBF0F3" w14:textId="77777777" w:rsidTr="00A642F9">
        <w:tc>
          <w:tcPr>
            <w:tcW w:w="1076" w:type="dxa"/>
            <w:shd w:val="clear" w:color="auto" w:fill="auto"/>
          </w:tcPr>
          <w:p w14:paraId="4A60E9C3" w14:textId="77777777" w:rsidR="00114789" w:rsidRPr="00B92FD5" w:rsidRDefault="00114789" w:rsidP="00A642F9">
            <w:pPr>
              <w:ind w:left="176" w:hanging="142"/>
              <w:rPr>
                <w:lang w:val="es-ES_tradnl" w:eastAsia="es-ES" w:bidi="es-ES"/>
              </w:rPr>
            </w:pPr>
            <w:r w:rsidRPr="00B92FD5">
              <w:rPr>
                <w:lang w:val="es-ES_tradnl" w:eastAsia="es-ES" w:bidi="es-ES"/>
              </w:rPr>
              <w:t>&gt;</w:t>
            </w:r>
          </w:p>
        </w:tc>
        <w:tc>
          <w:tcPr>
            <w:tcW w:w="8416" w:type="dxa"/>
            <w:shd w:val="clear" w:color="auto" w:fill="auto"/>
          </w:tcPr>
          <w:p w14:paraId="02F4ADCB" w14:textId="77777777" w:rsidR="00114789" w:rsidRPr="00B92FD5" w:rsidRDefault="00114789" w:rsidP="00A642F9">
            <w:pPr>
              <w:ind w:left="176"/>
              <w:rPr>
                <w:lang w:val="es-ES_tradnl" w:eastAsia="es-ES" w:bidi="es-ES"/>
              </w:rPr>
            </w:pPr>
            <w:r w:rsidRPr="00B92FD5">
              <w:rPr>
                <w:lang w:val="es-ES_tradnl" w:eastAsia="es-ES" w:bidi="es-ES"/>
              </w:rPr>
              <w:t>mayor que</w:t>
            </w:r>
          </w:p>
        </w:tc>
      </w:tr>
      <w:tr w:rsidR="00114789" w:rsidRPr="00B92FD5" w14:paraId="3548B158" w14:textId="77777777" w:rsidTr="00A642F9">
        <w:tc>
          <w:tcPr>
            <w:tcW w:w="1076" w:type="dxa"/>
            <w:shd w:val="clear" w:color="auto" w:fill="auto"/>
          </w:tcPr>
          <w:p w14:paraId="6817A0EC" w14:textId="77777777" w:rsidR="00114789" w:rsidRPr="00B92FD5" w:rsidRDefault="00114789" w:rsidP="00A642F9">
            <w:pPr>
              <w:ind w:left="176" w:hanging="142"/>
              <w:rPr>
                <w:lang w:val="es-ES_tradnl" w:eastAsia="es-ES" w:bidi="es-ES"/>
              </w:rPr>
            </w:pPr>
            <w:r w:rsidRPr="00B92FD5">
              <w:rPr>
                <w:u w:val="single"/>
                <w:lang w:val="es-ES_tradnl" w:eastAsia="es-ES" w:bidi="es-ES"/>
              </w:rPr>
              <w:t>&gt;</w:t>
            </w:r>
          </w:p>
        </w:tc>
        <w:tc>
          <w:tcPr>
            <w:tcW w:w="8416" w:type="dxa"/>
            <w:shd w:val="clear" w:color="auto" w:fill="auto"/>
          </w:tcPr>
          <w:p w14:paraId="6D857E3C" w14:textId="77777777" w:rsidR="00114789" w:rsidRPr="00B92FD5" w:rsidRDefault="00114789" w:rsidP="00A642F9">
            <w:pPr>
              <w:ind w:left="176"/>
              <w:rPr>
                <w:lang w:val="es-ES_tradnl" w:eastAsia="es-ES" w:bidi="es-ES"/>
              </w:rPr>
            </w:pPr>
            <w:r w:rsidRPr="00B92FD5">
              <w:rPr>
                <w:lang w:val="es-ES_tradnl" w:eastAsia="es-ES" w:bidi="es-ES"/>
              </w:rPr>
              <w:t>mayor o igual a</w:t>
            </w:r>
          </w:p>
        </w:tc>
      </w:tr>
      <w:tr w:rsidR="00114789" w:rsidRPr="00B92FD5" w14:paraId="7B740409" w14:textId="77777777" w:rsidTr="00A642F9">
        <w:tc>
          <w:tcPr>
            <w:tcW w:w="1076" w:type="dxa"/>
            <w:shd w:val="clear" w:color="auto" w:fill="auto"/>
          </w:tcPr>
          <w:p w14:paraId="5E3331D7" w14:textId="610AE899" w:rsidR="00114789" w:rsidRPr="00B92FD5" w:rsidRDefault="00114789" w:rsidP="00116113">
            <w:pPr>
              <w:ind w:left="176" w:hanging="142"/>
              <w:rPr>
                <w:lang w:val="es-ES_tradnl" w:eastAsia="es-ES" w:bidi="es-ES"/>
              </w:rPr>
            </w:pPr>
            <w:proofErr w:type="spellStart"/>
            <w:r w:rsidRPr="00B92FD5">
              <w:rPr>
                <w:vertAlign w:val="superscript"/>
                <w:lang w:val="es-ES_tradnl" w:eastAsia="es-ES" w:bidi="es-ES"/>
              </w:rPr>
              <w:t>o</w:t>
            </w:r>
            <w:r w:rsidRPr="00B92FD5">
              <w:rPr>
                <w:lang w:val="es-ES_tradnl" w:eastAsia="es-ES" w:bidi="es-ES"/>
              </w:rPr>
              <w:t>C</w:t>
            </w:r>
            <w:proofErr w:type="spellEnd"/>
          </w:p>
        </w:tc>
        <w:tc>
          <w:tcPr>
            <w:tcW w:w="8416" w:type="dxa"/>
            <w:shd w:val="clear" w:color="auto" w:fill="auto"/>
          </w:tcPr>
          <w:p w14:paraId="7BBF7838" w14:textId="65A8E6DB" w:rsidR="00114789" w:rsidRPr="00B92FD5" w:rsidRDefault="00114789" w:rsidP="00116113">
            <w:pPr>
              <w:ind w:left="176"/>
              <w:rPr>
                <w:lang w:val="es-ES_tradnl" w:eastAsia="es-ES" w:bidi="es-ES"/>
              </w:rPr>
            </w:pPr>
            <w:r w:rsidRPr="00B92FD5">
              <w:rPr>
                <w:lang w:val="es-ES_tradnl" w:eastAsia="es-ES" w:bidi="es-ES"/>
              </w:rPr>
              <w:t>grado Celsius (centígrado)</w:t>
            </w:r>
          </w:p>
        </w:tc>
      </w:tr>
      <w:tr w:rsidR="00116113" w:rsidRPr="00B92FD5" w14:paraId="5AA4509F" w14:textId="77777777" w:rsidTr="00A642F9">
        <w:tc>
          <w:tcPr>
            <w:tcW w:w="1076" w:type="dxa"/>
            <w:shd w:val="clear" w:color="auto" w:fill="auto"/>
          </w:tcPr>
          <w:p w14:paraId="3EDF9834" w14:textId="3E23E54B" w:rsidR="00116113" w:rsidRPr="00B92FD5" w:rsidRDefault="00116113" w:rsidP="00116113">
            <w:pPr>
              <w:ind w:left="176" w:hanging="142"/>
              <w:rPr>
                <w:vertAlign w:val="superscript"/>
                <w:lang w:val="es-ES_tradnl" w:eastAsia="es-ES" w:bidi="es-ES"/>
              </w:rPr>
            </w:pPr>
            <w:r w:rsidRPr="00116113">
              <w:rPr>
                <w:color w:val="333333"/>
                <w:lang w:val="es-ES_tradnl" w:eastAsia="es-ES" w:bidi="es-ES"/>
              </w:rPr>
              <w:t>µg</w:t>
            </w:r>
          </w:p>
        </w:tc>
        <w:tc>
          <w:tcPr>
            <w:tcW w:w="8416" w:type="dxa"/>
            <w:shd w:val="clear" w:color="auto" w:fill="auto"/>
          </w:tcPr>
          <w:p w14:paraId="22DEDBD5" w14:textId="4BC69CAB" w:rsidR="00116113" w:rsidRPr="00B92FD5" w:rsidRDefault="00116113" w:rsidP="00A642F9">
            <w:pPr>
              <w:ind w:left="176"/>
              <w:rPr>
                <w:lang w:val="es-ES_tradnl" w:eastAsia="es-ES" w:bidi="es-ES"/>
              </w:rPr>
            </w:pPr>
            <w:r w:rsidRPr="00116113">
              <w:rPr>
                <w:lang w:val="es-ES_tradnl" w:eastAsia="es-ES" w:bidi="es-ES"/>
              </w:rPr>
              <w:t>microgramo</w:t>
            </w:r>
          </w:p>
        </w:tc>
      </w:tr>
      <w:tr w:rsidR="00114789" w:rsidRPr="00B92FD5" w14:paraId="4C3B285F" w14:textId="77777777" w:rsidTr="00A642F9">
        <w:tc>
          <w:tcPr>
            <w:tcW w:w="1076" w:type="dxa"/>
            <w:shd w:val="clear" w:color="auto" w:fill="auto"/>
          </w:tcPr>
          <w:p w14:paraId="2CCBCBAD" w14:textId="77777777" w:rsidR="00114789" w:rsidRPr="00B92FD5" w:rsidRDefault="00114789" w:rsidP="00A642F9">
            <w:pPr>
              <w:ind w:left="176" w:hanging="142"/>
              <w:rPr>
                <w:vertAlign w:val="superscript"/>
                <w:lang w:val="es-ES_tradnl" w:eastAsia="es-ES" w:bidi="es-ES"/>
              </w:rPr>
            </w:pPr>
          </w:p>
        </w:tc>
        <w:tc>
          <w:tcPr>
            <w:tcW w:w="8416" w:type="dxa"/>
            <w:shd w:val="clear" w:color="auto" w:fill="auto"/>
          </w:tcPr>
          <w:p w14:paraId="21516FCF" w14:textId="77777777" w:rsidR="00114789" w:rsidRPr="00B92FD5" w:rsidRDefault="00114789" w:rsidP="00A642F9">
            <w:pPr>
              <w:ind w:left="176"/>
              <w:rPr>
                <w:lang w:val="es-ES_tradnl" w:eastAsia="es-ES" w:bidi="es-ES"/>
              </w:rPr>
            </w:pPr>
          </w:p>
        </w:tc>
      </w:tr>
      <w:tr w:rsidR="00114789" w:rsidRPr="00B92FD5" w14:paraId="1F369BA4" w14:textId="77777777" w:rsidTr="00A642F9">
        <w:tc>
          <w:tcPr>
            <w:tcW w:w="1076" w:type="dxa"/>
            <w:shd w:val="clear" w:color="auto" w:fill="auto"/>
          </w:tcPr>
          <w:p w14:paraId="1488ABFE" w14:textId="77777777" w:rsidR="00114789" w:rsidRPr="00B92FD5" w:rsidRDefault="00114789" w:rsidP="00A642F9">
            <w:pPr>
              <w:ind w:left="176" w:hanging="142"/>
              <w:rPr>
                <w:color w:val="333333"/>
                <w:lang w:val="es-ES_tradnl" w:eastAsia="es-ES" w:bidi="es-ES"/>
              </w:rPr>
            </w:pPr>
            <w:proofErr w:type="spellStart"/>
            <w:r w:rsidRPr="00B92FD5">
              <w:rPr>
                <w:color w:val="333333"/>
                <w:lang w:val="es-ES_tradnl" w:eastAsia="es-ES" w:bidi="es-ES"/>
              </w:rPr>
              <w:t>a.i.</w:t>
            </w:r>
            <w:proofErr w:type="spellEnd"/>
          </w:p>
        </w:tc>
        <w:tc>
          <w:tcPr>
            <w:tcW w:w="8416" w:type="dxa"/>
            <w:shd w:val="clear" w:color="auto" w:fill="auto"/>
          </w:tcPr>
          <w:p w14:paraId="5A3ADCD4"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ingrediente activo</w:t>
            </w:r>
          </w:p>
        </w:tc>
      </w:tr>
      <w:tr w:rsidR="00114789" w:rsidRPr="00B92FD5" w14:paraId="2627E0CC" w14:textId="77777777" w:rsidTr="00A642F9">
        <w:tc>
          <w:tcPr>
            <w:tcW w:w="1076" w:type="dxa"/>
            <w:shd w:val="clear" w:color="auto" w:fill="auto"/>
          </w:tcPr>
          <w:p w14:paraId="0CFDA844" w14:textId="77777777" w:rsidR="00114789" w:rsidRPr="00B92FD5" w:rsidRDefault="00114789" w:rsidP="00A642F9">
            <w:pPr>
              <w:ind w:left="176" w:hanging="142"/>
              <w:rPr>
                <w:color w:val="333333"/>
                <w:lang w:val="es-ES_tradnl" w:eastAsia="es-ES" w:bidi="es-ES"/>
              </w:rPr>
            </w:pPr>
            <w:proofErr w:type="spellStart"/>
            <w:r w:rsidRPr="00B92FD5">
              <w:rPr>
                <w:color w:val="333333"/>
                <w:lang w:val="es-ES_tradnl" w:eastAsia="es-ES" w:bidi="es-ES"/>
              </w:rPr>
              <w:t>add</w:t>
            </w:r>
            <w:proofErr w:type="spellEnd"/>
            <w:r w:rsidRPr="00B92FD5">
              <w:rPr>
                <w:color w:val="333333"/>
                <w:lang w:val="es-ES_tradnl" w:eastAsia="es-ES" w:bidi="es-ES"/>
              </w:rPr>
              <w:t>.</w:t>
            </w:r>
          </w:p>
          <w:p w14:paraId="7A2CE954"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aprox.</w:t>
            </w:r>
          </w:p>
        </w:tc>
        <w:tc>
          <w:tcPr>
            <w:tcW w:w="8416" w:type="dxa"/>
            <w:shd w:val="clear" w:color="auto" w:fill="auto"/>
          </w:tcPr>
          <w:p w14:paraId="2800374D"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Adición</w:t>
            </w:r>
          </w:p>
          <w:p w14:paraId="2B563B26"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aproximadamente</w:t>
            </w:r>
          </w:p>
        </w:tc>
      </w:tr>
      <w:tr w:rsidR="00114789" w:rsidRPr="00B92FD5" w14:paraId="30ECF2DF" w14:textId="77777777" w:rsidTr="00A642F9">
        <w:tc>
          <w:tcPr>
            <w:tcW w:w="1076" w:type="dxa"/>
            <w:shd w:val="clear" w:color="auto" w:fill="auto"/>
          </w:tcPr>
          <w:p w14:paraId="62E7AA3B"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ADI</w:t>
            </w:r>
          </w:p>
        </w:tc>
        <w:tc>
          <w:tcPr>
            <w:tcW w:w="8416" w:type="dxa"/>
            <w:shd w:val="clear" w:color="auto" w:fill="auto"/>
          </w:tcPr>
          <w:p w14:paraId="6C7A7525"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ingesta diaria admisible</w:t>
            </w:r>
          </w:p>
        </w:tc>
      </w:tr>
      <w:tr w:rsidR="00114789" w:rsidRPr="00B92FD5" w14:paraId="7876C54F" w14:textId="77777777" w:rsidTr="00A642F9">
        <w:tc>
          <w:tcPr>
            <w:tcW w:w="1076" w:type="dxa"/>
            <w:shd w:val="clear" w:color="auto" w:fill="auto"/>
          </w:tcPr>
          <w:p w14:paraId="0D2E142E"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AOEL</w:t>
            </w:r>
          </w:p>
          <w:p w14:paraId="3BC8E0E8"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APVMA</w:t>
            </w:r>
          </w:p>
        </w:tc>
        <w:tc>
          <w:tcPr>
            <w:tcW w:w="8416" w:type="dxa"/>
            <w:shd w:val="clear" w:color="auto" w:fill="auto"/>
          </w:tcPr>
          <w:p w14:paraId="246906F7"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nivel aceptable de exposición para los operarios</w:t>
            </w:r>
          </w:p>
          <w:p w14:paraId="6C3CEDAC"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Dirección General Australiana de Registro de Plaguicidas y Medicina Veterinaria</w:t>
            </w:r>
          </w:p>
        </w:tc>
      </w:tr>
      <w:tr w:rsidR="00114789" w:rsidRPr="00ED5AB4" w14:paraId="12AC1C81" w14:textId="77777777" w:rsidTr="00A642F9">
        <w:tc>
          <w:tcPr>
            <w:tcW w:w="1076" w:type="dxa"/>
            <w:shd w:val="clear" w:color="auto" w:fill="auto"/>
          </w:tcPr>
          <w:p w14:paraId="7F7C6234" w14:textId="77777777" w:rsidR="00114789" w:rsidRPr="00B92FD5" w:rsidRDefault="00114789" w:rsidP="00A642F9">
            <w:pPr>
              <w:ind w:left="176" w:hanging="142"/>
              <w:rPr>
                <w:color w:val="333333"/>
                <w:lang w:val="es-ES_tradnl" w:eastAsia="es-ES" w:bidi="es-ES"/>
              </w:rPr>
            </w:pPr>
            <w:proofErr w:type="spellStart"/>
            <w:r w:rsidRPr="00B92FD5">
              <w:rPr>
                <w:color w:val="333333"/>
                <w:lang w:val="es-ES_tradnl" w:eastAsia="es-ES" w:bidi="es-ES"/>
              </w:rPr>
              <w:t>ARfD</w:t>
            </w:r>
            <w:proofErr w:type="spellEnd"/>
          </w:p>
        </w:tc>
        <w:tc>
          <w:tcPr>
            <w:tcW w:w="8416" w:type="dxa"/>
            <w:shd w:val="clear" w:color="auto" w:fill="auto"/>
          </w:tcPr>
          <w:p w14:paraId="61D0647E"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dosis de referencia para la exposición oral aguda</w:t>
            </w:r>
          </w:p>
        </w:tc>
      </w:tr>
      <w:tr w:rsidR="00114789" w:rsidRPr="00ED5AB4" w14:paraId="1169149F" w14:textId="77777777" w:rsidTr="00A642F9">
        <w:tc>
          <w:tcPr>
            <w:tcW w:w="1076" w:type="dxa"/>
            <w:shd w:val="clear" w:color="auto" w:fill="auto"/>
          </w:tcPr>
          <w:p w14:paraId="6FCE3576"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54E5DD56" w14:textId="77777777" w:rsidR="00114789" w:rsidRPr="00B92FD5" w:rsidRDefault="00114789" w:rsidP="00A642F9">
            <w:pPr>
              <w:ind w:left="176"/>
              <w:rPr>
                <w:color w:val="333333"/>
                <w:lang w:val="es-ES_tradnl" w:eastAsia="es-ES" w:bidi="es-ES"/>
              </w:rPr>
            </w:pPr>
          </w:p>
        </w:tc>
      </w:tr>
      <w:tr w:rsidR="00114789" w:rsidRPr="00B92FD5" w14:paraId="391E8959" w14:textId="77777777" w:rsidTr="00A642F9">
        <w:tc>
          <w:tcPr>
            <w:tcW w:w="1076" w:type="dxa"/>
            <w:shd w:val="clear" w:color="auto" w:fill="auto"/>
          </w:tcPr>
          <w:p w14:paraId="0748CC37" w14:textId="77777777" w:rsidR="00114789" w:rsidRPr="00B92FD5" w:rsidRDefault="00114789" w:rsidP="00A642F9">
            <w:pPr>
              <w:ind w:left="176" w:hanging="142"/>
              <w:rPr>
                <w:color w:val="333333"/>
                <w:lang w:val="es-ES_tradnl" w:eastAsia="es-ES" w:bidi="es-ES"/>
              </w:rPr>
            </w:pPr>
            <w:proofErr w:type="spellStart"/>
            <w:r w:rsidRPr="00B92FD5">
              <w:rPr>
                <w:color w:val="333333"/>
                <w:lang w:val="es-ES_tradnl" w:eastAsia="es-ES" w:bidi="es-ES"/>
              </w:rPr>
              <w:t>bw</w:t>
            </w:r>
            <w:proofErr w:type="spellEnd"/>
          </w:p>
        </w:tc>
        <w:tc>
          <w:tcPr>
            <w:tcW w:w="8416" w:type="dxa"/>
            <w:shd w:val="clear" w:color="auto" w:fill="auto"/>
          </w:tcPr>
          <w:p w14:paraId="0ECF1327"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peso corporal</w:t>
            </w:r>
          </w:p>
        </w:tc>
      </w:tr>
      <w:tr w:rsidR="00114789" w:rsidRPr="00B92FD5" w14:paraId="5EA84E42" w14:textId="77777777" w:rsidTr="00A642F9">
        <w:tc>
          <w:tcPr>
            <w:tcW w:w="1076" w:type="dxa"/>
            <w:shd w:val="clear" w:color="auto" w:fill="auto"/>
          </w:tcPr>
          <w:p w14:paraId="6387EE6D"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70D2B64B" w14:textId="77777777" w:rsidR="00114789" w:rsidRPr="00B92FD5" w:rsidRDefault="00114789" w:rsidP="00A642F9">
            <w:pPr>
              <w:ind w:left="176"/>
              <w:rPr>
                <w:color w:val="333333"/>
                <w:lang w:val="es-ES_tradnl" w:eastAsia="es-ES" w:bidi="es-ES"/>
              </w:rPr>
            </w:pPr>
          </w:p>
        </w:tc>
      </w:tr>
      <w:tr w:rsidR="00114789" w:rsidRPr="00B92FD5" w14:paraId="24812334" w14:textId="77777777" w:rsidTr="00A642F9">
        <w:tc>
          <w:tcPr>
            <w:tcW w:w="1076" w:type="dxa"/>
            <w:shd w:val="clear" w:color="auto" w:fill="auto"/>
          </w:tcPr>
          <w:p w14:paraId="79CF3348"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C.E.</w:t>
            </w:r>
          </w:p>
        </w:tc>
        <w:tc>
          <w:tcPr>
            <w:tcW w:w="8416" w:type="dxa"/>
            <w:shd w:val="clear" w:color="auto" w:fill="auto"/>
          </w:tcPr>
          <w:p w14:paraId="1CEF5449"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Comunidad Europea</w:t>
            </w:r>
          </w:p>
        </w:tc>
      </w:tr>
      <w:tr w:rsidR="00114789" w:rsidRPr="00B92FD5" w14:paraId="0C0B2E9B" w14:textId="77777777" w:rsidTr="00A642F9">
        <w:tblPrEx>
          <w:tblCellMar>
            <w:left w:w="70" w:type="dxa"/>
            <w:right w:w="70" w:type="dxa"/>
          </w:tblCellMar>
        </w:tblPrEx>
        <w:tc>
          <w:tcPr>
            <w:tcW w:w="1076" w:type="dxa"/>
            <w:shd w:val="clear" w:color="auto" w:fill="auto"/>
          </w:tcPr>
          <w:p w14:paraId="09303B97"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CAS</w:t>
            </w:r>
          </w:p>
        </w:tc>
        <w:tc>
          <w:tcPr>
            <w:tcW w:w="8416" w:type="dxa"/>
            <w:shd w:val="clear" w:color="auto" w:fill="auto"/>
          </w:tcPr>
          <w:p w14:paraId="1A6ABE17"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 xml:space="preserve">Chemical </w:t>
            </w:r>
            <w:proofErr w:type="spellStart"/>
            <w:r w:rsidRPr="00B92FD5">
              <w:rPr>
                <w:color w:val="333333"/>
                <w:lang w:val="es-ES_tradnl" w:eastAsia="es-ES" w:bidi="es-ES"/>
              </w:rPr>
              <w:t>Abstract</w:t>
            </w:r>
            <w:proofErr w:type="spellEnd"/>
            <w:r w:rsidRPr="00B92FD5">
              <w:rPr>
                <w:color w:val="333333"/>
                <w:lang w:val="es-ES_tradnl" w:eastAsia="es-ES" w:bidi="es-ES"/>
              </w:rPr>
              <w:t xml:space="preserve"> Service.</w:t>
            </w:r>
          </w:p>
        </w:tc>
      </w:tr>
      <w:tr w:rsidR="00114789" w:rsidRPr="00B92FD5" w14:paraId="633A1643" w14:textId="77777777" w:rsidTr="00A642F9">
        <w:tc>
          <w:tcPr>
            <w:tcW w:w="1076" w:type="dxa"/>
            <w:shd w:val="clear" w:color="auto" w:fill="auto"/>
          </w:tcPr>
          <w:p w14:paraId="2407B745"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CE</w:t>
            </w:r>
          </w:p>
        </w:tc>
        <w:tc>
          <w:tcPr>
            <w:tcW w:w="8416" w:type="dxa"/>
            <w:shd w:val="clear" w:color="auto" w:fill="auto"/>
          </w:tcPr>
          <w:p w14:paraId="570E8611"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concentrado emulsionable</w:t>
            </w:r>
          </w:p>
        </w:tc>
      </w:tr>
      <w:tr w:rsidR="00114789" w:rsidRPr="00B92FD5" w14:paraId="383025C3" w14:textId="77777777" w:rsidTr="00A642F9">
        <w:tblPrEx>
          <w:tblCellMar>
            <w:left w:w="70" w:type="dxa"/>
            <w:right w:w="70" w:type="dxa"/>
          </w:tblCellMar>
        </w:tblPrEx>
        <w:tc>
          <w:tcPr>
            <w:tcW w:w="1076" w:type="dxa"/>
            <w:shd w:val="clear" w:color="auto" w:fill="auto"/>
          </w:tcPr>
          <w:p w14:paraId="4674EB3F"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cm</w:t>
            </w:r>
          </w:p>
        </w:tc>
        <w:tc>
          <w:tcPr>
            <w:tcW w:w="8416" w:type="dxa"/>
            <w:shd w:val="clear" w:color="auto" w:fill="auto"/>
          </w:tcPr>
          <w:p w14:paraId="0E71A0BD"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centímetro</w:t>
            </w:r>
          </w:p>
        </w:tc>
      </w:tr>
      <w:tr w:rsidR="00114789" w:rsidRPr="00ED5AB4" w14:paraId="0F44C146" w14:textId="77777777" w:rsidTr="00A642F9">
        <w:tblPrEx>
          <w:tblCellMar>
            <w:left w:w="70" w:type="dxa"/>
            <w:right w:w="70" w:type="dxa"/>
          </w:tblCellMar>
        </w:tblPrEx>
        <w:tc>
          <w:tcPr>
            <w:tcW w:w="1076" w:type="dxa"/>
            <w:shd w:val="clear" w:color="auto" w:fill="auto"/>
          </w:tcPr>
          <w:p w14:paraId="2A257F09"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CRC</w:t>
            </w:r>
          </w:p>
        </w:tc>
        <w:tc>
          <w:tcPr>
            <w:tcW w:w="8416" w:type="dxa"/>
            <w:shd w:val="clear" w:color="auto" w:fill="auto"/>
          </w:tcPr>
          <w:p w14:paraId="7B8743E6"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Comité de Examen de Productos Químicos</w:t>
            </w:r>
          </w:p>
        </w:tc>
      </w:tr>
      <w:tr w:rsidR="00114789" w:rsidRPr="00ED5AB4" w14:paraId="0290DAC9" w14:textId="77777777" w:rsidTr="00A642F9">
        <w:tblPrEx>
          <w:tblCellMar>
            <w:left w:w="70" w:type="dxa"/>
            <w:right w:w="70" w:type="dxa"/>
          </w:tblCellMar>
        </w:tblPrEx>
        <w:tc>
          <w:tcPr>
            <w:tcW w:w="1076" w:type="dxa"/>
            <w:shd w:val="clear" w:color="auto" w:fill="auto"/>
          </w:tcPr>
          <w:p w14:paraId="5BB75180"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22BE88BF" w14:textId="77777777" w:rsidR="00114789" w:rsidRPr="00B92FD5" w:rsidRDefault="00114789" w:rsidP="00A642F9">
            <w:pPr>
              <w:ind w:left="176"/>
              <w:rPr>
                <w:color w:val="333333"/>
                <w:lang w:val="es-ES_tradnl" w:eastAsia="es-ES" w:bidi="es-ES"/>
              </w:rPr>
            </w:pPr>
          </w:p>
        </w:tc>
      </w:tr>
      <w:tr w:rsidR="00114789" w:rsidRPr="00ED5AB4" w14:paraId="509E90DD" w14:textId="77777777" w:rsidTr="00A642F9">
        <w:tc>
          <w:tcPr>
            <w:tcW w:w="1076" w:type="dxa"/>
            <w:shd w:val="clear" w:color="auto" w:fill="auto"/>
          </w:tcPr>
          <w:p w14:paraId="0A260ADE"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d</w:t>
            </w:r>
          </w:p>
          <w:p w14:paraId="707BA2D1"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DPVC</w:t>
            </w:r>
          </w:p>
        </w:tc>
        <w:tc>
          <w:tcPr>
            <w:tcW w:w="8416" w:type="dxa"/>
            <w:shd w:val="clear" w:color="auto" w:fill="auto"/>
          </w:tcPr>
          <w:p w14:paraId="5222174A"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día</w:t>
            </w:r>
          </w:p>
          <w:p w14:paraId="00E447AE"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Dirección de Protección Fitosanitaria y Acondicionamiento</w:t>
            </w:r>
          </w:p>
        </w:tc>
      </w:tr>
      <w:tr w:rsidR="00114789" w:rsidRPr="00B92FD5" w14:paraId="7C97EE18" w14:textId="77777777" w:rsidTr="00A642F9">
        <w:tc>
          <w:tcPr>
            <w:tcW w:w="1076" w:type="dxa"/>
            <w:shd w:val="clear" w:color="auto" w:fill="auto"/>
          </w:tcPr>
          <w:p w14:paraId="6E284008"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DT</w:t>
            </w:r>
            <w:r w:rsidRPr="00B92FD5">
              <w:rPr>
                <w:color w:val="333333"/>
                <w:vertAlign w:val="subscript"/>
                <w:lang w:val="es-ES_tradnl" w:eastAsia="es-ES" w:bidi="es-ES"/>
              </w:rPr>
              <w:t>50</w:t>
            </w:r>
          </w:p>
        </w:tc>
        <w:tc>
          <w:tcPr>
            <w:tcW w:w="8416" w:type="dxa"/>
            <w:shd w:val="clear" w:color="auto" w:fill="auto"/>
          </w:tcPr>
          <w:p w14:paraId="192D5EBB"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período de desintegración, 50 %</w:t>
            </w:r>
          </w:p>
        </w:tc>
      </w:tr>
      <w:tr w:rsidR="00114789" w:rsidRPr="00B92FD5" w14:paraId="01ACC837" w14:textId="77777777" w:rsidTr="00A642F9">
        <w:tc>
          <w:tcPr>
            <w:tcW w:w="1076" w:type="dxa"/>
            <w:shd w:val="clear" w:color="auto" w:fill="auto"/>
          </w:tcPr>
          <w:p w14:paraId="6B95F777"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EC</w:t>
            </w:r>
            <w:r w:rsidRPr="00B92FD5">
              <w:rPr>
                <w:color w:val="333333"/>
                <w:vertAlign w:val="subscript"/>
                <w:lang w:val="es-ES_tradnl" w:eastAsia="es-ES" w:bidi="es-ES"/>
              </w:rPr>
              <w:t>50</w:t>
            </w:r>
          </w:p>
        </w:tc>
        <w:tc>
          <w:tcPr>
            <w:tcW w:w="8416" w:type="dxa"/>
            <w:shd w:val="clear" w:color="auto" w:fill="auto"/>
          </w:tcPr>
          <w:p w14:paraId="73438E08"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concentración eficaz, 50 % (concentración eficaz media)</w:t>
            </w:r>
          </w:p>
        </w:tc>
      </w:tr>
      <w:tr w:rsidR="00114789" w:rsidRPr="00B92FD5" w14:paraId="3471C79C" w14:textId="77777777" w:rsidTr="00A642F9">
        <w:tc>
          <w:tcPr>
            <w:tcW w:w="1076" w:type="dxa"/>
            <w:shd w:val="clear" w:color="auto" w:fill="auto"/>
          </w:tcPr>
          <w:p w14:paraId="5C898A78"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ED</w:t>
            </w:r>
            <w:r w:rsidRPr="00B92FD5">
              <w:rPr>
                <w:color w:val="333333"/>
                <w:vertAlign w:val="subscript"/>
                <w:lang w:val="es-ES_tradnl" w:eastAsia="es-ES" w:bidi="es-ES"/>
              </w:rPr>
              <w:t>50</w:t>
            </w:r>
          </w:p>
        </w:tc>
        <w:tc>
          <w:tcPr>
            <w:tcW w:w="8416" w:type="dxa"/>
            <w:shd w:val="clear" w:color="auto" w:fill="auto"/>
          </w:tcPr>
          <w:p w14:paraId="2392090C"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dosis eficaz, 50 % (dosis eficaz media)</w:t>
            </w:r>
          </w:p>
        </w:tc>
      </w:tr>
      <w:tr w:rsidR="00114789" w:rsidRPr="00ED5AB4" w14:paraId="0D7AE29C" w14:textId="77777777" w:rsidTr="00A642F9">
        <w:tc>
          <w:tcPr>
            <w:tcW w:w="1076" w:type="dxa"/>
            <w:shd w:val="clear" w:color="auto" w:fill="auto"/>
          </w:tcPr>
          <w:p w14:paraId="0C0372A2"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EHC</w:t>
            </w:r>
          </w:p>
          <w:p w14:paraId="7B5164D9"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EPA</w:t>
            </w:r>
          </w:p>
        </w:tc>
        <w:tc>
          <w:tcPr>
            <w:tcW w:w="8416" w:type="dxa"/>
            <w:shd w:val="clear" w:color="auto" w:fill="auto"/>
          </w:tcPr>
          <w:p w14:paraId="7C96DB47"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criterios de salud ambiental</w:t>
            </w:r>
          </w:p>
          <w:p w14:paraId="42673C23"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Agencia de Protección Ambiental</w:t>
            </w:r>
          </w:p>
        </w:tc>
      </w:tr>
      <w:tr w:rsidR="00114789" w:rsidRPr="00ED5AB4" w14:paraId="4F6C7D1A" w14:textId="77777777" w:rsidTr="00A642F9">
        <w:tc>
          <w:tcPr>
            <w:tcW w:w="1076" w:type="dxa"/>
            <w:shd w:val="clear" w:color="auto" w:fill="auto"/>
          </w:tcPr>
          <w:p w14:paraId="3E54309F"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3EDA1536" w14:textId="77777777" w:rsidR="00114789" w:rsidRPr="00B92FD5" w:rsidRDefault="00114789" w:rsidP="00A642F9">
            <w:pPr>
              <w:ind w:left="176"/>
              <w:rPr>
                <w:color w:val="333333"/>
                <w:lang w:val="es-ES_tradnl" w:eastAsia="es-ES" w:bidi="es-ES"/>
              </w:rPr>
            </w:pPr>
          </w:p>
        </w:tc>
      </w:tr>
      <w:tr w:rsidR="00114789" w:rsidRPr="00ED5AB4" w14:paraId="3C313619" w14:textId="77777777" w:rsidTr="00A642F9">
        <w:tc>
          <w:tcPr>
            <w:tcW w:w="1076" w:type="dxa"/>
            <w:shd w:val="clear" w:color="auto" w:fill="auto"/>
          </w:tcPr>
          <w:p w14:paraId="10082909"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FAO</w:t>
            </w:r>
          </w:p>
        </w:tc>
        <w:tc>
          <w:tcPr>
            <w:tcW w:w="8416" w:type="dxa"/>
            <w:shd w:val="clear" w:color="auto" w:fill="auto"/>
          </w:tcPr>
          <w:p w14:paraId="241B08E6"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Organización de las Naciones Unidas para la Agricultura y la Alimentación</w:t>
            </w:r>
          </w:p>
        </w:tc>
      </w:tr>
      <w:tr w:rsidR="00114789" w:rsidRPr="00ED5AB4" w14:paraId="711B79A6" w14:textId="77777777" w:rsidTr="00A642F9">
        <w:tc>
          <w:tcPr>
            <w:tcW w:w="1076" w:type="dxa"/>
            <w:shd w:val="clear" w:color="auto" w:fill="auto"/>
          </w:tcPr>
          <w:p w14:paraId="46F52F0E"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471AFAFC" w14:textId="77777777" w:rsidR="00114789" w:rsidRPr="00B92FD5" w:rsidRDefault="00114789" w:rsidP="00A642F9">
            <w:pPr>
              <w:ind w:left="176"/>
              <w:rPr>
                <w:color w:val="333333"/>
                <w:lang w:val="es-ES_tradnl" w:eastAsia="es-ES" w:bidi="es-ES"/>
              </w:rPr>
            </w:pPr>
          </w:p>
        </w:tc>
      </w:tr>
      <w:tr w:rsidR="00114789" w:rsidRPr="00B92FD5" w14:paraId="312E8C2F" w14:textId="77777777" w:rsidTr="00A642F9">
        <w:tc>
          <w:tcPr>
            <w:tcW w:w="1076" w:type="dxa"/>
            <w:shd w:val="clear" w:color="auto" w:fill="auto"/>
          </w:tcPr>
          <w:p w14:paraId="4616C8EB"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g</w:t>
            </w:r>
          </w:p>
        </w:tc>
        <w:tc>
          <w:tcPr>
            <w:tcW w:w="8416" w:type="dxa"/>
            <w:shd w:val="clear" w:color="auto" w:fill="auto"/>
          </w:tcPr>
          <w:p w14:paraId="7326C3B3"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gramo</w:t>
            </w:r>
          </w:p>
        </w:tc>
      </w:tr>
      <w:tr w:rsidR="00114789" w:rsidRPr="00B92FD5" w14:paraId="05B8D93A" w14:textId="77777777" w:rsidTr="00A642F9">
        <w:tc>
          <w:tcPr>
            <w:tcW w:w="1076" w:type="dxa"/>
            <w:shd w:val="clear" w:color="auto" w:fill="auto"/>
          </w:tcPr>
          <w:p w14:paraId="61C4BF1D"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53E4A5C8" w14:textId="77777777" w:rsidR="00114789" w:rsidRPr="00B92FD5" w:rsidRDefault="00114789" w:rsidP="00A642F9">
            <w:pPr>
              <w:ind w:left="176"/>
              <w:rPr>
                <w:color w:val="333333"/>
                <w:lang w:val="es-ES_tradnl" w:eastAsia="es-ES" w:bidi="es-ES"/>
              </w:rPr>
            </w:pPr>
          </w:p>
        </w:tc>
      </w:tr>
      <w:tr w:rsidR="00114789" w:rsidRPr="00B92FD5" w14:paraId="1DA41FE3" w14:textId="77777777" w:rsidTr="00A642F9">
        <w:tc>
          <w:tcPr>
            <w:tcW w:w="1076" w:type="dxa"/>
            <w:shd w:val="clear" w:color="auto" w:fill="auto"/>
          </w:tcPr>
          <w:p w14:paraId="1F724B4E"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h</w:t>
            </w:r>
          </w:p>
        </w:tc>
        <w:tc>
          <w:tcPr>
            <w:tcW w:w="8416" w:type="dxa"/>
            <w:shd w:val="clear" w:color="auto" w:fill="auto"/>
          </w:tcPr>
          <w:p w14:paraId="7EBFC2E1"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hora</w:t>
            </w:r>
          </w:p>
        </w:tc>
      </w:tr>
      <w:tr w:rsidR="00114789" w:rsidRPr="00B92FD5" w14:paraId="68BED038" w14:textId="77777777" w:rsidTr="00A642F9">
        <w:tc>
          <w:tcPr>
            <w:tcW w:w="1076" w:type="dxa"/>
            <w:shd w:val="clear" w:color="auto" w:fill="auto"/>
          </w:tcPr>
          <w:p w14:paraId="3C67FB8A"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ha</w:t>
            </w:r>
          </w:p>
        </w:tc>
        <w:tc>
          <w:tcPr>
            <w:tcW w:w="8416" w:type="dxa"/>
            <w:shd w:val="clear" w:color="auto" w:fill="auto"/>
          </w:tcPr>
          <w:p w14:paraId="7C29C02F"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hectárea</w:t>
            </w:r>
          </w:p>
        </w:tc>
      </w:tr>
      <w:tr w:rsidR="00114789" w:rsidRPr="00B92FD5" w14:paraId="182EC343" w14:textId="77777777" w:rsidTr="00A642F9">
        <w:tc>
          <w:tcPr>
            <w:tcW w:w="1076" w:type="dxa"/>
            <w:shd w:val="clear" w:color="auto" w:fill="auto"/>
          </w:tcPr>
          <w:p w14:paraId="7B46EC00"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6AD8BF46" w14:textId="77777777" w:rsidR="00114789" w:rsidRPr="00B92FD5" w:rsidRDefault="00114789" w:rsidP="00A642F9">
            <w:pPr>
              <w:ind w:left="176"/>
              <w:rPr>
                <w:color w:val="333333"/>
                <w:lang w:val="es-ES_tradnl" w:eastAsia="es-ES" w:bidi="es-ES"/>
              </w:rPr>
            </w:pPr>
          </w:p>
        </w:tc>
      </w:tr>
      <w:tr w:rsidR="00114789" w:rsidRPr="00ED5AB4" w14:paraId="0D87C92D" w14:textId="77777777" w:rsidTr="00A642F9">
        <w:tc>
          <w:tcPr>
            <w:tcW w:w="1076" w:type="dxa"/>
            <w:shd w:val="clear" w:color="auto" w:fill="auto"/>
          </w:tcPr>
          <w:p w14:paraId="5505AB4B"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IARC</w:t>
            </w:r>
          </w:p>
        </w:tc>
        <w:tc>
          <w:tcPr>
            <w:tcW w:w="8416" w:type="dxa"/>
            <w:shd w:val="clear" w:color="auto" w:fill="auto"/>
          </w:tcPr>
          <w:p w14:paraId="558940CD"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 xml:space="preserve">Organismo Internacional de Investigación sobre el Cáncer </w:t>
            </w:r>
          </w:p>
        </w:tc>
      </w:tr>
      <w:tr w:rsidR="00114789" w:rsidRPr="00ED5AB4" w14:paraId="3BB49E6D" w14:textId="77777777" w:rsidTr="00A642F9">
        <w:tc>
          <w:tcPr>
            <w:tcW w:w="1076" w:type="dxa"/>
            <w:shd w:val="clear" w:color="auto" w:fill="auto"/>
          </w:tcPr>
          <w:p w14:paraId="2D3D6883"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IPCS</w:t>
            </w:r>
          </w:p>
        </w:tc>
        <w:tc>
          <w:tcPr>
            <w:tcW w:w="8416" w:type="dxa"/>
            <w:shd w:val="clear" w:color="auto" w:fill="auto"/>
          </w:tcPr>
          <w:p w14:paraId="27DF4707"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Programa Internacional sobre Seguridad de las Sustancias Químicas</w:t>
            </w:r>
          </w:p>
        </w:tc>
      </w:tr>
      <w:tr w:rsidR="00114789" w:rsidRPr="00B92FD5" w14:paraId="34A3FF37" w14:textId="77777777" w:rsidTr="00A642F9">
        <w:tc>
          <w:tcPr>
            <w:tcW w:w="1076" w:type="dxa"/>
            <w:shd w:val="clear" w:color="auto" w:fill="auto"/>
          </w:tcPr>
          <w:p w14:paraId="1B2E8EFF"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IPM</w:t>
            </w:r>
          </w:p>
        </w:tc>
        <w:tc>
          <w:tcPr>
            <w:tcW w:w="8416" w:type="dxa"/>
            <w:shd w:val="clear" w:color="auto" w:fill="auto"/>
          </w:tcPr>
          <w:p w14:paraId="6430867B"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manejo integrado de plagas</w:t>
            </w:r>
          </w:p>
        </w:tc>
      </w:tr>
      <w:tr w:rsidR="00114789" w:rsidRPr="00B92FD5" w14:paraId="6D0013BC" w14:textId="77777777" w:rsidTr="00A642F9">
        <w:tc>
          <w:tcPr>
            <w:tcW w:w="1076" w:type="dxa"/>
            <w:shd w:val="clear" w:color="auto" w:fill="auto"/>
          </w:tcPr>
          <w:p w14:paraId="1282B55A"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ISO</w:t>
            </w:r>
          </w:p>
        </w:tc>
        <w:tc>
          <w:tcPr>
            <w:tcW w:w="8416" w:type="dxa"/>
            <w:shd w:val="clear" w:color="auto" w:fill="auto"/>
          </w:tcPr>
          <w:p w14:paraId="3B740567"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Organización Internacional de Normalización</w:t>
            </w:r>
          </w:p>
        </w:tc>
      </w:tr>
      <w:tr w:rsidR="00114789" w:rsidRPr="00ED5AB4" w14:paraId="292AED1F" w14:textId="77777777" w:rsidTr="00A642F9">
        <w:tc>
          <w:tcPr>
            <w:tcW w:w="1076" w:type="dxa"/>
            <w:shd w:val="clear" w:color="auto" w:fill="auto"/>
          </w:tcPr>
          <w:p w14:paraId="370212E7"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IUPAC</w:t>
            </w:r>
          </w:p>
        </w:tc>
        <w:tc>
          <w:tcPr>
            <w:tcW w:w="8416" w:type="dxa"/>
            <w:shd w:val="clear" w:color="auto" w:fill="auto"/>
          </w:tcPr>
          <w:p w14:paraId="659BE848"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Unión Internacional de Química Pura y Aplicada</w:t>
            </w:r>
          </w:p>
        </w:tc>
      </w:tr>
      <w:tr w:rsidR="00114789" w:rsidRPr="00ED5AB4" w14:paraId="5508C29F" w14:textId="77777777" w:rsidTr="00A642F9">
        <w:tc>
          <w:tcPr>
            <w:tcW w:w="1076" w:type="dxa"/>
            <w:shd w:val="clear" w:color="auto" w:fill="auto"/>
          </w:tcPr>
          <w:p w14:paraId="6ED7855E"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5D244F72" w14:textId="77777777" w:rsidR="00114789" w:rsidRPr="00B92FD5" w:rsidRDefault="00114789" w:rsidP="00A642F9">
            <w:pPr>
              <w:ind w:left="176"/>
              <w:rPr>
                <w:color w:val="333333"/>
                <w:lang w:val="es-ES_tradnl" w:eastAsia="es-ES" w:bidi="es-ES"/>
              </w:rPr>
            </w:pPr>
          </w:p>
        </w:tc>
      </w:tr>
      <w:tr w:rsidR="00114789" w:rsidRPr="00ED5AB4" w14:paraId="16758678" w14:textId="77777777" w:rsidTr="00A642F9">
        <w:tc>
          <w:tcPr>
            <w:tcW w:w="1076" w:type="dxa"/>
            <w:shd w:val="clear" w:color="auto" w:fill="auto"/>
          </w:tcPr>
          <w:p w14:paraId="4C1F316A"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JMPR</w:t>
            </w:r>
          </w:p>
        </w:tc>
        <w:tc>
          <w:tcPr>
            <w:tcW w:w="8416" w:type="dxa"/>
            <w:shd w:val="clear" w:color="auto" w:fill="auto"/>
          </w:tcPr>
          <w:p w14:paraId="63B79FAC"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Reunión conjunta FAO/OMS sobre residuos de plaguicidas (reunión conjunta del Grupo de expertos de la FAO sobre residuos de plaguicidas en los alimentos y el medio ambiente y un grupo de expertos de la OMS sobre residuos de plaguicidas)</w:t>
            </w:r>
          </w:p>
        </w:tc>
      </w:tr>
      <w:tr w:rsidR="00114789" w:rsidRPr="00ED5AB4" w14:paraId="4848F352" w14:textId="77777777" w:rsidTr="00A642F9">
        <w:tc>
          <w:tcPr>
            <w:tcW w:w="1076" w:type="dxa"/>
            <w:shd w:val="clear" w:color="auto" w:fill="auto"/>
          </w:tcPr>
          <w:p w14:paraId="35B45C2C"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6340CEC3" w14:textId="77777777" w:rsidR="00114789" w:rsidRPr="00B92FD5" w:rsidRDefault="00114789" w:rsidP="00A642F9">
            <w:pPr>
              <w:ind w:left="176"/>
              <w:rPr>
                <w:color w:val="333333"/>
                <w:lang w:val="es-ES_tradnl" w:eastAsia="es-ES" w:bidi="es-ES"/>
              </w:rPr>
            </w:pPr>
          </w:p>
        </w:tc>
      </w:tr>
      <w:tr w:rsidR="00114789" w:rsidRPr="00B92FD5" w14:paraId="792033CA" w14:textId="77777777" w:rsidTr="00A642F9">
        <w:tc>
          <w:tcPr>
            <w:tcW w:w="1076" w:type="dxa"/>
            <w:shd w:val="clear" w:color="auto" w:fill="auto"/>
          </w:tcPr>
          <w:p w14:paraId="31AB5A85"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k</w:t>
            </w:r>
          </w:p>
        </w:tc>
        <w:tc>
          <w:tcPr>
            <w:tcW w:w="8416" w:type="dxa"/>
            <w:shd w:val="clear" w:color="auto" w:fill="auto"/>
          </w:tcPr>
          <w:p w14:paraId="15BC6FF8"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kilo- (x 1000)</w:t>
            </w:r>
          </w:p>
        </w:tc>
      </w:tr>
      <w:tr w:rsidR="00114789" w:rsidRPr="00B92FD5" w14:paraId="47EA970B" w14:textId="77777777" w:rsidTr="00A642F9">
        <w:tc>
          <w:tcPr>
            <w:tcW w:w="1076" w:type="dxa"/>
            <w:shd w:val="clear" w:color="auto" w:fill="auto"/>
          </w:tcPr>
          <w:p w14:paraId="636FBD26"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kg</w:t>
            </w:r>
          </w:p>
        </w:tc>
        <w:tc>
          <w:tcPr>
            <w:tcW w:w="8416" w:type="dxa"/>
            <w:shd w:val="clear" w:color="auto" w:fill="auto"/>
          </w:tcPr>
          <w:p w14:paraId="50B842E1"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kilogramo</w:t>
            </w:r>
          </w:p>
        </w:tc>
      </w:tr>
      <w:tr w:rsidR="00114789" w:rsidRPr="00ED5AB4" w14:paraId="6E658483" w14:textId="77777777" w:rsidTr="00A642F9">
        <w:tc>
          <w:tcPr>
            <w:tcW w:w="1076" w:type="dxa"/>
            <w:shd w:val="clear" w:color="auto" w:fill="auto"/>
          </w:tcPr>
          <w:p w14:paraId="0DB14AA7" w14:textId="77777777" w:rsidR="00114789" w:rsidRPr="00B92FD5" w:rsidRDefault="00114789" w:rsidP="00A642F9">
            <w:pPr>
              <w:ind w:left="176" w:hanging="142"/>
              <w:rPr>
                <w:color w:val="333333"/>
                <w:lang w:val="es-ES_tradnl" w:eastAsia="es-ES" w:bidi="es-ES"/>
              </w:rPr>
            </w:pPr>
            <w:proofErr w:type="spellStart"/>
            <w:r w:rsidRPr="00B92FD5">
              <w:rPr>
                <w:color w:val="333333"/>
                <w:lang w:val="es-ES_tradnl" w:eastAsia="es-ES" w:bidi="es-ES"/>
              </w:rPr>
              <w:t>Koc</w:t>
            </w:r>
            <w:proofErr w:type="spellEnd"/>
          </w:p>
        </w:tc>
        <w:tc>
          <w:tcPr>
            <w:tcW w:w="8416" w:type="dxa"/>
            <w:shd w:val="clear" w:color="auto" w:fill="auto"/>
          </w:tcPr>
          <w:p w14:paraId="6589B159"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coeficiente de separación carbono orgánico-agua</w:t>
            </w:r>
          </w:p>
        </w:tc>
      </w:tr>
      <w:tr w:rsidR="00114789" w:rsidRPr="00ED5AB4" w14:paraId="466DC155" w14:textId="77777777" w:rsidTr="00A642F9">
        <w:tc>
          <w:tcPr>
            <w:tcW w:w="1076" w:type="dxa"/>
            <w:shd w:val="clear" w:color="auto" w:fill="auto"/>
          </w:tcPr>
          <w:p w14:paraId="479985FB"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67B5D9B4" w14:textId="77777777" w:rsidR="00114789" w:rsidRPr="00B92FD5" w:rsidRDefault="00114789" w:rsidP="00A642F9">
            <w:pPr>
              <w:ind w:left="176"/>
              <w:rPr>
                <w:color w:val="333333"/>
                <w:lang w:val="es-ES_tradnl" w:eastAsia="es-ES" w:bidi="es-ES"/>
              </w:rPr>
            </w:pPr>
          </w:p>
        </w:tc>
      </w:tr>
      <w:tr w:rsidR="00114789" w:rsidRPr="00B92FD5" w14:paraId="1F3D90AE" w14:textId="77777777" w:rsidTr="00A642F9">
        <w:tc>
          <w:tcPr>
            <w:tcW w:w="1076" w:type="dxa"/>
            <w:shd w:val="clear" w:color="auto" w:fill="auto"/>
          </w:tcPr>
          <w:p w14:paraId="7B9EA5C7"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l</w:t>
            </w:r>
          </w:p>
        </w:tc>
        <w:tc>
          <w:tcPr>
            <w:tcW w:w="8416" w:type="dxa"/>
            <w:shd w:val="clear" w:color="auto" w:fill="auto"/>
          </w:tcPr>
          <w:p w14:paraId="104AC393"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litro</w:t>
            </w:r>
          </w:p>
        </w:tc>
      </w:tr>
      <w:tr w:rsidR="00114789" w:rsidRPr="00B92FD5" w14:paraId="2006D9C1" w14:textId="77777777" w:rsidTr="00A642F9">
        <w:tc>
          <w:tcPr>
            <w:tcW w:w="1076" w:type="dxa"/>
            <w:shd w:val="clear" w:color="auto" w:fill="auto"/>
          </w:tcPr>
          <w:p w14:paraId="17E4387B"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LC</w:t>
            </w:r>
            <w:r w:rsidRPr="00B92FD5">
              <w:rPr>
                <w:color w:val="333333"/>
                <w:vertAlign w:val="subscript"/>
                <w:lang w:val="es-ES_tradnl" w:eastAsia="es-ES" w:bidi="es-ES"/>
              </w:rPr>
              <w:t>50</w:t>
            </w:r>
            <w:r w:rsidRPr="00B92FD5">
              <w:rPr>
                <w:color w:val="333333"/>
                <w:lang w:val="es-ES_tradnl" w:eastAsia="es-ES" w:bidi="es-ES"/>
              </w:rPr>
              <w:t xml:space="preserve"> </w:t>
            </w:r>
          </w:p>
        </w:tc>
        <w:tc>
          <w:tcPr>
            <w:tcW w:w="8416" w:type="dxa"/>
            <w:shd w:val="clear" w:color="auto" w:fill="auto"/>
          </w:tcPr>
          <w:p w14:paraId="29579549"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concentración letal, 50 %</w:t>
            </w:r>
          </w:p>
        </w:tc>
      </w:tr>
      <w:tr w:rsidR="00114789" w:rsidRPr="00B92FD5" w14:paraId="23F614C0" w14:textId="77777777" w:rsidTr="00A642F9">
        <w:tc>
          <w:tcPr>
            <w:tcW w:w="1076" w:type="dxa"/>
            <w:shd w:val="clear" w:color="auto" w:fill="auto"/>
          </w:tcPr>
          <w:p w14:paraId="41DC787C"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LD</w:t>
            </w:r>
            <w:r w:rsidRPr="00B92FD5">
              <w:rPr>
                <w:color w:val="333333"/>
                <w:vertAlign w:val="subscript"/>
                <w:lang w:val="es-ES_tradnl" w:eastAsia="es-ES" w:bidi="es-ES"/>
              </w:rPr>
              <w:t>50</w:t>
            </w:r>
          </w:p>
        </w:tc>
        <w:tc>
          <w:tcPr>
            <w:tcW w:w="8416" w:type="dxa"/>
            <w:shd w:val="clear" w:color="auto" w:fill="auto"/>
          </w:tcPr>
          <w:p w14:paraId="42070FCD"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dosis letal, 50 %</w:t>
            </w:r>
          </w:p>
        </w:tc>
      </w:tr>
      <w:tr w:rsidR="00114789" w:rsidRPr="00ED5AB4" w14:paraId="067A5FF0" w14:textId="77777777" w:rsidTr="00A642F9">
        <w:tc>
          <w:tcPr>
            <w:tcW w:w="1076" w:type="dxa"/>
            <w:shd w:val="clear" w:color="auto" w:fill="auto"/>
          </w:tcPr>
          <w:p w14:paraId="3286C518"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LOAEL</w:t>
            </w:r>
          </w:p>
        </w:tc>
        <w:tc>
          <w:tcPr>
            <w:tcW w:w="8416" w:type="dxa"/>
            <w:shd w:val="clear" w:color="auto" w:fill="auto"/>
          </w:tcPr>
          <w:p w14:paraId="7743FE29"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nivel con efectos perjudiciales mínimos observados</w:t>
            </w:r>
          </w:p>
        </w:tc>
      </w:tr>
      <w:tr w:rsidR="00114789" w:rsidRPr="00ED5AB4" w14:paraId="7CFA00A7" w14:textId="77777777" w:rsidTr="00A642F9">
        <w:tc>
          <w:tcPr>
            <w:tcW w:w="1076" w:type="dxa"/>
            <w:shd w:val="clear" w:color="auto" w:fill="auto"/>
          </w:tcPr>
          <w:p w14:paraId="1FBF232D"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LOEL</w:t>
            </w:r>
          </w:p>
        </w:tc>
        <w:tc>
          <w:tcPr>
            <w:tcW w:w="8416" w:type="dxa"/>
            <w:shd w:val="clear" w:color="auto" w:fill="auto"/>
          </w:tcPr>
          <w:p w14:paraId="02B5368A"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nivel con efectos mínimos observados</w:t>
            </w:r>
          </w:p>
        </w:tc>
      </w:tr>
      <w:tr w:rsidR="00114789" w:rsidRPr="00ED5AB4" w14:paraId="45F6D4A7" w14:textId="77777777" w:rsidTr="00A642F9">
        <w:tc>
          <w:tcPr>
            <w:tcW w:w="1076" w:type="dxa"/>
            <w:shd w:val="clear" w:color="auto" w:fill="auto"/>
          </w:tcPr>
          <w:p w14:paraId="1DF8138A"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Log P</w:t>
            </w:r>
          </w:p>
        </w:tc>
        <w:tc>
          <w:tcPr>
            <w:tcW w:w="8416" w:type="dxa"/>
            <w:shd w:val="clear" w:color="auto" w:fill="auto"/>
          </w:tcPr>
          <w:p w14:paraId="51124BE8"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 xml:space="preserve">logaritmo del coeficiente de separación </w:t>
            </w:r>
            <w:proofErr w:type="spellStart"/>
            <w:r w:rsidRPr="00B92FD5">
              <w:rPr>
                <w:color w:val="333333"/>
                <w:lang w:val="es-ES_tradnl" w:eastAsia="es-ES" w:bidi="es-ES"/>
              </w:rPr>
              <w:t>octanol</w:t>
            </w:r>
            <w:proofErr w:type="spellEnd"/>
            <w:r w:rsidRPr="00B92FD5">
              <w:rPr>
                <w:color w:val="333333"/>
                <w:lang w:val="es-ES_tradnl" w:eastAsia="es-ES" w:bidi="es-ES"/>
              </w:rPr>
              <w:t>-agua</w:t>
            </w:r>
          </w:p>
        </w:tc>
      </w:tr>
      <w:tr w:rsidR="00114789" w:rsidRPr="00ED5AB4" w14:paraId="509D5E4B" w14:textId="77777777" w:rsidTr="00A642F9">
        <w:tc>
          <w:tcPr>
            <w:tcW w:w="1076" w:type="dxa"/>
            <w:shd w:val="clear" w:color="auto" w:fill="auto"/>
          </w:tcPr>
          <w:p w14:paraId="2948EE8D" w14:textId="77777777" w:rsidR="00114789" w:rsidRPr="00B92FD5" w:rsidRDefault="00114789" w:rsidP="00A642F9">
            <w:pPr>
              <w:ind w:left="176" w:hanging="142"/>
              <w:rPr>
                <w:color w:val="333333"/>
                <w:lang w:val="es-ES_tradnl" w:eastAsia="es-ES" w:bidi="es-ES"/>
              </w:rPr>
            </w:pPr>
          </w:p>
        </w:tc>
        <w:tc>
          <w:tcPr>
            <w:tcW w:w="8416" w:type="dxa"/>
            <w:shd w:val="clear" w:color="auto" w:fill="auto"/>
          </w:tcPr>
          <w:p w14:paraId="6DF44F91" w14:textId="77777777" w:rsidR="00114789" w:rsidRPr="00B92FD5" w:rsidRDefault="00114789" w:rsidP="00A642F9">
            <w:pPr>
              <w:ind w:left="176"/>
              <w:rPr>
                <w:color w:val="333333"/>
                <w:lang w:val="es-ES_tradnl" w:eastAsia="es-ES" w:bidi="es-ES"/>
              </w:rPr>
            </w:pPr>
          </w:p>
        </w:tc>
      </w:tr>
      <w:tr w:rsidR="00114789" w:rsidRPr="00B92FD5" w14:paraId="43D068B6" w14:textId="77777777" w:rsidTr="00A642F9">
        <w:tc>
          <w:tcPr>
            <w:tcW w:w="1076" w:type="dxa"/>
            <w:shd w:val="clear" w:color="auto" w:fill="auto"/>
          </w:tcPr>
          <w:p w14:paraId="40373D63" w14:textId="77777777" w:rsidR="00114789" w:rsidRPr="00B92FD5" w:rsidRDefault="00114789" w:rsidP="00A642F9">
            <w:pPr>
              <w:ind w:left="176" w:hanging="142"/>
              <w:rPr>
                <w:lang w:val="es-ES_tradnl" w:eastAsia="es-ES" w:bidi="es-ES"/>
              </w:rPr>
            </w:pPr>
            <w:r w:rsidRPr="00B92FD5">
              <w:rPr>
                <w:lang w:val="es-ES_tradnl" w:eastAsia="es-ES" w:bidi="es-ES"/>
              </w:rPr>
              <w:t>m</w:t>
            </w:r>
          </w:p>
        </w:tc>
        <w:tc>
          <w:tcPr>
            <w:tcW w:w="8416" w:type="dxa"/>
            <w:shd w:val="clear" w:color="auto" w:fill="auto"/>
          </w:tcPr>
          <w:p w14:paraId="223AC626" w14:textId="77777777" w:rsidR="00114789" w:rsidRPr="00B92FD5" w:rsidRDefault="00114789" w:rsidP="00A642F9">
            <w:pPr>
              <w:ind w:left="176"/>
              <w:rPr>
                <w:lang w:val="es-ES_tradnl" w:eastAsia="es-ES" w:bidi="es-ES"/>
              </w:rPr>
            </w:pPr>
            <w:r w:rsidRPr="00B92FD5">
              <w:rPr>
                <w:lang w:val="es-ES_tradnl" w:eastAsia="es-ES" w:bidi="es-ES"/>
              </w:rPr>
              <w:t>metro</w:t>
            </w:r>
          </w:p>
        </w:tc>
      </w:tr>
      <w:tr w:rsidR="00114789" w:rsidRPr="00B92FD5" w14:paraId="1DE8B600" w14:textId="77777777" w:rsidTr="00A642F9">
        <w:tc>
          <w:tcPr>
            <w:tcW w:w="1076" w:type="dxa"/>
            <w:shd w:val="clear" w:color="auto" w:fill="auto"/>
          </w:tcPr>
          <w:p w14:paraId="2D4DDDD8" w14:textId="77777777" w:rsidR="00114789" w:rsidRPr="00B92FD5" w:rsidRDefault="00114789" w:rsidP="00A642F9">
            <w:pPr>
              <w:ind w:left="176" w:hanging="142"/>
              <w:rPr>
                <w:lang w:val="es-ES_tradnl" w:eastAsia="es-ES" w:bidi="es-ES"/>
              </w:rPr>
            </w:pPr>
            <w:r w:rsidRPr="00B92FD5">
              <w:rPr>
                <w:lang w:val="es-ES_tradnl" w:eastAsia="es-ES" w:bidi="es-ES"/>
              </w:rPr>
              <w:t>mg</w:t>
            </w:r>
          </w:p>
        </w:tc>
        <w:tc>
          <w:tcPr>
            <w:tcW w:w="8416" w:type="dxa"/>
            <w:shd w:val="clear" w:color="auto" w:fill="auto"/>
          </w:tcPr>
          <w:p w14:paraId="1F446523" w14:textId="77777777" w:rsidR="00114789" w:rsidRPr="00B92FD5" w:rsidRDefault="00114789" w:rsidP="00A642F9">
            <w:pPr>
              <w:ind w:left="176"/>
              <w:rPr>
                <w:lang w:val="es-ES_tradnl" w:eastAsia="es-ES" w:bidi="es-ES"/>
              </w:rPr>
            </w:pPr>
            <w:r w:rsidRPr="00B92FD5">
              <w:rPr>
                <w:lang w:val="es-ES_tradnl" w:eastAsia="es-ES" w:bidi="es-ES"/>
              </w:rPr>
              <w:t>miligramo</w:t>
            </w:r>
          </w:p>
        </w:tc>
      </w:tr>
      <w:tr w:rsidR="00114789" w:rsidRPr="00ED5AB4" w14:paraId="3E249EE3" w14:textId="77777777" w:rsidTr="00A642F9">
        <w:tc>
          <w:tcPr>
            <w:tcW w:w="1076" w:type="dxa"/>
            <w:shd w:val="clear" w:color="auto" w:fill="auto"/>
          </w:tcPr>
          <w:p w14:paraId="039AE004" w14:textId="77777777" w:rsidR="00114789" w:rsidRPr="00B92FD5" w:rsidRDefault="00114789" w:rsidP="00A642F9">
            <w:pPr>
              <w:ind w:left="176" w:hanging="142"/>
              <w:rPr>
                <w:lang w:val="es-ES_tradnl" w:eastAsia="es-ES" w:bidi="es-ES"/>
              </w:rPr>
            </w:pPr>
            <w:r w:rsidRPr="00B92FD5">
              <w:rPr>
                <w:lang w:val="es-ES_tradnl" w:eastAsia="es-ES" w:bidi="es-ES"/>
              </w:rPr>
              <w:t>ml</w:t>
            </w:r>
          </w:p>
          <w:p w14:paraId="6790ADE7" w14:textId="77777777" w:rsidR="00114789" w:rsidRPr="00B92FD5" w:rsidRDefault="00114789" w:rsidP="00A642F9">
            <w:pPr>
              <w:ind w:left="176" w:hanging="142"/>
              <w:rPr>
                <w:lang w:val="es-ES_tradnl" w:eastAsia="es-ES" w:bidi="es-ES"/>
              </w:rPr>
            </w:pPr>
            <w:r w:rsidRPr="00B92FD5">
              <w:rPr>
                <w:lang w:val="es-ES_tradnl" w:eastAsia="es-ES" w:bidi="es-ES"/>
              </w:rPr>
              <w:t>MRL</w:t>
            </w:r>
          </w:p>
        </w:tc>
        <w:tc>
          <w:tcPr>
            <w:tcW w:w="8416" w:type="dxa"/>
            <w:shd w:val="clear" w:color="auto" w:fill="auto"/>
          </w:tcPr>
          <w:p w14:paraId="346C5674" w14:textId="77777777" w:rsidR="00114789" w:rsidRPr="00B92FD5" w:rsidRDefault="00114789" w:rsidP="00A642F9">
            <w:pPr>
              <w:ind w:left="176"/>
              <w:rPr>
                <w:lang w:val="es-ES_tradnl" w:eastAsia="es-ES" w:bidi="es-ES"/>
              </w:rPr>
            </w:pPr>
            <w:r w:rsidRPr="00B92FD5">
              <w:rPr>
                <w:lang w:val="es-ES_tradnl" w:eastAsia="es-ES" w:bidi="es-ES"/>
              </w:rPr>
              <w:t>mililitro</w:t>
            </w:r>
          </w:p>
          <w:p w14:paraId="3B3D6A52" w14:textId="77777777" w:rsidR="00114789" w:rsidRPr="00B92FD5" w:rsidRDefault="00114789" w:rsidP="00A642F9">
            <w:pPr>
              <w:ind w:left="176"/>
              <w:rPr>
                <w:lang w:val="es-ES_tradnl" w:eastAsia="es-ES" w:bidi="es-ES"/>
              </w:rPr>
            </w:pPr>
            <w:r w:rsidRPr="00B92FD5">
              <w:rPr>
                <w:lang w:val="es-ES_tradnl" w:eastAsia="es-ES" w:bidi="es-ES"/>
              </w:rPr>
              <w:t>límites máximos de residuos</w:t>
            </w:r>
          </w:p>
        </w:tc>
      </w:tr>
      <w:tr w:rsidR="00114789" w:rsidRPr="00ED5AB4" w14:paraId="15290D80" w14:textId="77777777" w:rsidTr="00A642F9">
        <w:tc>
          <w:tcPr>
            <w:tcW w:w="1076" w:type="dxa"/>
            <w:shd w:val="clear" w:color="auto" w:fill="auto"/>
          </w:tcPr>
          <w:p w14:paraId="1DF02ECD" w14:textId="77777777" w:rsidR="00114789" w:rsidRPr="00B92FD5" w:rsidRDefault="00114789" w:rsidP="00A642F9">
            <w:pPr>
              <w:ind w:left="176" w:hanging="142"/>
              <w:rPr>
                <w:lang w:val="es-ES_tradnl" w:eastAsia="es-ES" w:bidi="es-ES"/>
              </w:rPr>
            </w:pPr>
          </w:p>
        </w:tc>
        <w:tc>
          <w:tcPr>
            <w:tcW w:w="8416" w:type="dxa"/>
            <w:shd w:val="clear" w:color="auto" w:fill="auto"/>
          </w:tcPr>
          <w:p w14:paraId="22403B20" w14:textId="77777777" w:rsidR="00114789" w:rsidRPr="00B92FD5" w:rsidRDefault="00114789" w:rsidP="00A642F9">
            <w:pPr>
              <w:ind w:left="176"/>
              <w:rPr>
                <w:lang w:val="es-ES_tradnl" w:eastAsia="es-ES" w:bidi="es-ES"/>
              </w:rPr>
            </w:pPr>
          </w:p>
        </w:tc>
      </w:tr>
      <w:tr w:rsidR="00114789" w:rsidRPr="00ED5AB4" w14:paraId="17537712" w14:textId="77777777" w:rsidTr="00A642F9">
        <w:tc>
          <w:tcPr>
            <w:tcW w:w="1076" w:type="dxa"/>
            <w:shd w:val="clear" w:color="auto" w:fill="auto"/>
          </w:tcPr>
          <w:p w14:paraId="62F796EE" w14:textId="77777777" w:rsidR="00114789" w:rsidRPr="00B92FD5" w:rsidRDefault="00114789" w:rsidP="00A642F9">
            <w:pPr>
              <w:ind w:left="176" w:hanging="142"/>
              <w:rPr>
                <w:lang w:val="es-ES_tradnl" w:eastAsia="es-ES" w:bidi="es-ES"/>
              </w:rPr>
            </w:pPr>
            <w:r w:rsidRPr="00B92FD5">
              <w:rPr>
                <w:lang w:val="es-ES_tradnl" w:eastAsia="es-ES" w:bidi="es-ES"/>
              </w:rPr>
              <w:t>NOAEC</w:t>
            </w:r>
          </w:p>
        </w:tc>
        <w:tc>
          <w:tcPr>
            <w:tcW w:w="8416" w:type="dxa"/>
            <w:shd w:val="clear" w:color="auto" w:fill="auto"/>
          </w:tcPr>
          <w:p w14:paraId="4F66017A" w14:textId="77777777" w:rsidR="00114789" w:rsidRPr="00B92FD5" w:rsidRDefault="00114789" w:rsidP="00A642F9">
            <w:pPr>
              <w:ind w:left="176"/>
              <w:rPr>
                <w:lang w:val="es-ES_tradnl" w:eastAsia="es-ES" w:bidi="es-ES"/>
              </w:rPr>
            </w:pPr>
            <w:r w:rsidRPr="00B92FD5">
              <w:rPr>
                <w:lang w:val="es-ES_tradnl" w:eastAsia="es-ES" w:bidi="es-ES"/>
              </w:rPr>
              <w:t>concentración sin efectos nocivos observados</w:t>
            </w:r>
          </w:p>
        </w:tc>
      </w:tr>
      <w:tr w:rsidR="00114789" w:rsidRPr="00ED5AB4" w14:paraId="5CBFE993" w14:textId="77777777" w:rsidTr="00A642F9">
        <w:tc>
          <w:tcPr>
            <w:tcW w:w="1076" w:type="dxa"/>
            <w:shd w:val="clear" w:color="auto" w:fill="auto"/>
          </w:tcPr>
          <w:p w14:paraId="780BA788" w14:textId="77777777" w:rsidR="00114789" w:rsidRPr="00B92FD5" w:rsidRDefault="00114789" w:rsidP="00A642F9">
            <w:pPr>
              <w:ind w:left="176" w:hanging="142"/>
              <w:rPr>
                <w:lang w:val="es-ES_tradnl" w:eastAsia="es-ES" w:bidi="es-ES"/>
              </w:rPr>
            </w:pPr>
            <w:r w:rsidRPr="00B92FD5">
              <w:rPr>
                <w:lang w:val="es-ES_tradnl" w:eastAsia="es-ES" w:bidi="es-ES"/>
              </w:rPr>
              <w:t>NOAEL</w:t>
            </w:r>
          </w:p>
        </w:tc>
        <w:tc>
          <w:tcPr>
            <w:tcW w:w="8416" w:type="dxa"/>
            <w:shd w:val="clear" w:color="auto" w:fill="auto"/>
          </w:tcPr>
          <w:p w14:paraId="7226FCDF" w14:textId="77777777" w:rsidR="00114789" w:rsidRPr="00B92FD5" w:rsidRDefault="00114789" w:rsidP="00A642F9">
            <w:pPr>
              <w:ind w:left="176"/>
              <w:rPr>
                <w:lang w:val="es-ES_tradnl" w:eastAsia="es-ES" w:bidi="es-ES"/>
              </w:rPr>
            </w:pPr>
            <w:r w:rsidRPr="00B92FD5">
              <w:rPr>
                <w:lang w:val="es-ES_tradnl" w:eastAsia="es-ES" w:bidi="es-ES"/>
              </w:rPr>
              <w:t>nivel sin efectos nocivos observados</w:t>
            </w:r>
          </w:p>
        </w:tc>
      </w:tr>
      <w:tr w:rsidR="00114789" w:rsidRPr="00B92FD5" w14:paraId="0B6A6CAA" w14:textId="77777777" w:rsidTr="00A642F9">
        <w:tc>
          <w:tcPr>
            <w:tcW w:w="1076" w:type="dxa"/>
            <w:shd w:val="clear" w:color="auto" w:fill="auto"/>
          </w:tcPr>
          <w:p w14:paraId="4970A244" w14:textId="77777777" w:rsidR="00114789" w:rsidRPr="00B92FD5" w:rsidRDefault="00114789" w:rsidP="00A642F9">
            <w:pPr>
              <w:ind w:left="176" w:hanging="142"/>
              <w:rPr>
                <w:lang w:val="es-ES_tradnl" w:eastAsia="es-ES" w:bidi="es-ES"/>
              </w:rPr>
            </w:pPr>
            <w:r w:rsidRPr="00B92FD5">
              <w:rPr>
                <w:lang w:val="es-ES_tradnl" w:eastAsia="es-ES" w:bidi="es-ES"/>
              </w:rPr>
              <w:t>NOEC</w:t>
            </w:r>
          </w:p>
        </w:tc>
        <w:tc>
          <w:tcPr>
            <w:tcW w:w="8416" w:type="dxa"/>
            <w:shd w:val="clear" w:color="auto" w:fill="auto"/>
          </w:tcPr>
          <w:p w14:paraId="010DD9D5" w14:textId="77777777" w:rsidR="00114789" w:rsidRPr="00B92FD5" w:rsidRDefault="00114789" w:rsidP="00A642F9">
            <w:pPr>
              <w:ind w:left="176"/>
              <w:rPr>
                <w:lang w:val="es-ES_tradnl" w:eastAsia="es-ES" w:bidi="es-ES"/>
              </w:rPr>
            </w:pPr>
            <w:r w:rsidRPr="00B92FD5">
              <w:rPr>
                <w:lang w:val="es-ES_tradnl" w:eastAsia="es-ES" w:bidi="es-ES"/>
              </w:rPr>
              <w:t>concentración sin efectos observados</w:t>
            </w:r>
          </w:p>
        </w:tc>
      </w:tr>
      <w:tr w:rsidR="00114789" w:rsidRPr="00B92FD5" w14:paraId="4060BF90" w14:textId="77777777" w:rsidTr="00A642F9">
        <w:tc>
          <w:tcPr>
            <w:tcW w:w="1076" w:type="dxa"/>
            <w:shd w:val="clear" w:color="auto" w:fill="auto"/>
          </w:tcPr>
          <w:p w14:paraId="0CD776A6" w14:textId="77777777" w:rsidR="00114789" w:rsidRPr="00B92FD5" w:rsidRDefault="00114789" w:rsidP="00A642F9">
            <w:pPr>
              <w:ind w:left="176" w:hanging="142"/>
              <w:rPr>
                <w:lang w:val="es-ES_tradnl" w:eastAsia="es-ES" w:bidi="es-ES"/>
              </w:rPr>
            </w:pPr>
            <w:r w:rsidRPr="00B92FD5">
              <w:rPr>
                <w:lang w:val="es-ES_tradnl" w:eastAsia="es-ES" w:bidi="es-ES"/>
              </w:rPr>
              <w:t xml:space="preserve">NOEL </w:t>
            </w:r>
          </w:p>
        </w:tc>
        <w:tc>
          <w:tcPr>
            <w:tcW w:w="8416" w:type="dxa"/>
            <w:shd w:val="clear" w:color="auto" w:fill="auto"/>
          </w:tcPr>
          <w:p w14:paraId="40EF88D2" w14:textId="77777777" w:rsidR="00114789" w:rsidRPr="00B92FD5" w:rsidRDefault="00114789" w:rsidP="00A642F9">
            <w:pPr>
              <w:ind w:left="176"/>
              <w:rPr>
                <w:lang w:val="es-ES_tradnl" w:eastAsia="es-ES" w:bidi="es-ES"/>
              </w:rPr>
            </w:pPr>
            <w:r w:rsidRPr="00B92FD5">
              <w:rPr>
                <w:lang w:val="es-ES_tradnl" w:eastAsia="es-ES" w:bidi="es-ES"/>
              </w:rPr>
              <w:t>nivel sin efectos observados</w:t>
            </w:r>
          </w:p>
        </w:tc>
      </w:tr>
      <w:tr w:rsidR="00114789" w:rsidRPr="00B92FD5" w14:paraId="16A72801" w14:textId="77777777" w:rsidTr="00A642F9">
        <w:tc>
          <w:tcPr>
            <w:tcW w:w="1076" w:type="dxa"/>
            <w:shd w:val="clear" w:color="auto" w:fill="auto"/>
          </w:tcPr>
          <w:p w14:paraId="5AA1BC3F" w14:textId="77777777" w:rsidR="00114789" w:rsidRPr="00B92FD5" w:rsidRDefault="00114789" w:rsidP="00A642F9">
            <w:pPr>
              <w:ind w:left="176" w:hanging="142"/>
              <w:rPr>
                <w:lang w:val="es-ES_tradnl" w:eastAsia="es-ES" w:bidi="es-ES"/>
              </w:rPr>
            </w:pPr>
          </w:p>
        </w:tc>
        <w:tc>
          <w:tcPr>
            <w:tcW w:w="8416" w:type="dxa"/>
            <w:shd w:val="clear" w:color="auto" w:fill="auto"/>
          </w:tcPr>
          <w:p w14:paraId="09BF9AED" w14:textId="77777777" w:rsidR="00114789" w:rsidRPr="00B92FD5" w:rsidRDefault="00114789" w:rsidP="00A642F9">
            <w:pPr>
              <w:ind w:left="176"/>
              <w:rPr>
                <w:lang w:val="es-ES_tradnl" w:eastAsia="es-ES" w:bidi="es-ES"/>
              </w:rPr>
            </w:pPr>
          </w:p>
        </w:tc>
      </w:tr>
      <w:tr w:rsidR="00114789" w:rsidRPr="00B92FD5" w14:paraId="42D24F37" w14:textId="77777777" w:rsidTr="00A642F9">
        <w:tc>
          <w:tcPr>
            <w:tcW w:w="1076" w:type="dxa"/>
            <w:shd w:val="clear" w:color="auto" w:fill="auto"/>
          </w:tcPr>
          <w:p w14:paraId="25B660CB" w14:textId="77777777" w:rsidR="00114789" w:rsidRPr="00B92FD5" w:rsidRDefault="00114789" w:rsidP="00A642F9">
            <w:pPr>
              <w:ind w:left="176" w:hanging="142"/>
              <w:rPr>
                <w:lang w:val="es-ES_tradnl" w:eastAsia="es-ES" w:bidi="es-ES"/>
              </w:rPr>
            </w:pPr>
            <w:r w:rsidRPr="00B92FD5">
              <w:rPr>
                <w:lang w:val="es-ES_tradnl" w:eastAsia="es-ES" w:bidi="es-ES"/>
              </w:rPr>
              <w:t>OCDE</w:t>
            </w:r>
          </w:p>
        </w:tc>
        <w:tc>
          <w:tcPr>
            <w:tcW w:w="8416" w:type="dxa"/>
            <w:shd w:val="clear" w:color="auto" w:fill="auto"/>
          </w:tcPr>
          <w:p w14:paraId="60AC0896" w14:textId="77777777" w:rsidR="00114789" w:rsidRPr="00B92FD5" w:rsidRDefault="00114789" w:rsidP="00A642F9">
            <w:pPr>
              <w:ind w:left="176"/>
              <w:rPr>
                <w:lang w:val="es-ES_tradnl" w:eastAsia="es-ES" w:bidi="es-ES"/>
              </w:rPr>
            </w:pPr>
            <w:r w:rsidRPr="00B92FD5">
              <w:rPr>
                <w:lang w:val="es-ES_tradnl" w:eastAsia="es-ES" w:bidi="es-ES"/>
              </w:rPr>
              <w:t xml:space="preserve">Organización de Cooperación y Desarrollo Económicos </w:t>
            </w:r>
          </w:p>
        </w:tc>
      </w:tr>
      <w:tr w:rsidR="00114789" w:rsidRPr="00ED5AB4" w14:paraId="5898C45B" w14:textId="77777777" w:rsidTr="00A642F9">
        <w:tc>
          <w:tcPr>
            <w:tcW w:w="1076" w:type="dxa"/>
            <w:shd w:val="clear" w:color="auto" w:fill="auto"/>
          </w:tcPr>
          <w:p w14:paraId="1935B9F7" w14:textId="77777777" w:rsidR="00114789" w:rsidRPr="00B92FD5" w:rsidRDefault="00114789" w:rsidP="00A642F9">
            <w:pPr>
              <w:ind w:left="176" w:hanging="142"/>
              <w:rPr>
                <w:lang w:val="es-ES_tradnl" w:eastAsia="es-ES" w:bidi="es-ES"/>
              </w:rPr>
            </w:pPr>
            <w:r w:rsidRPr="00B92FD5">
              <w:rPr>
                <w:lang w:val="es-ES_tradnl" w:eastAsia="es-ES" w:bidi="es-ES"/>
              </w:rPr>
              <w:t>OMS</w:t>
            </w:r>
          </w:p>
        </w:tc>
        <w:tc>
          <w:tcPr>
            <w:tcW w:w="8416" w:type="dxa"/>
            <w:shd w:val="clear" w:color="auto" w:fill="auto"/>
          </w:tcPr>
          <w:p w14:paraId="3D2BE90F" w14:textId="77777777" w:rsidR="00114789" w:rsidRPr="00B92FD5" w:rsidRDefault="00114789" w:rsidP="00A642F9">
            <w:pPr>
              <w:ind w:left="176"/>
              <w:rPr>
                <w:lang w:val="es-ES_tradnl" w:eastAsia="es-ES" w:bidi="es-ES"/>
              </w:rPr>
            </w:pPr>
            <w:r w:rsidRPr="00B92FD5">
              <w:rPr>
                <w:lang w:val="es-ES_tradnl" w:eastAsia="es-ES" w:bidi="es-ES"/>
              </w:rPr>
              <w:t>Organización Mundial de la Salud.</w:t>
            </w:r>
          </w:p>
        </w:tc>
      </w:tr>
      <w:tr w:rsidR="00114789" w:rsidRPr="00ED5AB4" w14:paraId="3FF6239F" w14:textId="77777777" w:rsidTr="00A642F9">
        <w:tc>
          <w:tcPr>
            <w:tcW w:w="1076" w:type="dxa"/>
            <w:shd w:val="clear" w:color="auto" w:fill="auto"/>
          </w:tcPr>
          <w:p w14:paraId="77B1C414" w14:textId="77777777" w:rsidR="00114789" w:rsidRPr="00B92FD5" w:rsidRDefault="00114789" w:rsidP="00A642F9">
            <w:pPr>
              <w:ind w:left="176" w:hanging="142"/>
              <w:rPr>
                <w:lang w:val="es-ES_tradnl" w:eastAsia="es-ES" w:bidi="es-ES"/>
              </w:rPr>
            </w:pPr>
          </w:p>
        </w:tc>
        <w:tc>
          <w:tcPr>
            <w:tcW w:w="8416" w:type="dxa"/>
            <w:shd w:val="clear" w:color="auto" w:fill="auto"/>
          </w:tcPr>
          <w:p w14:paraId="79BC181E" w14:textId="77777777" w:rsidR="00114789" w:rsidRPr="00B92FD5" w:rsidRDefault="00114789" w:rsidP="00A642F9">
            <w:pPr>
              <w:ind w:left="176"/>
              <w:rPr>
                <w:lang w:val="es-ES_tradnl" w:eastAsia="es-ES" w:bidi="es-ES"/>
              </w:rPr>
            </w:pPr>
          </w:p>
        </w:tc>
      </w:tr>
      <w:tr w:rsidR="00114789" w:rsidRPr="00B92FD5" w14:paraId="283B9448" w14:textId="77777777" w:rsidTr="00A642F9">
        <w:tc>
          <w:tcPr>
            <w:tcW w:w="1076" w:type="dxa"/>
            <w:shd w:val="clear" w:color="auto" w:fill="auto"/>
          </w:tcPr>
          <w:p w14:paraId="60C153D1" w14:textId="77777777" w:rsidR="00114789" w:rsidRPr="00B92FD5" w:rsidRDefault="00114789" w:rsidP="00A642F9">
            <w:pPr>
              <w:ind w:left="176" w:hanging="142"/>
              <w:rPr>
                <w:lang w:val="es-ES_tradnl" w:eastAsia="es-ES" w:bidi="es-ES"/>
              </w:rPr>
            </w:pPr>
            <w:r w:rsidRPr="00B92FD5">
              <w:rPr>
                <w:lang w:val="es-ES_tradnl" w:eastAsia="es-ES" w:bidi="es-ES"/>
              </w:rPr>
              <w:t>p.</w:t>
            </w:r>
          </w:p>
        </w:tc>
        <w:tc>
          <w:tcPr>
            <w:tcW w:w="8416" w:type="dxa"/>
            <w:shd w:val="clear" w:color="auto" w:fill="auto"/>
          </w:tcPr>
          <w:p w14:paraId="73B95695" w14:textId="77777777" w:rsidR="00114789" w:rsidRPr="00B92FD5" w:rsidRDefault="00114789" w:rsidP="00A642F9">
            <w:pPr>
              <w:ind w:left="176"/>
              <w:rPr>
                <w:lang w:val="es-ES_tradnl" w:eastAsia="es-ES" w:bidi="es-ES"/>
              </w:rPr>
            </w:pPr>
            <w:r w:rsidRPr="00B92FD5">
              <w:rPr>
                <w:lang w:val="es-ES_tradnl" w:eastAsia="es-ES" w:bidi="es-ES"/>
              </w:rPr>
              <w:t>peso</w:t>
            </w:r>
          </w:p>
        </w:tc>
      </w:tr>
      <w:tr w:rsidR="00114789" w:rsidRPr="00B92FD5" w14:paraId="05BF0E6D" w14:textId="77777777" w:rsidTr="00A642F9">
        <w:tc>
          <w:tcPr>
            <w:tcW w:w="1076" w:type="dxa"/>
            <w:shd w:val="clear" w:color="auto" w:fill="auto"/>
          </w:tcPr>
          <w:p w14:paraId="10B45544" w14:textId="77777777" w:rsidR="00114789" w:rsidRPr="00B92FD5" w:rsidRDefault="00114789" w:rsidP="00A642F9">
            <w:pPr>
              <w:ind w:left="176" w:hanging="142"/>
              <w:rPr>
                <w:lang w:val="es-ES_tradnl" w:eastAsia="es-ES" w:bidi="es-ES"/>
              </w:rPr>
            </w:pPr>
            <w:r w:rsidRPr="00B92FD5">
              <w:rPr>
                <w:lang w:val="es-ES_tradnl" w:eastAsia="es-ES" w:bidi="es-ES"/>
              </w:rPr>
              <w:t>p/p</w:t>
            </w:r>
          </w:p>
        </w:tc>
        <w:tc>
          <w:tcPr>
            <w:tcW w:w="8416" w:type="dxa"/>
            <w:shd w:val="clear" w:color="auto" w:fill="auto"/>
          </w:tcPr>
          <w:p w14:paraId="7137D3A3" w14:textId="77777777" w:rsidR="00114789" w:rsidRPr="00B92FD5" w:rsidRDefault="00114789" w:rsidP="00A642F9">
            <w:pPr>
              <w:ind w:left="176"/>
              <w:rPr>
                <w:lang w:val="es-ES_tradnl" w:eastAsia="es-ES" w:bidi="es-ES"/>
              </w:rPr>
            </w:pPr>
            <w:r w:rsidRPr="00B92FD5">
              <w:rPr>
                <w:lang w:val="es-ES_tradnl" w:eastAsia="es-ES" w:bidi="es-ES"/>
              </w:rPr>
              <w:t>peso/peso (porcentaje)</w:t>
            </w:r>
          </w:p>
        </w:tc>
      </w:tr>
      <w:tr w:rsidR="00114789" w:rsidRPr="00ED5AB4" w14:paraId="797A935B" w14:textId="77777777" w:rsidTr="00A642F9">
        <w:tc>
          <w:tcPr>
            <w:tcW w:w="1076" w:type="dxa"/>
            <w:shd w:val="clear" w:color="auto" w:fill="auto"/>
          </w:tcPr>
          <w:p w14:paraId="0D9928F8" w14:textId="77777777" w:rsidR="00114789" w:rsidRPr="00B92FD5" w:rsidRDefault="00114789" w:rsidP="00A642F9">
            <w:pPr>
              <w:ind w:left="176" w:hanging="142"/>
              <w:rPr>
                <w:lang w:val="es-ES_tradnl" w:eastAsia="es-ES" w:bidi="es-ES"/>
              </w:rPr>
            </w:pPr>
            <w:r w:rsidRPr="00B92FD5">
              <w:rPr>
                <w:lang w:val="es-ES_tradnl" w:eastAsia="es-ES" w:bidi="es-ES"/>
              </w:rPr>
              <w:t>PNUMA</w:t>
            </w:r>
          </w:p>
        </w:tc>
        <w:tc>
          <w:tcPr>
            <w:tcW w:w="8416" w:type="dxa"/>
            <w:shd w:val="clear" w:color="auto" w:fill="auto"/>
          </w:tcPr>
          <w:p w14:paraId="47C55C81" w14:textId="77777777" w:rsidR="00114789" w:rsidRPr="00B92FD5" w:rsidRDefault="00114789" w:rsidP="00A642F9">
            <w:pPr>
              <w:ind w:left="176"/>
              <w:rPr>
                <w:lang w:val="es-ES_tradnl" w:eastAsia="es-ES" w:bidi="es-ES"/>
              </w:rPr>
            </w:pPr>
            <w:r w:rsidRPr="00B92FD5">
              <w:rPr>
                <w:lang w:val="es-ES_tradnl" w:eastAsia="es-ES" w:bidi="es-ES"/>
              </w:rPr>
              <w:t>Programa de las Naciones Unidas para el Medio Ambiente.</w:t>
            </w:r>
          </w:p>
        </w:tc>
      </w:tr>
      <w:tr w:rsidR="00114789" w:rsidRPr="00ED5AB4" w14:paraId="2D942D52" w14:textId="77777777" w:rsidTr="00A642F9">
        <w:tc>
          <w:tcPr>
            <w:tcW w:w="1076" w:type="dxa"/>
            <w:shd w:val="clear" w:color="auto" w:fill="auto"/>
          </w:tcPr>
          <w:p w14:paraId="6E7409BC" w14:textId="77777777" w:rsidR="00114789" w:rsidRPr="00B92FD5" w:rsidRDefault="00114789" w:rsidP="00A642F9">
            <w:pPr>
              <w:ind w:left="176" w:hanging="142"/>
              <w:rPr>
                <w:lang w:val="es-ES_tradnl" w:eastAsia="es-ES" w:bidi="es-ES"/>
              </w:rPr>
            </w:pPr>
            <w:proofErr w:type="spellStart"/>
            <w:r w:rsidRPr="00B92FD5">
              <w:rPr>
                <w:lang w:val="es-ES_tradnl" w:eastAsia="es-ES" w:bidi="es-ES"/>
              </w:rPr>
              <w:t>Pow</w:t>
            </w:r>
            <w:proofErr w:type="spellEnd"/>
          </w:p>
        </w:tc>
        <w:tc>
          <w:tcPr>
            <w:tcW w:w="8416" w:type="dxa"/>
            <w:shd w:val="clear" w:color="auto" w:fill="auto"/>
          </w:tcPr>
          <w:p w14:paraId="74A65EEA" w14:textId="77777777" w:rsidR="00114789" w:rsidRPr="00B92FD5" w:rsidRDefault="00114789" w:rsidP="00A642F9">
            <w:pPr>
              <w:ind w:left="176"/>
              <w:rPr>
                <w:lang w:val="es-ES_tradnl" w:eastAsia="es-ES" w:bidi="es-ES"/>
              </w:rPr>
            </w:pPr>
            <w:r w:rsidRPr="00B92FD5">
              <w:rPr>
                <w:lang w:val="es-ES_tradnl" w:eastAsia="es-ES" w:bidi="es-ES"/>
              </w:rPr>
              <w:t xml:space="preserve">coeficiente de separación </w:t>
            </w:r>
            <w:proofErr w:type="spellStart"/>
            <w:r w:rsidRPr="00B92FD5">
              <w:rPr>
                <w:lang w:val="es-ES_tradnl" w:eastAsia="es-ES" w:bidi="es-ES"/>
              </w:rPr>
              <w:t>octanol</w:t>
            </w:r>
            <w:proofErr w:type="spellEnd"/>
            <w:r w:rsidRPr="00B92FD5">
              <w:rPr>
                <w:lang w:val="es-ES_tradnl" w:eastAsia="es-ES" w:bidi="es-ES"/>
              </w:rPr>
              <w:t>-agua</w:t>
            </w:r>
          </w:p>
        </w:tc>
      </w:tr>
      <w:tr w:rsidR="00114789" w:rsidRPr="00B92FD5" w14:paraId="49A38EC8" w14:textId="77777777" w:rsidTr="00A642F9">
        <w:tc>
          <w:tcPr>
            <w:tcW w:w="1076" w:type="dxa"/>
            <w:shd w:val="clear" w:color="auto" w:fill="auto"/>
          </w:tcPr>
          <w:p w14:paraId="289B7570" w14:textId="77777777" w:rsidR="00114789" w:rsidRPr="00B92FD5" w:rsidRDefault="00114789" w:rsidP="00A642F9">
            <w:pPr>
              <w:ind w:left="176" w:hanging="142"/>
              <w:rPr>
                <w:lang w:val="es-ES_tradnl" w:eastAsia="es-ES" w:bidi="es-ES"/>
              </w:rPr>
            </w:pPr>
            <w:r w:rsidRPr="00B92FD5">
              <w:rPr>
                <w:lang w:val="es-ES_tradnl" w:eastAsia="es-ES" w:bidi="es-ES"/>
              </w:rPr>
              <w:t>PPE</w:t>
            </w:r>
          </w:p>
        </w:tc>
        <w:tc>
          <w:tcPr>
            <w:tcW w:w="8416" w:type="dxa"/>
            <w:shd w:val="clear" w:color="auto" w:fill="auto"/>
          </w:tcPr>
          <w:p w14:paraId="6EF50A93" w14:textId="77777777" w:rsidR="00114789" w:rsidRPr="00B92FD5" w:rsidRDefault="00114789" w:rsidP="00A642F9">
            <w:pPr>
              <w:ind w:left="176"/>
              <w:rPr>
                <w:lang w:val="es-ES_tradnl" w:eastAsia="es-ES" w:bidi="es-ES"/>
              </w:rPr>
            </w:pPr>
            <w:r w:rsidRPr="00B92FD5">
              <w:rPr>
                <w:lang w:val="es-ES_tradnl" w:eastAsia="es-ES" w:bidi="es-ES"/>
              </w:rPr>
              <w:t>equipo protector personal</w:t>
            </w:r>
          </w:p>
        </w:tc>
      </w:tr>
      <w:tr w:rsidR="00114789" w:rsidRPr="00ED5AB4" w14:paraId="032FE4EF" w14:textId="77777777" w:rsidTr="00A642F9">
        <w:tc>
          <w:tcPr>
            <w:tcW w:w="1076" w:type="dxa"/>
            <w:shd w:val="clear" w:color="auto" w:fill="auto"/>
          </w:tcPr>
          <w:p w14:paraId="22A95F5B" w14:textId="77777777" w:rsidR="00114789" w:rsidRPr="00B92FD5" w:rsidRDefault="00114789" w:rsidP="00A642F9">
            <w:pPr>
              <w:ind w:left="176" w:hanging="142"/>
              <w:rPr>
                <w:lang w:val="es-ES_tradnl" w:eastAsia="es-ES" w:bidi="es-ES"/>
              </w:rPr>
            </w:pPr>
            <w:r w:rsidRPr="00B92FD5">
              <w:rPr>
                <w:lang w:val="es-ES_tradnl" w:eastAsia="es-ES" w:bidi="es-ES"/>
              </w:rPr>
              <w:t>ppm</w:t>
            </w:r>
          </w:p>
        </w:tc>
        <w:tc>
          <w:tcPr>
            <w:tcW w:w="8416" w:type="dxa"/>
            <w:shd w:val="clear" w:color="auto" w:fill="auto"/>
          </w:tcPr>
          <w:p w14:paraId="56BBF196" w14:textId="77777777" w:rsidR="00114789" w:rsidRPr="00B92FD5" w:rsidRDefault="00114789" w:rsidP="00A642F9">
            <w:pPr>
              <w:ind w:left="176"/>
              <w:rPr>
                <w:lang w:val="es-ES_tradnl" w:eastAsia="es-ES" w:bidi="es-ES"/>
              </w:rPr>
            </w:pPr>
            <w:r w:rsidRPr="00B92FD5">
              <w:rPr>
                <w:lang w:val="es-ES_tradnl" w:eastAsia="es-ES" w:bidi="es-ES"/>
              </w:rPr>
              <w:t>partes por millón (usado únicamente en referencia a la concentración de un plaguicida en un régimen alimenticio experimental. En todos los demás contextos se emplean los términos mg/kg o mg/l).</w:t>
            </w:r>
          </w:p>
        </w:tc>
      </w:tr>
      <w:tr w:rsidR="00114789" w:rsidRPr="00ED5AB4" w14:paraId="21852B00" w14:textId="77777777" w:rsidTr="00A642F9">
        <w:tc>
          <w:tcPr>
            <w:tcW w:w="1076" w:type="dxa"/>
            <w:shd w:val="clear" w:color="auto" w:fill="auto"/>
          </w:tcPr>
          <w:p w14:paraId="5F6E4557" w14:textId="77777777" w:rsidR="00114789" w:rsidRPr="00B92FD5" w:rsidRDefault="00114789" w:rsidP="00A642F9">
            <w:pPr>
              <w:ind w:left="176" w:hanging="142"/>
              <w:rPr>
                <w:lang w:val="es-ES_tradnl" w:eastAsia="es-ES" w:bidi="es-ES"/>
              </w:rPr>
            </w:pPr>
          </w:p>
        </w:tc>
        <w:tc>
          <w:tcPr>
            <w:tcW w:w="8416" w:type="dxa"/>
            <w:shd w:val="clear" w:color="auto" w:fill="auto"/>
          </w:tcPr>
          <w:p w14:paraId="2467145E" w14:textId="77777777" w:rsidR="00114789" w:rsidRPr="00B92FD5" w:rsidRDefault="00114789" w:rsidP="00A642F9">
            <w:pPr>
              <w:ind w:left="176"/>
              <w:rPr>
                <w:lang w:val="es-ES_tradnl" w:eastAsia="es-ES" w:bidi="es-ES"/>
              </w:rPr>
            </w:pPr>
          </w:p>
        </w:tc>
      </w:tr>
      <w:tr w:rsidR="00114789" w:rsidRPr="00B92FD5" w14:paraId="38264F36" w14:textId="77777777" w:rsidTr="00A642F9">
        <w:tblPrEx>
          <w:tblCellMar>
            <w:left w:w="70" w:type="dxa"/>
            <w:right w:w="70" w:type="dxa"/>
          </w:tblCellMar>
        </w:tblPrEx>
        <w:tc>
          <w:tcPr>
            <w:tcW w:w="1076" w:type="dxa"/>
            <w:shd w:val="clear" w:color="auto" w:fill="auto"/>
          </w:tcPr>
          <w:p w14:paraId="0CCF521B" w14:textId="77777777" w:rsidR="00114789" w:rsidRPr="00B92FD5" w:rsidRDefault="00114789" w:rsidP="00A642F9">
            <w:pPr>
              <w:ind w:left="176" w:hanging="142"/>
              <w:rPr>
                <w:lang w:val="es-ES_tradnl" w:eastAsia="es-ES" w:bidi="es-ES"/>
              </w:rPr>
            </w:pPr>
            <w:r w:rsidRPr="00B92FD5">
              <w:rPr>
                <w:lang w:val="es-ES_tradnl" w:eastAsia="es-ES" w:bidi="es-ES"/>
              </w:rPr>
              <w:t>RC</w:t>
            </w:r>
          </w:p>
        </w:tc>
        <w:tc>
          <w:tcPr>
            <w:tcW w:w="8416" w:type="dxa"/>
            <w:shd w:val="clear" w:color="auto" w:fill="auto"/>
          </w:tcPr>
          <w:p w14:paraId="088D84A4" w14:textId="77777777" w:rsidR="00114789" w:rsidRPr="00B92FD5" w:rsidRDefault="00114789" w:rsidP="00A642F9">
            <w:pPr>
              <w:ind w:left="176"/>
              <w:rPr>
                <w:lang w:val="es-ES_tradnl" w:eastAsia="es-ES" w:bidi="es-ES"/>
              </w:rPr>
            </w:pPr>
            <w:r w:rsidRPr="00B92FD5">
              <w:rPr>
                <w:lang w:val="es-ES_tradnl" w:eastAsia="es-ES" w:bidi="es-ES"/>
              </w:rPr>
              <w:t>Convenio de Rotterdam</w:t>
            </w:r>
          </w:p>
        </w:tc>
      </w:tr>
      <w:tr w:rsidR="00114789" w:rsidRPr="00ED5AB4" w14:paraId="18C9996C" w14:textId="77777777" w:rsidTr="00A642F9">
        <w:tblPrEx>
          <w:tblCellMar>
            <w:left w:w="70" w:type="dxa"/>
            <w:right w:w="70" w:type="dxa"/>
          </w:tblCellMar>
        </w:tblPrEx>
        <w:tc>
          <w:tcPr>
            <w:tcW w:w="1076" w:type="dxa"/>
            <w:shd w:val="clear" w:color="auto" w:fill="auto"/>
          </w:tcPr>
          <w:p w14:paraId="30B996F8" w14:textId="77777777" w:rsidR="00114789" w:rsidRPr="00B92FD5" w:rsidRDefault="00114789" w:rsidP="00A642F9">
            <w:pPr>
              <w:ind w:left="176" w:hanging="142"/>
              <w:rPr>
                <w:lang w:val="es-ES_tradnl" w:eastAsia="es-ES" w:bidi="es-ES"/>
              </w:rPr>
            </w:pPr>
            <w:proofErr w:type="spellStart"/>
            <w:r w:rsidRPr="00B92FD5">
              <w:rPr>
                <w:lang w:val="es-ES_tradnl" w:eastAsia="es-ES" w:bidi="es-ES"/>
              </w:rPr>
              <w:t>RfD</w:t>
            </w:r>
            <w:proofErr w:type="spellEnd"/>
          </w:p>
        </w:tc>
        <w:tc>
          <w:tcPr>
            <w:tcW w:w="8416" w:type="dxa"/>
            <w:shd w:val="clear" w:color="auto" w:fill="auto"/>
          </w:tcPr>
          <w:p w14:paraId="5AE18574" w14:textId="77777777" w:rsidR="00114789" w:rsidRPr="00B92FD5" w:rsidRDefault="00114789" w:rsidP="00A642F9">
            <w:pPr>
              <w:ind w:left="176"/>
              <w:rPr>
                <w:lang w:val="es-ES_tradnl" w:eastAsia="es-ES" w:bidi="es-ES"/>
              </w:rPr>
            </w:pPr>
            <w:r w:rsidRPr="00B92FD5">
              <w:rPr>
                <w:lang w:val="es-ES_tradnl" w:eastAsia="es-ES" w:bidi="es-ES"/>
              </w:rPr>
              <w:t>dosis de referencia para la exposición oral crónica (comparable a la ADI)</w:t>
            </w:r>
          </w:p>
        </w:tc>
      </w:tr>
      <w:tr w:rsidR="00114789" w:rsidRPr="00ED5AB4" w14:paraId="629E1629" w14:textId="77777777" w:rsidTr="00A642F9">
        <w:tblPrEx>
          <w:tblCellMar>
            <w:left w:w="70" w:type="dxa"/>
            <w:right w:w="70" w:type="dxa"/>
          </w:tblCellMar>
        </w:tblPrEx>
        <w:tc>
          <w:tcPr>
            <w:tcW w:w="1076" w:type="dxa"/>
            <w:shd w:val="clear" w:color="auto" w:fill="auto"/>
          </w:tcPr>
          <w:p w14:paraId="090F7564" w14:textId="77777777" w:rsidR="00114789" w:rsidRPr="00B92FD5" w:rsidRDefault="00114789" w:rsidP="00A642F9">
            <w:pPr>
              <w:ind w:left="176" w:hanging="142"/>
              <w:rPr>
                <w:lang w:val="es-ES_tradnl" w:eastAsia="es-ES" w:bidi="es-ES"/>
              </w:rPr>
            </w:pPr>
          </w:p>
        </w:tc>
        <w:tc>
          <w:tcPr>
            <w:tcW w:w="8416" w:type="dxa"/>
            <w:shd w:val="clear" w:color="auto" w:fill="auto"/>
          </w:tcPr>
          <w:p w14:paraId="311736CD" w14:textId="77777777" w:rsidR="00114789" w:rsidRPr="00B92FD5" w:rsidRDefault="00114789" w:rsidP="00A642F9">
            <w:pPr>
              <w:ind w:left="176"/>
              <w:rPr>
                <w:lang w:val="es-ES_tradnl" w:eastAsia="es-ES" w:bidi="es-ES"/>
              </w:rPr>
            </w:pPr>
          </w:p>
        </w:tc>
      </w:tr>
      <w:tr w:rsidR="00114789" w:rsidRPr="00B92FD5" w14:paraId="6BE95665" w14:textId="77777777" w:rsidTr="00A642F9">
        <w:tc>
          <w:tcPr>
            <w:tcW w:w="1076" w:type="dxa"/>
            <w:shd w:val="clear" w:color="auto" w:fill="auto"/>
          </w:tcPr>
          <w:p w14:paraId="65C50BDE" w14:textId="77777777" w:rsidR="00114789" w:rsidRPr="00B92FD5" w:rsidRDefault="00114789" w:rsidP="00A642F9">
            <w:pPr>
              <w:ind w:left="176" w:hanging="142"/>
              <w:rPr>
                <w:color w:val="333333"/>
                <w:lang w:val="es-ES_tradnl" w:eastAsia="es-ES" w:bidi="es-ES"/>
              </w:rPr>
            </w:pPr>
            <w:r w:rsidRPr="00B92FD5">
              <w:rPr>
                <w:color w:val="333333"/>
                <w:lang w:val="es-ES_tradnl" w:eastAsia="es-ES" w:bidi="es-ES"/>
              </w:rPr>
              <w:t>UE</w:t>
            </w:r>
          </w:p>
        </w:tc>
        <w:tc>
          <w:tcPr>
            <w:tcW w:w="8416" w:type="dxa"/>
            <w:shd w:val="clear" w:color="auto" w:fill="auto"/>
          </w:tcPr>
          <w:p w14:paraId="53652FD8" w14:textId="77777777" w:rsidR="00114789" w:rsidRPr="00B92FD5" w:rsidRDefault="00114789" w:rsidP="00A642F9">
            <w:pPr>
              <w:ind w:left="176"/>
              <w:rPr>
                <w:color w:val="333333"/>
                <w:lang w:val="es-ES_tradnl" w:eastAsia="es-ES" w:bidi="es-ES"/>
              </w:rPr>
            </w:pPr>
            <w:r w:rsidRPr="00B92FD5">
              <w:rPr>
                <w:color w:val="333333"/>
                <w:lang w:val="es-ES_tradnl" w:eastAsia="es-ES" w:bidi="es-ES"/>
              </w:rPr>
              <w:t>Unión Europea</w:t>
            </w:r>
          </w:p>
        </w:tc>
      </w:tr>
      <w:tr w:rsidR="00114789" w:rsidRPr="00ED5AB4" w14:paraId="62D289F8" w14:textId="77777777" w:rsidTr="00A642F9">
        <w:tc>
          <w:tcPr>
            <w:tcW w:w="1076" w:type="dxa"/>
            <w:shd w:val="clear" w:color="auto" w:fill="auto"/>
          </w:tcPr>
          <w:p w14:paraId="71A4543A" w14:textId="77777777" w:rsidR="00114789" w:rsidRPr="00B92FD5" w:rsidRDefault="00114789" w:rsidP="00A642F9">
            <w:pPr>
              <w:ind w:left="176" w:hanging="142"/>
              <w:rPr>
                <w:lang w:val="es-ES_tradnl" w:eastAsia="es-ES" w:bidi="es-ES"/>
              </w:rPr>
            </w:pPr>
            <w:r w:rsidRPr="00B92FD5">
              <w:rPr>
                <w:lang w:val="es-ES_tradnl" w:eastAsia="es-ES" w:bidi="es-ES"/>
              </w:rPr>
              <w:t>US EPA</w:t>
            </w:r>
          </w:p>
        </w:tc>
        <w:tc>
          <w:tcPr>
            <w:tcW w:w="8416" w:type="dxa"/>
            <w:shd w:val="clear" w:color="auto" w:fill="auto"/>
          </w:tcPr>
          <w:p w14:paraId="484038DE" w14:textId="77777777" w:rsidR="00114789" w:rsidRPr="00B92FD5" w:rsidRDefault="00114789" w:rsidP="00A642F9">
            <w:pPr>
              <w:ind w:left="176"/>
              <w:rPr>
                <w:lang w:val="es-ES_tradnl" w:eastAsia="es-ES" w:bidi="es-ES"/>
              </w:rPr>
            </w:pPr>
            <w:r w:rsidRPr="00B92FD5">
              <w:rPr>
                <w:lang w:val="es-ES_tradnl" w:eastAsia="es-ES" w:bidi="es-ES"/>
              </w:rPr>
              <w:t xml:space="preserve">Agencia de Protección Ambiental de Estados Unidos </w:t>
            </w:r>
          </w:p>
        </w:tc>
      </w:tr>
      <w:tr w:rsidR="00114789" w:rsidRPr="00B92FD5" w14:paraId="0F63A8C4" w14:textId="77777777" w:rsidTr="00A642F9">
        <w:tc>
          <w:tcPr>
            <w:tcW w:w="1076" w:type="dxa"/>
            <w:shd w:val="clear" w:color="auto" w:fill="auto"/>
          </w:tcPr>
          <w:p w14:paraId="4203C975" w14:textId="77777777" w:rsidR="00114789" w:rsidRPr="00B92FD5" w:rsidRDefault="00114789" w:rsidP="00A642F9">
            <w:pPr>
              <w:ind w:left="176" w:hanging="142"/>
              <w:rPr>
                <w:lang w:val="es-ES_tradnl" w:eastAsia="es-ES" w:bidi="es-ES"/>
              </w:rPr>
            </w:pPr>
            <w:r w:rsidRPr="00B92FD5">
              <w:rPr>
                <w:lang w:val="es-ES_tradnl" w:eastAsia="es-ES" w:bidi="es-ES"/>
              </w:rPr>
              <w:t>USA</w:t>
            </w:r>
          </w:p>
        </w:tc>
        <w:tc>
          <w:tcPr>
            <w:tcW w:w="8416" w:type="dxa"/>
            <w:shd w:val="clear" w:color="auto" w:fill="auto"/>
          </w:tcPr>
          <w:p w14:paraId="26546998" w14:textId="77777777" w:rsidR="00114789" w:rsidRPr="00B92FD5" w:rsidRDefault="00114789" w:rsidP="00A642F9">
            <w:pPr>
              <w:ind w:left="176"/>
              <w:rPr>
                <w:lang w:val="es-ES_tradnl" w:eastAsia="es-ES" w:bidi="es-ES"/>
              </w:rPr>
            </w:pPr>
            <w:r w:rsidRPr="00B92FD5">
              <w:rPr>
                <w:lang w:val="es-ES_tradnl" w:eastAsia="es-ES" w:bidi="es-ES"/>
              </w:rPr>
              <w:t>Estados Unidos de América</w:t>
            </w:r>
          </w:p>
        </w:tc>
      </w:tr>
      <w:tr w:rsidR="00114789" w:rsidRPr="00B92FD5" w14:paraId="7EAA52C2" w14:textId="77777777" w:rsidTr="00A642F9">
        <w:tc>
          <w:tcPr>
            <w:tcW w:w="1076" w:type="dxa"/>
            <w:shd w:val="clear" w:color="auto" w:fill="auto"/>
          </w:tcPr>
          <w:p w14:paraId="7D4E11AF" w14:textId="77777777" w:rsidR="00114789" w:rsidRPr="00B92FD5" w:rsidRDefault="00114789" w:rsidP="00A642F9">
            <w:pPr>
              <w:ind w:left="176" w:hanging="142"/>
              <w:rPr>
                <w:lang w:val="es-ES_tradnl" w:eastAsia="es-ES" w:bidi="es-ES"/>
              </w:rPr>
            </w:pPr>
            <w:r w:rsidRPr="00B92FD5">
              <w:rPr>
                <w:lang w:val="es-ES_tradnl" w:eastAsia="es-ES" w:bidi="es-ES"/>
              </w:rPr>
              <w:t>UV</w:t>
            </w:r>
          </w:p>
        </w:tc>
        <w:tc>
          <w:tcPr>
            <w:tcW w:w="8416" w:type="dxa"/>
            <w:shd w:val="clear" w:color="auto" w:fill="auto"/>
          </w:tcPr>
          <w:p w14:paraId="37096667" w14:textId="77777777" w:rsidR="00114789" w:rsidRPr="00B92FD5" w:rsidRDefault="00114789" w:rsidP="00A642F9">
            <w:pPr>
              <w:ind w:left="176"/>
              <w:rPr>
                <w:lang w:val="es-ES_tradnl" w:eastAsia="es-ES" w:bidi="es-ES"/>
              </w:rPr>
            </w:pPr>
            <w:r w:rsidRPr="00B92FD5">
              <w:rPr>
                <w:lang w:val="es-ES_tradnl" w:eastAsia="es-ES" w:bidi="es-ES"/>
              </w:rPr>
              <w:t>ultravioleta</w:t>
            </w:r>
          </w:p>
        </w:tc>
      </w:tr>
    </w:tbl>
    <w:p w14:paraId="6735D868" w14:textId="77777777" w:rsidR="00114789" w:rsidRPr="00B92FD5" w:rsidRDefault="00114789" w:rsidP="00114789">
      <w:pPr>
        <w:spacing w:after="120"/>
        <w:ind w:firstLine="720"/>
        <w:rPr>
          <w:lang w:val="es-ES_tradnl" w:eastAsia="es-ES" w:bidi="es-ES"/>
        </w:rPr>
      </w:pPr>
    </w:p>
    <w:p w14:paraId="17BBF868" w14:textId="77777777" w:rsidR="00114789" w:rsidRPr="00B92FD5" w:rsidRDefault="00114789" w:rsidP="00114789">
      <w:pPr>
        <w:spacing w:after="120"/>
        <w:ind w:firstLine="720"/>
        <w:rPr>
          <w:sz w:val="4"/>
          <w:szCs w:val="4"/>
          <w:lang w:val="es-ES_tradnl" w:eastAsia="es-ES" w:bidi="es-ES"/>
        </w:rPr>
      </w:pPr>
      <w:r w:rsidRPr="00B92FD5">
        <w:rPr>
          <w:lang w:val="es-ES_tradnl" w:eastAsia="es-ES" w:bidi="es-ES"/>
        </w:rPr>
        <w:br w:type="page"/>
      </w:r>
    </w:p>
    <w:tbl>
      <w:tblPr>
        <w:tblW w:w="9566" w:type="dxa"/>
        <w:tblInd w:w="-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566"/>
      </w:tblGrid>
      <w:tr w:rsidR="00114789" w:rsidRPr="00ED5AB4" w14:paraId="1A9B733A" w14:textId="77777777" w:rsidTr="00116113">
        <w:tc>
          <w:tcPr>
            <w:tcW w:w="9566" w:type="dxa"/>
            <w:shd w:val="pct10" w:color="auto" w:fill="auto"/>
          </w:tcPr>
          <w:p w14:paraId="21357377" w14:textId="77777777" w:rsidR="00114789" w:rsidRPr="00B92FD5" w:rsidRDefault="00114789" w:rsidP="00A642F9">
            <w:pPr>
              <w:keepNext/>
              <w:spacing w:before="40" w:after="60"/>
              <w:jc w:val="center"/>
              <w:outlineLvl w:val="0"/>
              <w:rPr>
                <w:b/>
                <w:bCs/>
                <w:kern w:val="28"/>
                <w:sz w:val="28"/>
                <w:szCs w:val="28"/>
                <w:lang w:val="es-ES_tradnl" w:eastAsia="es-ES" w:bidi="es-ES"/>
              </w:rPr>
            </w:pPr>
            <w:r w:rsidRPr="00B92FD5">
              <w:rPr>
                <w:b/>
                <w:bCs/>
                <w:kern w:val="28"/>
                <w:sz w:val="24"/>
                <w:szCs w:val="24"/>
                <w:lang w:val="es-ES_tradnl"/>
              </w:rPr>
              <w:t>Documento de orientación para la adopción de decisiones para una formulación plaguicida extremadamente peligrosa que causa problemas para la salud humana</w:t>
            </w:r>
          </w:p>
        </w:tc>
      </w:tr>
    </w:tbl>
    <w:p w14:paraId="58A02720" w14:textId="77777777" w:rsidR="00114789" w:rsidRPr="00B92FD5" w:rsidRDefault="00114789" w:rsidP="00114789">
      <w:pPr>
        <w:tabs>
          <w:tab w:val="left" w:pos="-720"/>
          <w:tab w:val="left" w:pos="0"/>
          <w:tab w:val="left" w:pos="720"/>
        </w:tabs>
        <w:suppressAutoHyphens/>
        <w:rPr>
          <w:szCs w:val="10"/>
          <w:lang w:val="es-ES_tradnl" w:eastAsia="es-ES" w:bidi="es-ES"/>
        </w:rPr>
      </w:pPr>
    </w:p>
    <w:tbl>
      <w:tblPr>
        <w:tblW w:w="9566" w:type="dxa"/>
        <w:tblInd w:w="-8" w:type="dxa"/>
        <w:tblLayout w:type="fixed"/>
        <w:tblLook w:val="0000" w:firstRow="0" w:lastRow="0" w:firstColumn="0" w:lastColumn="0" w:noHBand="0" w:noVBand="0"/>
      </w:tblPr>
      <w:tblGrid>
        <w:gridCol w:w="6340"/>
        <w:gridCol w:w="3226"/>
      </w:tblGrid>
      <w:tr w:rsidR="00114789" w:rsidRPr="00B92FD5" w14:paraId="6520F95F" w14:textId="77777777" w:rsidTr="00116113">
        <w:trPr>
          <w:cantSplit/>
        </w:trPr>
        <w:tc>
          <w:tcPr>
            <w:tcW w:w="6340" w:type="dxa"/>
            <w:tcBorders>
              <w:top w:val="single" w:sz="6" w:space="0" w:color="808080"/>
              <w:left w:val="single" w:sz="6" w:space="0" w:color="808080"/>
              <w:bottom w:val="single" w:sz="6" w:space="0" w:color="808080"/>
            </w:tcBorders>
            <w:shd w:val="clear" w:color="auto" w:fill="FFFFFF"/>
          </w:tcPr>
          <w:p w14:paraId="1309D32A" w14:textId="77777777" w:rsidR="00114789" w:rsidRPr="00B92FD5" w:rsidRDefault="00114789" w:rsidP="00A642F9">
            <w:pPr>
              <w:keepNext/>
              <w:rPr>
                <w:b/>
                <w:bCs/>
                <w:i/>
                <w:caps/>
                <w:kern w:val="28"/>
                <w:szCs w:val="24"/>
                <w:lang w:val="es-ES_tradnl" w:eastAsia="es-ES" w:bidi="es-ES"/>
              </w:rPr>
            </w:pPr>
            <w:r w:rsidRPr="00B92FD5">
              <w:rPr>
                <w:b/>
                <w:i/>
                <w:caps/>
                <w:kern w:val="28"/>
                <w:lang w:val="es-ES_tradnl" w:eastAsia="es-ES" w:bidi="es-ES"/>
              </w:rPr>
              <w:t>Fentión (formulaciones de ultra bajo volumen de 640 g/l de ingrediente activo o por encima de ese nivel)</w:t>
            </w:r>
            <w:r w:rsidRPr="00B92FD5">
              <w:rPr>
                <w:rFonts w:ascii="Calibri" w:hAnsi="Calibri"/>
                <w:i/>
                <w:caps/>
                <w:lang w:val="es-ES_tradnl" w:eastAsia="es-ES" w:bidi="es-ES"/>
              </w:rPr>
              <w:t xml:space="preserve"> </w:t>
            </w:r>
          </w:p>
        </w:tc>
        <w:tc>
          <w:tcPr>
            <w:tcW w:w="3226" w:type="dxa"/>
            <w:tcBorders>
              <w:top w:val="single" w:sz="6" w:space="0" w:color="808080"/>
              <w:bottom w:val="single" w:sz="6" w:space="0" w:color="808080"/>
              <w:right w:val="single" w:sz="6" w:space="0" w:color="808080"/>
            </w:tcBorders>
            <w:shd w:val="clear" w:color="auto" w:fill="FFFFFF"/>
          </w:tcPr>
          <w:p w14:paraId="7AF6B23E" w14:textId="578252FD" w:rsidR="00114789" w:rsidRPr="00B92FD5" w:rsidRDefault="00114789" w:rsidP="00A642F9">
            <w:pPr>
              <w:keepNext/>
              <w:jc w:val="center"/>
              <w:rPr>
                <w:b/>
                <w:bCs/>
                <w:i/>
                <w:kern w:val="28"/>
                <w:szCs w:val="48"/>
                <w:lang w:val="es-ES_tradnl" w:eastAsia="es-ES" w:bidi="es-ES"/>
              </w:rPr>
            </w:pPr>
            <w:r w:rsidRPr="00B92FD5">
              <w:rPr>
                <w:b/>
                <w:kern w:val="28"/>
                <w:lang w:val="es-ES_tradnl" w:eastAsia="es-ES" w:bidi="es-ES"/>
              </w:rPr>
              <w:t>Publicado:</w:t>
            </w:r>
            <w:r w:rsidR="00ED5AB4">
              <w:rPr>
                <w:b/>
                <w:kern w:val="28"/>
                <w:lang w:val="es-ES_tradnl" w:eastAsia="es-ES" w:bidi="es-ES"/>
              </w:rPr>
              <w:t xml:space="preserve"> </w:t>
            </w:r>
            <w:r w:rsidR="00ED5AB4" w:rsidRPr="00ED5AB4">
              <w:rPr>
                <w:b/>
                <w:kern w:val="28"/>
                <w:lang w:val="es-ES_tradnl" w:eastAsia="es-ES" w:bidi="es-ES"/>
              </w:rPr>
              <w:t>octubre de 2025</w:t>
            </w:r>
          </w:p>
        </w:tc>
      </w:tr>
      <w:tr w:rsidR="00114789" w:rsidRPr="00B92FD5" w14:paraId="7F388A00" w14:textId="77777777" w:rsidTr="00116113">
        <w:trPr>
          <w:cantSplit/>
        </w:trPr>
        <w:tc>
          <w:tcPr>
            <w:tcW w:w="9566" w:type="dxa"/>
            <w:gridSpan w:val="2"/>
            <w:tcBorders>
              <w:top w:val="single" w:sz="6" w:space="0" w:color="808080"/>
            </w:tcBorders>
            <w:shd w:val="clear" w:color="auto" w:fill="auto"/>
          </w:tcPr>
          <w:p w14:paraId="3D0B8D4D" w14:textId="77777777" w:rsidR="00114789" w:rsidRPr="00B92FD5" w:rsidRDefault="00114789" w:rsidP="00A642F9">
            <w:pPr>
              <w:ind w:left="576"/>
              <w:rPr>
                <w:lang w:val="es-ES_tradnl" w:eastAsia="es-ES" w:bidi="es-ES"/>
              </w:rPr>
            </w:pPr>
          </w:p>
        </w:tc>
      </w:tr>
    </w:tbl>
    <w:p w14:paraId="371329B2" w14:textId="77777777" w:rsidR="00114789" w:rsidRPr="00B92FD5" w:rsidRDefault="00114789" w:rsidP="00114789">
      <w:pPr>
        <w:rPr>
          <w:lang w:val="es-ES_tradnl" w:eastAsia="es-ES" w:bidi="es-ES"/>
        </w:rPr>
      </w:pPr>
    </w:p>
    <w:tbl>
      <w:tblPr>
        <w:tblW w:w="5061" w:type="pct"/>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3927"/>
        <w:gridCol w:w="5670"/>
      </w:tblGrid>
      <w:tr w:rsidR="00114789" w:rsidRPr="00ED5AB4" w14:paraId="506B08A3" w14:textId="77777777" w:rsidTr="00116113">
        <w:tc>
          <w:tcPr>
            <w:tcW w:w="9597" w:type="dxa"/>
            <w:gridSpan w:val="2"/>
            <w:tcBorders>
              <w:top w:val="single" w:sz="6" w:space="0" w:color="808080"/>
              <w:left w:val="single" w:sz="6" w:space="0" w:color="808080"/>
              <w:bottom w:val="single" w:sz="6" w:space="0" w:color="808080"/>
              <w:right w:val="single" w:sz="6" w:space="0" w:color="808080"/>
            </w:tcBorders>
            <w:shd w:val="pct10" w:color="auto" w:fill="auto"/>
          </w:tcPr>
          <w:p w14:paraId="753369B4" w14:textId="77777777" w:rsidR="00114789" w:rsidRPr="00B92FD5" w:rsidRDefault="00114789" w:rsidP="00A642F9">
            <w:pPr>
              <w:rPr>
                <w:b/>
                <w:szCs w:val="24"/>
                <w:lang w:val="es-ES_tradnl" w:eastAsia="es-ES" w:bidi="es-ES"/>
              </w:rPr>
            </w:pPr>
            <w:r w:rsidRPr="00B92FD5">
              <w:rPr>
                <w:b/>
                <w:lang w:val="es-ES_tradnl" w:eastAsia="es-ES" w:bidi="es-ES"/>
              </w:rPr>
              <w:t xml:space="preserve">1. Identificación y usos (véase el anexo I para detalles suplementarios) </w:t>
            </w:r>
          </w:p>
        </w:tc>
      </w:tr>
      <w:tr w:rsidR="00114789" w:rsidRPr="00B92FD5" w14:paraId="05A89CF2"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353744EF" w14:textId="77777777" w:rsidR="00114789" w:rsidRPr="00B92FD5" w:rsidRDefault="00114789" w:rsidP="00A642F9">
            <w:pPr>
              <w:spacing w:beforeLines="60" w:before="144" w:after="20"/>
              <w:outlineLvl w:val="2"/>
              <w:rPr>
                <w:b/>
                <w:bCs/>
                <w:lang w:val="es-ES_tradnl" w:eastAsia="es-ES" w:bidi="es-ES"/>
              </w:rPr>
            </w:pPr>
            <w:r w:rsidRPr="00B92FD5">
              <w:rPr>
                <w:b/>
                <w:lang w:val="es-ES_tradnl" w:eastAsia="es-ES" w:bidi="es-ES"/>
              </w:rPr>
              <w:t>Nombre o nombre comercial de la formulación plaguicida peligrosa</w:t>
            </w:r>
          </w:p>
        </w:tc>
        <w:tc>
          <w:tcPr>
            <w:tcW w:w="5670" w:type="dxa"/>
            <w:shd w:val="clear" w:color="auto" w:fill="auto"/>
          </w:tcPr>
          <w:p w14:paraId="245C57FF" w14:textId="77777777" w:rsidR="00114789" w:rsidRPr="00B92FD5" w:rsidRDefault="00114789" w:rsidP="00A642F9">
            <w:pPr>
              <w:spacing w:beforeLines="60" w:before="144"/>
              <w:rPr>
                <w:lang w:val="es-ES_tradnl" w:eastAsia="es-ES" w:bidi="es-ES"/>
              </w:rPr>
            </w:pPr>
            <w:proofErr w:type="spellStart"/>
            <w:r w:rsidRPr="00B92FD5">
              <w:rPr>
                <w:lang w:val="es-ES_tradnl" w:eastAsia="es-ES" w:bidi="es-ES"/>
              </w:rPr>
              <w:t>Fentión</w:t>
            </w:r>
            <w:proofErr w:type="spellEnd"/>
            <w:r w:rsidRPr="00B92FD5">
              <w:rPr>
                <w:lang w:val="es-ES_tradnl" w:eastAsia="es-ES" w:bidi="es-ES"/>
              </w:rPr>
              <w:t xml:space="preserve"> 640 ULV</w:t>
            </w:r>
          </w:p>
        </w:tc>
      </w:tr>
      <w:tr w:rsidR="00114789" w:rsidRPr="00B92FD5" w14:paraId="46291DA5"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30999215" w14:textId="77777777" w:rsidR="00114789" w:rsidRPr="00B92FD5" w:rsidRDefault="00114789" w:rsidP="00A642F9">
            <w:pPr>
              <w:spacing w:beforeLines="60" w:before="144" w:after="20"/>
              <w:outlineLvl w:val="2"/>
              <w:rPr>
                <w:b/>
                <w:bCs/>
                <w:lang w:val="es-ES_tradnl" w:eastAsia="es-ES" w:bidi="es-ES"/>
              </w:rPr>
            </w:pPr>
            <w:r w:rsidRPr="00B92FD5">
              <w:rPr>
                <w:b/>
                <w:lang w:val="es-ES_tradnl" w:eastAsia="es-ES" w:bidi="es-ES"/>
              </w:rPr>
              <w:t>Nombre del ingrediente o ingredientes activos de la formulación</w:t>
            </w:r>
          </w:p>
        </w:tc>
        <w:tc>
          <w:tcPr>
            <w:tcW w:w="5670" w:type="dxa"/>
            <w:shd w:val="clear" w:color="auto" w:fill="auto"/>
          </w:tcPr>
          <w:p w14:paraId="0E8602E1" w14:textId="77777777" w:rsidR="00114789" w:rsidRPr="00B92FD5" w:rsidRDefault="00114789" w:rsidP="00A642F9">
            <w:pPr>
              <w:spacing w:beforeLines="60" w:before="144"/>
              <w:rPr>
                <w:lang w:val="es-ES_tradnl" w:eastAsia="es-ES" w:bidi="es-ES"/>
              </w:rPr>
            </w:pPr>
            <w:proofErr w:type="spellStart"/>
            <w:r w:rsidRPr="00B92FD5">
              <w:rPr>
                <w:lang w:val="es-ES_tradnl" w:eastAsia="es-ES" w:bidi="es-ES"/>
              </w:rPr>
              <w:t>Fentión</w:t>
            </w:r>
            <w:proofErr w:type="spellEnd"/>
          </w:p>
        </w:tc>
      </w:tr>
      <w:tr w:rsidR="00114789" w:rsidRPr="00B92FD5" w14:paraId="4D474932"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32632DB7" w14:textId="77777777" w:rsidR="00114789" w:rsidRPr="00B92FD5" w:rsidRDefault="00114789" w:rsidP="00A642F9">
            <w:pPr>
              <w:spacing w:beforeLines="60" w:before="144"/>
              <w:outlineLvl w:val="2"/>
              <w:rPr>
                <w:b/>
                <w:bCs/>
                <w:lang w:val="es-ES_tradnl" w:eastAsia="es-ES" w:bidi="es-ES"/>
              </w:rPr>
            </w:pPr>
            <w:r w:rsidRPr="00B92FD5">
              <w:rPr>
                <w:b/>
                <w:lang w:val="es-ES_tradnl" w:eastAsia="es-ES" w:bidi="es-ES"/>
              </w:rPr>
              <w:t>Cantidad relativa de cada ingrediente activo de la formulación</w:t>
            </w:r>
          </w:p>
        </w:tc>
        <w:tc>
          <w:tcPr>
            <w:tcW w:w="5670" w:type="dxa"/>
            <w:shd w:val="clear" w:color="auto" w:fill="auto"/>
          </w:tcPr>
          <w:p w14:paraId="21DD991A" w14:textId="77777777" w:rsidR="00114789" w:rsidRPr="00B92FD5" w:rsidRDefault="00114789" w:rsidP="00A642F9">
            <w:pPr>
              <w:spacing w:beforeLines="60" w:before="144"/>
              <w:rPr>
                <w:lang w:val="es-ES_tradnl" w:eastAsia="es-ES" w:bidi="es-ES"/>
              </w:rPr>
            </w:pPr>
            <w:r w:rsidRPr="00B92FD5">
              <w:rPr>
                <w:lang w:val="es-ES_tradnl" w:eastAsia="es-ES" w:bidi="es-ES"/>
              </w:rPr>
              <w:t xml:space="preserve">640 g </w:t>
            </w:r>
            <w:proofErr w:type="spellStart"/>
            <w:r w:rsidRPr="00B92FD5">
              <w:rPr>
                <w:lang w:val="es-ES_tradnl" w:eastAsia="es-ES" w:bidi="es-ES"/>
              </w:rPr>
              <w:t>fentión</w:t>
            </w:r>
            <w:proofErr w:type="spellEnd"/>
            <w:r w:rsidRPr="00B92FD5">
              <w:rPr>
                <w:lang w:val="es-ES_tradnl" w:eastAsia="es-ES" w:bidi="es-ES"/>
              </w:rPr>
              <w:t xml:space="preserve">/l </w:t>
            </w:r>
          </w:p>
        </w:tc>
      </w:tr>
      <w:tr w:rsidR="00114789" w:rsidRPr="00B92FD5" w14:paraId="0E778B05"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42CFD955" w14:textId="77777777" w:rsidR="00114789" w:rsidRPr="00B92FD5" w:rsidRDefault="00114789" w:rsidP="00A642F9">
            <w:pPr>
              <w:spacing w:beforeLines="60" w:before="144"/>
              <w:outlineLvl w:val="2"/>
              <w:rPr>
                <w:b/>
                <w:bCs/>
                <w:lang w:val="es-ES_tradnl" w:eastAsia="es-ES" w:bidi="es-ES"/>
              </w:rPr>
            </w:pPr>
            <w:r w:rsidRPr="00B92FD5">
              <w:rPr>
                <w:b/>
                <w:lang w:val="es-ES_tradnl" w:eastAsia="es-ES" w:bidi="es-ES"/>
              </w:rPr>
              <w:t>Tipo de formulación</w:t>
            </w:r>
          </w:p>
        </w:tc>
        <w:tc>
          <w:tcPr>
            <w:tcW w:w="5670" w:type="dxa"/>
            <w:shd w:val="clear" w:color="auto" w:fill="auto"/>
          </w:tcPr>
          <w:p w14:paraId="3AD1675F" w14:textId="77777777" w:rsidR="00114789" w:rsidRPr="00B92FD5" w:rsidRDefault="00114789" w:rsidP="00A642F9">
            <w:pPr>
              <w:spacing w:beforeLines="60" w:before="144"/>
              <w:rPr>
                <w:lang w:val="es-ES_tradnl" w:eastAsia="es-ES" w:bidi="es-ES"/>
              </w:rPr>
            </w:pPr>
            <w:r w:rsidRPr="00B92FD5">
              <w:rPr>
                <w:lang w:val="es-ES_tradnl" w:eastAsia="es-ES" w:bidi="es-ES"/>
              </w:rPr>
              <w:t xml:space="preserve">Ultra bajo volumen </w:t>
            </w:r>
          </w:p>
        </w:tc>
      </w:tr>
      <w:tr w:rsidR="00114789" w:rsidRPr="00B92FD5" w14:paraId="7A337C83"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1B1CFAB0" w14:textId="77777777" w:rsidR="00114789" w:rsidRPr="00B92FD5" w:rsidRDefault="00114789" w:rsidP="00A642F9">
            <w:pPr>
              <w:spacing w:beforeLines="60" w:before="144"/>
              <w:outlineLvl w:val="2"/>
              <w:rPr>
                <w:b/>
                <w:bCs/>
                <w:lang w:val="es-ES_tradnl" w:eastAsia="es-ES" w:bidi="es-ES"/>
              </w:rPr>
            </w:pPr>
            <w:r w:rsidRPr="00B92FD5">
              <w:rPr>
                <w:b/>
                <w:lang w:val="es-ES_tradnl" w:eastAsia="es-ES" w:bidi="es-ES"/>
              </w:rPr>
              <w:t>Nombre del producto o los productores, si está disponible</w:t>
            </w:r>
          </w:p>
        </w:tc>
        <w:tc>
          <w:tcPr>
            <w:tcW w:w="5670" w:type="dxa"/>
            <w:shd w:val="clear" w:color="auto" w:fill="auto"/>
          </w:tcPr>
          <w:p w14:paraId="41C9EA6F" w14:textId="77777777" w:rsidR="00114789" w:rsidRPr="00B92FD5" w:rsidRDefault="00114789" w:rsidP="00A642F9">
            <w:pPr>
              <w:spacing w:beforeLines="60" w:before="144"/>
              <w:rPr>
                <w:lang w:val="es-ES_tradnl" w:eastAsia="es-ES" w:bidi="es-ES"/>
              </w:rPr>
            </w:pPr>
            <w:proofErr w:type="spellStart"/>
            <w:r w:rsidRPr="00B92FD5">
              <w:rPr>
                <w:lang w:val="es-ES_tradnl" w:eastAsia="es-ES" w:bidi="es-ES"/>
              </w:rPr>
              <w:t>Arysta</w:t>
            </w:r>
            <w:proofErr w:type="spellEnd"/>
            <w:r w:rsidRPr="00B92FD5">
              <w:rPr>
                <w:lang w:val="es-ES_tradnl" w:eastAsia="es-ES" w:bidi="es-ES"/>
              </w:rPr>
              <w:t xml:space="preserve"> </w:t>
            </w:r>
            <w:proofErr w:type="spellStart"/>
            <w:r w:rsidRPr="00B92FD5">
              <w:rPr>
                <w:lang w:val="es-ES_tradnl" w:eastAsia="es-ES" w:bidi="es-ES"/>
              </w:rPr>
              <w:t>Life</w:t>
            </w:r>
            <w:proofErr w:type="spellEnd"/>
            <w:r w:rsidRPr="00B92FD5">
              <w:rPr>
                <w:lang w:val="es-ES_tradnl" w:eastAsia="es-ES" w:bidi="es-ES"/>
              </w:rPr>
              <w:t xml:space="preserve"> </w:t>
            </w:r>
            <w:proofErr w:type="spellStart"/>
            <w:r w:rsidRPr="00B92FD5">
              <w:rPr>
                <w:lang w:val="es-ES_tradnl" w:eastAsia="es-ES" w:bidi="es-ES"/>
              </w:rPr>
              <w:t>Science</w:t>
            </w:r>
            <w:proofErr w:type="spellEnd"/>
          </w:p>
        </w:tc>
      </w:tr>
      <w:tr w:rsidR="00114789" w:rsidRPr="00B92FD5" w14:paraId="1FCE9DF6"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243CA5C7" w14:textId="77777777" w:rsidR="00114789" w:rsidRPr="00B92FD5" w:rsidRDefault="00114789" w:rsidP="00A642F9">
            <w:pPr>
              <w:spacing w:beforeLines="60" w:before="144"/>
              <w:rPr>
                <w:b/>
                <w:lang w:val="es-ES_tradnl" w:eastAsia="es-ES" w:bidi="es-ES"/>
              </w:rPr>
            </w:pPr>
            <w:r w:rsidRPr="00B92FD5">
              <w:rPr>
                <w:b/>
                <w:lang w:val="es-ES_tradnl" w:eastAsia="es-ES" w:bidi="es-ES"/>
              </w:rPr>
              <w:t>Fórmula molecular</w:t>
            </w:r>
          </w:p>
        </w:tc>
        <w:tc>
          <w:tcPr>
            <w:tcW w:w="5670" w:type="dxa"/>
            <w:shd w:val="clear" w:color="auto" w:fill="auto"/>
          </w:tcPr>
          <w:p w14:paraId="45B08441" w14:textId="77777777" w:rsidR="00114789" w:rsidRPr="00B92FD5" w:rsidRDefault="00114789" w:rsidP="00A642F9">
            <w:pPr>
              <w:spacing w:before="120"/>
              <w:ind w:right="488"/>
              <w:rPr>
                <w:lang w:val="es-ES_tradnl" w:eastAsia="es-ES" w:bidi="es-ES"/>
              </w:rPr>
            </w:pPr>
            <w:r w:rsidRPr="00B92FD5">
              <w:rPr>
                <w:lang w:val="es-ES_tradnl" w:eastAsia="es-ES" w:bidi="es-ES"/>
              </w:rPr>
              <w:t>C</w:t>
            </w:r>
            <w:r w:rsidRPr="00B92FD5">
              <w:rPr>
                <w:vertAlign w:val="subscript"/>
                <w:lang w:val="es-ES_tradnl" w:eastAsia="es-ES" w:bidi="es-ES"/>
              </w:rPr>
              <w:t>10</w:t>
            </w:r>
            <w:r w:rsidRPr="00B92FD5">
              <w:rPr>
                <w:lang w:val="es-ES_tradnl" w:eastAsia="es-ES" w:bidi="es-ES"/>
              </w:rPr>
              <w:t>H</w:t>
            </w:r>
            <w:r w:rsidRPr="00B92FD5">
              <w:rPr>
                <w:vertAlign w:val="subscript"/>
                <w:lang w:val="es-ES_tradnl" w:eastAsia="es-ES" w:bidi="es-ES"/>
              </w:rPr>
              <w:t>15</w:t>
            </w:r>
            <w:r w:rsidRPr="00B92FD5">
              <w:rPr>
                <w:lang w:val="es-ES_tradnl" w:eastAsia="es-ES" w:bidi="es-ES"/>
              </w:rPr>
              <w:t>O</w:t>
            </w:r>
            <w:r w:rsidRPr="00B92FD5">
              <w:rPr>
                <w:vertAlign w:val="subscript"/>
                <w:lang w:val="es-ES_tradnl" w:eastAsia="es-ES" w:bidi="es-ES"/>
              </w:rPr>
              <w:t>3</w:t>
            </w:r>
            <w:r w:rsidRPr="00B92FD5">
              <w:rPr>
                <w:lang w:val="es-ES_tradnl" w:eastAsia="es-ES" w:bidi="es-ES"/>
              </w:rPr>
              <w:t>PS</w:t>
            </w:r>
            <w:r w:rsidRPr="00B92FD5">
              <w:rPr>
                <w:vertAlign w:val="subscript"/>
                <w:lang w:val="es-ES_tradnl" w:eastAsia="es-ES" w:bidi="es-ES"/>
              </w:rPr>
              <w:t>2</w:t>
            </w:r>
          </w:p>
        </w:tc>
      </w:tr>
      <w:tr w:rsidR="00114789" w:rsidRPr="00B92FD5" w14:paraId="6165F6F3"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548EB2DE" w14:textId="77777777" w:rsidR="00114789" w:rsidRPr="00B92FD5" w:rsidRDefault="00114789" w:rsidP="00A642F9">
            <w:pPr>
              <w:spacing w:beforeLines="60" w:before="144"/>
              <w:rPr>
                <w:b/>
                <w:lang w:val="es-ES_tradnl" w:eastAsia="es-ES" w:bidi="es-ES"/>
              </w:rPr>
            </w:pPr>
            <w:r w:rsidRPr="00B92FD5">
              <w:rPr>
                <w:b/>
                <w:lang w:val="es-ES_tradnl" w:eastAsia="es-ES" w:bidi="es-ES"/>
              </w:rPr>
              <w:t>Estructura química:</w:t>
            </w:r>
          </w:p>
        </w:tc>
        <w:tc>
          <w:tcPr>
            <w:tcW w:w="5670" w:type="dxa"/>
            <w:shd w:val="clear" w:color="auto" w:fill="auto"/>
          </w:tcPr>
          <w:p w14:paraId="0170D9F3" w14:textId="77777777" w:rsidR="00114789" w:rsidRPr="00B92FD5" w:rsidRDefault="00114789" w:rsidP="00A642F9">
            <w:pPr>
              <w:spacing w:beforeLines="60" w:before="144"/>
              <w:rPr>
                <w:lang w:val="es-ES_tradnl" w:eastAsia="es-ES" w:bidi="es-ES"/>
              </w:rPr>
            </w:pPr>
            <w:r w:rsidRPr="00B92FD5">
              <w:rPr>
                <w:rFonts w:ascii="Arial" w:hAnsi="Arial"/>
                <w:noProof/>
                <w:lang w:val="es-ES_tradnl" w:eastAsia="es-ES"/>
              </w:rPr>
              <w:drawing>
                <wp:inline distT="0" distB="0" distL="0" distR="0" wp14:anchorId="29E08734" wp14:editId="25AFA59E">
                  <wp:extent cx="1422400" cy="53340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2400" cy="533400"/>
                          </a:xfrm>
                          <a:prstGeom prst="rect">
                            <a:avLst/>
                          </a:prstGeom>
                          <a:noFill/>
                          <a:ln>
                            <a:noFill/>
                          </a:ln>
                        </pic:spPr>
                      </pic:pic>
                    </a:graphicData>
                  </a:graphic>
                </wp:inline>
              </w:drawing>
            </w:r>
          </w:p>
        </w:tc>
      </w:tr>
      <w:tr w:rsidR="00114789" w:rsidRPr="00B92FD5" w14:paraId="551F8B33"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1FBFA08C" w14:textId="77777777" w:rsidR="00114789" w:rsidRPr="00B92FD5" w:rsidRDefault="00114789" w:rsidP="00A642F9">
            <w:pPr>
              <w:spacing w:beforeLines="60" w:before="144"/>
              <w:rPr>
                <w:b/>
                <w:lang w:val="es-ES_tradnl" w:eastAsia="es-ES" w:bidi="es-ES"/>
              </w:rPr>
            </w:pPr>
            <w:r w:rsidRPr="00B92FD5">
              <w:rPr>
                <w:b/>
                <w:lang w:val="es-ES_tradnl" w:eastAsia="es-ES" w:bidi="es-ES"/>
              </w:rPr>
              <w:t>Número de CAS</w:t>
            </w:r>
          </w:p>
          <w:p w14:paraId="157ED8C1" w14:textId="77777777" w:rsidR="00114789" w:rsidRPr="00B92FD5" w:rsidRDefault="00114789" w:rsidP="00A642F9">
            <w:pPr>
              <w:spacing w:beforeLines="60" w:before="144"/>
              <w:rPr>
                <w:lang w:val="es-ES_tradnl" w:eastAsia="es-ES" w:bidi="es-ES"/>
              </w:rPr>
            </w:pPr>
          </w:p>
        </w:tc>
        <w:tc>
          <w:tcPr>
            <w:tcW w:w="5670" w:type="dxa"/>
            <w:shd w:val="clear" w:color="auto" w:fill="auto"/>
          </w:tcPr>
          <w:p w14:paraId="3E4E18F0" w14:textId="77777777" w:rsidR="00114789" w:rsidRPr="00B92FD5" w:rsidRDefault="00114789" w:rsidP="00A642F9">
            <w:pPr>
              <w:spacing w:beforeLines="60" w:before="144"/>
              <w:rPr>
                <w:lang w:val="es-ES_tradnl" w:eastAsia="es-ES" w:bidi="es-ES"/>
              </w:rPr>
            </w:pPr>
            <w:r w:rsidRPr="00B92FD5">
              <w:rPr>
                <w:lang w:val="es-ES_tradnl" w:eastAsia="es-ES" w:bidi="es-ES"/>
              </w:rPr>
              <w:t>55-38-9</w:t>
            </w:r>
          </w:p>
        </w:tc>
      </w:tr>
      <w:tr w:rsidR="00114789" w:rsidRPr="00B92FD5" w14:paraId="4742769E" w14:textId="77777777" w:rsidTr="00116113">
        <w:tblPrEx>
          <w:tblBorders>
            <w:top w:val="none" w:sz="0" w:space="0" w:color="auto"/>
            <w:left w:val="none" w:sz="0" w:space="0" w:color="auto"/>
            <w:bottom w:val="none" w:sz="0" w:space="0" w:color="auto"/>
            <w:right w:val="none" w:sz="0" w:space="0" w:color="auto"/>
          </w:tblBorders>
        </w:tblPrEx>
        <w:tc>
          <w:tcPr>
            <w:tcW w:w="3927" w:type="dxa"/>
            <w:shd w:val="clear" w:color="auto" w:fill="auto"/>
          </w:tcPr>
          <w:p w14:paraId="362BFF77" w14:textId="77777777" w:rsidR="00114789" w:rsidRPr="00B92FD5" w:rsidRDefault="00114789" w:rsidP="00A642F9">
            <w:pPr>
              <w:outlineLvl w:val="2"/>
              <w:rPr>
                <w:b/>
                <w:bCs/>
                <w:lang w:val="es-ES_tradnl" w:eastAsia="es-ES" w:bidi="es-ES"/>
              </w:rPr>
            </w:pPr>
          </w:p>
        </w:tc>
        <w:tc>
          <w:tcPr>
            <w:tcW w:w="5670" w:type="dxa"/>
            <w:shd w:val="clear" w:color="auto" w:fill="auto"/>
          </w:tcPr>
          <w:p w14:paraId="50F44D33" w14:textId="77777777" w:rsidR="00114789" w:rsidRPr="00B92FD5" w:rsidRDefault="00114789" w:rsidP="00A642F9">
            <w:pPr>
              <w:spacing w:after="80"/>
              <w:rPr>
                <w:lang w:val="es-ES_tradnl" w:eastAsia="es-ES" w:bidi="es-ES"/>
              </w:rPr>
            </w:pPr>
          </w:p>
        </w:tc>
      </w:tr>
    </w:tbl>
    <w:p w14:paraId="5BCD641D" w14:textId="77777777" w:rsidR="00114789" w:rsidRPr="00B92FD5" w:rsidRDefault="00114789" w:rsidP="00114789">
      <w:pPr>
        <w:tabs>
          <w:tab w:val="left" w:pos="-720"/>
          <w:tab w:val="left" w:pos="0"/>
          <w:tab w:val="left" w:pos="720"/>
        </w:tabs>
        <w:suppressAutoHyphens/>
        <w:rPr>
          <w:sz w:val="10"/>
          <w:szCs w:val="10"/>
          <w:lang w:val="es-ES_tradnl" w:eastAsia="es-ES" w:bidi="es-ES"/>
        </w:rPr>
      </w:pPr>
    </w:p>
    <w:tbl>
      <w:tblPr>
        <w:tblW w:w="5061" w:type="pct"/>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97"/>
      </w:tblGrid>
      <w:tr w:rsidR="00114789" w:rsidRPr="00ED5AB4" w14:paraId="5139DE68" w14:textId="77777777" w:rsidTr="00116113">
        <w:tc>
          <w:tcPr>
            <w:tcW w:w="9597" w:type="dxa"/>
            <w:tcBorders>
              <w:top w:val="single" w:sz="6" w:space="0" w:color="808080"/>
              <w:bottom w:val="single" w:sz="6" w:space="0" w:color="808080"/>
            </w:tcBorders>
            <w:shd w:val="pct10" w:color="auto" w:fill="auto"/>
          </w:tcPr>
          <w:p w14:paraId="718688C5" w14:textId="77777777" w:rsidR="00114789" w:rsidRPr="00B92FD5" w:rsidRDefault="00114789" w:rsidP="00A642F9">
            <w:pPr>
              <w:rPr>
                <w:b/>
                <w:bCs/>
                <w:kern w:val="28"/>
                <w:szCs w:val="24"/>
                <w:lang w:val="es-ES_tradnl" w:eastAsia="es-ES" w:bidi="es-ES"/>
              </w:rPr>
            </w:pPr>
            <w:r w:rsidRPr="00B92FD5">
              <w:rPr>
                <w:b/>
                <w:lang w:val="es-ES_tradnl" w:eastAsia="es-ES" w:bidi="es-ES"/>
              </w:rPr>
              <w:t>2. Razones para su inclusión en el procedimiento de consentimiento fundamentado previo</w:t>
            </w:r>
          </w:p>
        </w:tc>
      </w:tr>
      <w:tr w:rsidR="00114789" w:rsidRPr="00ED5AB4" w14:paraId="4EDDDB4D" w14:textId="77777777" w:rsidTr="0011611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97" w:type="dxa"/>
            <w:tcBorders>
              <w:top w:val="nil"/>
              <w:left w:val="nil"/>
              <w:bottom w:val="nil"/>
              <w:right w:val="nil"/>
            </w:tcBorders>
            <w:shd w:val="clear" w:color="auto" w:fill="auto"/>
          </w:tcPr>
          <w:p w14:paraId="5178A1B4" w14:textId="77777777" w:rsidR="00114789" w:rsidRPr="00B92FD5" w:rsidRDefault="00114789" w:rsidP="00A642F9">
            <w:pPr>
              <w:spacing w:after="120"/>
              <w:rPr>
                <w:lang w:val="es-ES_tradnl" w:eastAsia="es-ES" w:bidi="es-ES"/>
              </w:rPr>
            </w:pPr>
            <w:r w:rsidRPr="00B92FD5">
              <w:rPr>
                <w:lang w:val="es-ES_tradnl" w:eastAsia="es-ES" w:bidi="es-ES"/>
              </w:rPr>
              <w:t xml:space="preserve">Las formulaciones de ultra bajo volumen que contienen </w:t>
            </w:r>
            <w:proofErr w:type="spellStart"/>
            <w:r w:rsidRPr="00B92FD5">
              <w:rPr>
                <w:lang w:val="es-ES_tradnl" w:eastAsia="es-ES" w:bidi="es-ES"/>
              </w:rPr>
              <w:t>fentión</w:t>
            </w:r>
            <w:proofErr w:type="spellEnd"/>
            <w:r w:rsidRPr="00B92FD5">
              <w:rPr>
                <w:lang w:val="es-ES_tradnl" w:eastAsia="es-ES" w:bidi="es-ES"/>
              </w:rPr>
              <w:t xml:space="preserve"> de 640 g/l de ingrediente activo o por encima de ese nivel están incluidas en el anexo III del Convenio de Rotterdam en la categoría de formulaciones plaguicidas extremadamente peligrosas y, por consiguiente, están sujetas al procedimiento de consentimiento fundamentado previo. </w:t>
            </w:r>
          </w:p>
          <w:p w14:paraId="1BE062AA" w14:textId="77777777" w:rsidR="00114789" w:rsidRPr="00B92FD5" w:rsidRDefault="00114789" w:rsidP="00A642F9">
            <w:pPr>
              <w:spacing w:after="120"/>
              <w:rPr>
                <w:lang w:val="es-ES_tradnl" w:eastAsia="es-ES" w:bidi="es-ES"/>
              </w:rPr>
            </w:pPr>
            <w:r w:rsidRPr="00B92FD5">
              <w:rPr>
                <w:lang w:val="es-ES_tradnl" w:eastAsia="es-ES" w:bidi="es-ES"/>
              </w:rPr>
              <w:t xml:space="preserve">Se determinó que estas formulaciones plaguicidas causaban problemas de salud a quienes las aplicaban en las condiciones de uso prevalecientes en el Chad, conforme a lo dispuesto en el artículo 6 y el anexo IV del Convenio. </w:t>
            </w:r>
          </w:p>
          <w:p w14:paraId="0A35D94B" w14:textId="77777777" w:rsidR="00114789" w:rsidRPr="00B92FD5" w:rsidRDefault="00114789" w:rsidP="00A642F9">
            <w:pPr>
              <w:spacing w:after="120"/>
              <w:rPr>
                <w:b/>
                <w:bCs/>
                <w:szCs w:val="28"/>
                <w:lang w:val="es-ES_tradnl" w:eastAsia="es-ES" w:bidi="es-ES"/>
              </w:rPr>
            </w:pPr>
            <w:r w:rsidRPr="00B92FD5">
              <w:rPr>
                <w:lang w:val="es-ES_tradnl" w:eastAsia="es-ES" w:bidi="es-ES"/>
              </w:rPr>
              <w:t>En el anexo I del presente documento figuran los fundamentos elaborados por el Comité de Examen de Productos Químicos en su noveno período de sesiones (2013) en apoyo de su recomendación de incluir esas formulaciones en el procedimiento de consentimiento fundamentado previo.</w:t>
            </w:r>
          </w:p>
        </w:tc>
      </w:tr>
    </w:tbl>
    <w:p w14:paraId="3032F6A2" w14:textId="77777777" w:rsidR="00114789" w:rsidRPr="00B92FD5" w:rsidRDefault="00114789" w:rsidP="00114789">
      <w:pPr>
        <w:tabs>
          <w:tab w:val="left" w:pos="-720"/>
          <w:tab w:val="left" w:pos="0"/>
          <w:tab w:val="left" w:pos="720"/>
        </w:tabs>
        <w:suppressAutoHyphens/>
        <w:rPr>
          <w:sz w:val="10"/>
          <w:szCs w:val="10"/>
          <w:lang w:val="es-ES_tradnl" w:eastAsia="es-ES" w:bidi="es-ES"/>
        </w:rPr>
      </w:pPr>
    </w:p>
    <w:p w14:paraId="2E2C80A4" w14:textId="77777777" w:rsidR="00114789" w:rsidRPr="00B92FD5" w:rsidRDefault="00114789" w:rsidP="00114789">
      <w:pPr>
        <w:rPr>
          <w:lang w:val="es-ES_tradnl" w:eastAsia="es-ES" w:bidi="es-ES"/>
        </w:rPr>
      </w:pPr>
    </w:p>
    <w:tbl>
      <w:tblPr>
        <w:tblW w:w="9521"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21"/>
      </w:tblGrid>
      <w:tr w:rsidR="00114789" w:rsidRPr="00ED5AB4" w14:paraId="1E827402" w14:textId="77777777" w:rsidTr="00116113">
        <w:tc>
          <w:tcPr>
            <w:tcW w:w="9521" w:type="dxa"/>
            <w:shd w:val="pct10" w:color="auto" w:fill="auto"/>
          </w:tcPr>
          <w:p w14:paraId="7C4FDA9B" w14:textId="77777777" w:rsidR="00114789" w:rsidRPr="00B92FD5" w:rsidRDefault="00114789" w:rsidP="00A642F9">
            <w:pPr>
              <w:rPr>
                <w:b/>
                <w:bCs/>
                <w:kern w:val="28"/>
                <w:szCs w:val="24"/>
                <w:lang w:val="es-ES_tradnl" w:eastAsia="es-ES" w:bidi="es-ES"/>
              </w:rPr>
            </w:pPr>
            <w:r w:rsidRPr="00B92FD5">
              <w:rPr>
                <w:b/>
                <w:lang w:val="es-ES_tradnl" w:eastAsia="es-ES" w:bidi="es-ES"/>
              </w:rPr>
              <w:t xml:space="preserve">3. Descripción de las pautas comunes y reconocidas de utilización de la formulación en el país proponente </w:t>
            </w:r>
          </w:p>
        </w:tc>
      </w:tr>
    </w:tbl>
    <w:p w14:paraId="0DA92268" w14:textId="77777777" w:rsidR="00114789" w:rsidRPr="00B92FD5" w:rsidRDefault="00114789" w:rsidP="00114789">
      <w:pPr>
        <w:keepNext/>
        <w:tabs>
          <w:tab w:val="left" w:pos="-720"/>
          <w:tab w:val="left" w:pos="0"/>
          <w:tab w:val="left" w:pos="720"/>
        </w:tabs>
        <w:suppressAutoHyphens/>
        <w:rPr>
          <w:szCs w:val="10"/>
          <w:lang w:val="es-ES_tradnl" w:eastAsia="es-ES" w:bidi="es-ES"/>
        </w:rPr>
      </w:pPr>
    </w:p>
    <w:tbl>
      <w:tblPr>
        <w:tblW w:w="9518"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18"/>
      </w:tblGrid>
      <w:tr w:rsidR="00114789" w:rsidRPr="00ED5AB4" w14:paraId="1F8E7054" w14:textId="77777777" w:rsidTr="00116113">
        <w:tc>
          <w:tcPr>
            <w:tcW w:w="9518" w:type="dxa"/>
            <w:tcBorders>
              <w:top w:val="single" w:sz="4" w:space="0" w:color="auto"/>
              <w:left w:val="single" w:sz="4" w:space="0" w:color="auto"/>
              <w:bottom w:val="single" w:sz="4" w:space="0" w:color="auto"/>
              <w:right w:val="single" w:sz="4" w:space="0" w:color="auto"/>
            </w:tcBorders>
            <w:shd w:val="clear" w:color="auto" w:fill="auto"/>
          </w:tcPr>
          <w:p w14:paraId="2C99B3AB" w14:textId="77777777" w:rsidR="00114789" w:rsidRPr="00B92FD5" w:rsidRDefault="00114789" w:rsidP="00A642F9">
            <w:pPr>
              <w:outlineLvl w:val="1"/>
              <w:rPr>
                <w:b/>
                <w:bCs/>
                <w:lang w:val="es-ES_tradnl" w:eastAsia="es-ES" w:bidi="es-ES"/>
              </w:rPr>
            </w:pPr>
            <w:r w:rsidRPr="00B92FD5">
              <w:rPr>
                <w:b/>
                <w:lang w:val="es-ES_tradnl" w:eastAsia="es-ES" w:bidi="es-ES"/>
              </w:rPr>
              <w:t>3.1 Usos permitidos de la formulación</w:t>
            </w:r>
          </w:p>
        </w:tc>
      </w:tr>
    </w:tbl>
    <w:p w14:paraId="3667984C"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En el Chad se ha registrado la formulación </w:t>
      </w:r>
      <w:proofErr w:type="spellStart"/>
      <w:r w:rsidRPr="00B92FD5">
        <w:rPr>
          <w:lang w:val="es-ES_tradnl" w:eastAsia="es-ES" w:bidi="es-ES"/>
        </w:rPr>
        <w:t>fentión</w:t>
      </w:r>
      <w:proofErr w:type="spellEnd"/>
      <w:r w:rsidRPr="00B92FD5">
        <w:rPr>
          <w:lang w:val="es-ES_tradnl" w:eastAsia="es-ES" w:bidi="es-ES"/>
        </w:rPr>
        <w:t xml:space="preserve"> 640 de ultra bajo volumen; está permitido su uso para control aviar (pulverización de refugios de aves) a 1,8 a 3 l/ha. El uso solo está permitido para ser aplicado por la Dirección de Protección Fitosanitaria y Acondicionamiento (DPVC). En el anexo I, punto 5, puede encontrarse mayor información sobre las cantidades reales utilizadas en el Chad.</w:t>
      </w:r>
    </w:p>
    <w:p w14:paraId="3F4A6364" w14:textId="77777777" w:rsidR="00114789" w:rsidRPr="00B92FD5" w:rsidRDefault="00114789" w:rsidP="00B92FD5">
      <w:pPr>
        <w:pStyle w:val="Normal-pool"/>
        <w:spacing w:before="120" w:after="120"/>
        <w:rPr>
          <w:szCs w:val="10"/>
          <w:lang w:val="es-ES_tradnl" w:eastAsia="es-ES" w:bidi="es-ES"/>
        </w:rPr>
      </w:pPr>
      <w:r w:rsidRPr="00B92FD5">
        <w:rPr>
          <w:szCs w:val="10"/>
          <w:lang w:val="es-ES_tradnl" w:eastAsia="es-ES" w:bidi="es-ES"/>
        </w:rPr>
        <w:br w:type="page"/>
      </w:r>
    </w:p>
    <w:tbl>
      <w:tblPr>
        <w:tblW w:w="0" w:type="auto"/>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08"/>
      </w:tblGrid>
      <w:tr w:rsidR="00114789" w:rsidRPr="00ED5AB4" w14:paraId="0F83FB85" w14:textId="77777777" w:rsidTr="00A642F9">
        <w:tc>
          <w:tcPr>
            <w:tcW w:w="9408" w:type="dxa"/>
            <w:tcBorders>
              <w:top w:val="single" w:sz="4" w:space="0" w:color="auto"/>
              <w:left w:val="single" w:sz="4" w:space="0" w:color="auto"/>
              <w:bottom w:val="single" w:sz="4" w:space="0" w:color="auto"/>
              <w:right w:val="single" w:sz="4" w:space="0" w:color="auto"/>
            </w:tcBorders>
            <w:shd w:val="clear" w:color="auto" w:fill="auto"/>
          </w:tcPr>
          <w:p w14:paraId="23D3CD9E" w14:textId="77777777" w:rsidR="00114789" w:rsidRPr="00B92FD5" w:rsidRDefault="00114789" w:rsidP="00A642F9">
            <w:pPr>
              <w:outlineLvl w:val="1"/>
              <w:rPr>
                <w:b/>
                <w:bCs/>
                <w:strike/>
                <w:szCs w:val="24"/>
                <w:lang w:val="es-ES_tradnl" w:eastAsia="es-ES" w:bidi="es-ES"/>
              </w:rPr>
            </w:pPr>
            <w:r w:rsidRPr="00B92FD5">
              <w:rPr>
                <w:b/>
                <w:lang w:val="es-ES_tradnl" w:eastAsia="es-ES" w:bidi="es-ES"/>
              </w:rPr>
              <w:t>3.2 Restricciones a la manipulación o el uso</w:t>
            </w:r>
          </w:p>
        </w:tc>
      </w:tr>
    </w:tbl>
    <w:p w14:paraId="33D4B6A8"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En el Chad, el uso de </w:t>
      </w:r>
      <w:proofErr w:type="spellStart"/>
      <w:r w:rsidRPr="00B92FD5">
        <w:rPr>
          <w:lang w:val="es-ES_tradnl" w:eastAsia="es-ES" w:bidi="es-ES"/>
        </w:rPr>
        <w:t>fentión</w:t>
      </w:r>
      <w:proofErr w:type="spellEnd"/>
      <w:r w:rsidRPr="00B92FD5">
        <w:rPr>
          <w:lang w:val="es-ES_tradnl" w:eastAsia="es-ES" w:bidi="es-ES"/>
        </w:rPr>
        <w:t xml:space="preserve"> 640 de ultra bajo volumen como </w:t>
      </w:r>
      <w:proofErr w:type="spellStart"/>
      <w:r w:rsidRPr="00B92FD5">
        <w:rPr>
          <w:lang w:val="es-ES_tradnl" w:eastAsia="es-ES" w:bidi="es-ES"/>
        </w:rPr>
        <w:t>avicida</w:t>
      </w:r>
      <w:proofErr w:type="spellEnd"/>
      <w:r w:rsidRPr="00B92FD5">
        <w:rPr>
          <w:lang w:val="es-ES_tradnl" w:eastAsia="es-ES" w:bidi="es-ES"/>
        </w:rPr>
        <w:t xml:space="preserve"> está permitido exclusivamente para ser aplicado por la Dirección de Protección Fitosanitaria y Acondicionamiento (DPVC). La aplicación está restringida rigurosamente a técnicos especializados en el control aviar (equipos del Servicio de protección fitosanitaria equipados con rociadores giratorios o la aplicación aérea realizada por empresas especializadas). </w:t>
      </w:r>
    </w:p>
    <w:p w14:paraId="02702805"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La etiqueta incluye algunas advertencias sobre el uso (requisitos de equipo protector personal), ilustradas con pictogramas. El equipo </w:t>
      </w:r>
      <w:r w:rsidRPr="00B92FD5">
        <w:rPr>
          <w:lang w:val="es-ES_tradnl"/>
        </w:rPr>
        <w:t>protector</w:t>
      </w:r>
      <w:r w:rsidRPr="00B92FD5">
        <w:rPr>
          <w:lang w:val="es-ES_tradnl" w:eastAsia="es-ES" w:bidi="es-ES"/>
        </w:rPr>
        <w:t xml:space="preserve"> personal exigido a los operadores para la manipulación y las aplicaciones incluye guantes, calzado, ropa de protección de manga larga y una mascarilla.</w:t>
      </w:r>
    </w:p>
    <w:tbl>
      <w:tblPr>
        <w:tblW w:w="9579"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79"/>
      </w:tblGrid>
      <w:tr w:rsidR="00114789" w:rsidRPr="00ED5AB4" w14:paraId="617E6B79" w14:textId="77777777" w:rsidTr="00A642F9">
        <w:tc>
          <w:tcPr>
            <w:tcW w:w="9579" w:type="dxa"/>
            <w:tcBorders>
              <w:top w:val="single" w:sz="4" w:space="0" w:color="auto"/>
              <w:left w:val="single" w:sz="4" w:space="0" w:color="auto"/>
              <w:bottom w:val="single" w:sz="4" w:space="0" w:color="auto"/>
              <w:right w:val="single" w:sz="4" w:space="0" w:color="auto"/>
            </w:tcBorders>
            <w:shd w:val="clear" w:color="auto" w:fill="auto"/>
          </w:tcPr>
          <w:p w14:paraId="00088261" w14:textId="77777777" w:rsidR="00114789" w:rsidRPr="00B92FD5" w:rsidRDefault="00114789" w:rsidP="00A642F9">
            <w:pPr>
              <w:outlineLvl w:val="1"/>
              <w:rPr>
                <w:b/>
                <w:bCs/>
                <w:szCs w:val="24"/>
                <w:lang w:val="es-ES_tradnl" w:eastAsia="es-ES" w:bidi="es-ES"/>
              </w:rPr>
            </w:pPr>
            <w:r w:rsidRPr="00B92FD5">
              <w:rPr>
                <w:b/>
                <w:lang w:val="es-ES_tradnl" w:eastAsia="es-ES" w:bidi="es-ES"/>
              </w:rPr>
              <w:t>3.3 Disponibilidad/aplicabilidad de indumentaria de protección</w:t>
            </w:r>
          </w:p>
        </w:tc>
      </w:tr>
    </w:tbl>
    <w:p w14:paraId="0A8DAF3A"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Se informó </w:t>
      </w:r>
      <w:r w:rsidRPr="00B92FD5">
        <w:rPr>
          <w:lang w:val="es-ES_tradnl"/>
        </w:rPr>
        <w:t>detalladamente</w:t>
      </w:r>
      <w:r w:rsidRPr="00B92FD5">
        <w:rPr>
          <w:lang w:val="es-ES_tradnl" w:eastAsia="es-ES" w:bidi="es-ES"/>
        </w:rPr>
        <w:t xml:space="preserve"> que la persona dañada en el incidente vestía equipo protector de conformidad con las disposiciones vigentes. </w:t>
      </w:r>
    </w:p>
    <w:tbl>
      <w:tblPr>
        <w:tblW w:w="9588"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114789" w:rsidRPr="00B92FD5" w14:paraId="0AE4D642" w14:textId="77777777" w:rsidTr="00A642F9">
        <w:trPr>
          <w:cantSplit/>
        </w:trPr>
        <w:tc>
          <w:tcPr>
            <w:tcW w:w="9588" w:type="dxa"/>
            <w:tcBorders>
              <w:top w:val="single" w:sz="6" w:space="0" w:color="auto"/>
              <w:left w:val="single" w:sz="6" w:space="0" w:color="auto"/>
              <w:bottom w:val="single" w:sz="4" w:space="0" w:color="auto"/>
              <w:right w:val="single" w:sz="6" w:space="0" w:color="auto"/>
            </w:tcBorders>
            <w:shd w:val="clear" w:color="auto" w:fill="auto"/>
          </w:tcPr>
          <w:p w14:paraId="1256115D" w14:textId="77777777" w:rsidR="00114789" w:rsidRPr="00B92FD5" w:rsidRDefault="00114789" w:rsidP="00A642F9">
            <w:pPr>
              <w:outlineLvl w:val="1"/>
              <w:rPr>
                <w:b/>
                <w:bCs/>
                <w:szCs w:val="24"/>
                <w:lang w:val="es-ES_tradnl" w:eastAsia="es-ES" w:bidi="es-ES"/>
              </w:rPr>
            </w:pPr>
            <w:r w:rsidRPr="00B92FD5">
              <w:rPr>
                <w:b/>
                <w:lang w:val="es-ES_tradnl" w:eastAsia="es-ES" w:bidi="es-ES"/>
              </w:rPr>
              <w:t>3.4 Usos reales</w:t>
            </w:r>
          </w:p>
        </w:tc>
      </w:tr>
    </w:tbl>
    <w:p w14:paraId="783B9FBB"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La formulación está registrada; los usos permitidos son para control aviar. El uso solo está permitido para ser aplicado por la Dirección de Protección Fitosanitaria y Acondicionamiento (DPVC).</w:t>
      </w:r>
    </w:p>
    <w:p w14:paraId="226BB522"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640 de ultra bajo volumen se utilizaba como </w:t>
      </w:r>
      <w:proofErr w:type="spellStart"/>
      <w:r w:rsidRPr="00B92FD5">
        <w:rPr>
          <w:lang w:val="es-ES_tradnl" w:eastAsia="es-ES" w:bidi="es-ES"/>
        </w:rPr>
        <w:t>avicida</w:t>
      </w:r>
      <w:proofErr w:type="spellEnd"/>
      <w:r w:rsidRPr="00B92FD5">
        <w:rPr>
          <w:lang w:val="es-ES_tradnl" w:eastAsia="es-ES" w:bidi="es-ES"/>
        </w:rPr>
        <w:t xml:space="preserve"> contra aves granívoras (</w:t>
      </w:r>
      <w:proofErr w:type="spellStart"/>
      <w:r w:rsidRPr="00B92FD5">
        <w:rPr>
          <w:i/>
          <w:lang w:val="es-ES_tradnl" w:eastAsia="es-ES" w:bidi="es-ES"/>
        </w:rPr>
        <w:t>Quelea</w:t>
      </w:r>
      <w:proofErr w:type="spellEnd"/>
      <w:r w:rsidRPr="00B92FD5">
        <w:rPr>
          <w:i/>
          <w:lang w:val="es-ES_tradnl" w:eastAsia="es-ES" w:bidi="es-ES"/>
        </w:rPr>
        <w:t xml:space="preserve"> </w:t>
      </w:r>
      <w:proofErr w:type="spellStart"/>
      <w:r w:rsidRPr="00B92FD5">
        <w:rPr>
          <w:i/>
          <w:lang w:val="es-ES_tradnl" w:eastAsia="es-ES" w:bidi="es-ES"/>
        </w:rPr>
        <w:t>quelea</w:t>
      </w:r>
      <w:proofErr w:type="spellEnd"/>
      <w:r w:rsidRPr="00B92FD5">
        <w:rPr>
          <w:lang w:val="es-ES_tradnl" w:eastAsia="es-ES" w:bidi="es-ES"/>
        </w:rPr>
        <w:t>) para reducir daños a cultivos de cereales. El producto se aplicó con un rociador de mochila motorizado en una dosis de 1,8 a 3 l/</w:t>
      </w:r>
      <w:proofErr w:type="spellStart"/>
      <w:r w:rsidRPr="00B92FD5">
        <w:rPr>
          <w:lang w:val="es-ES_tradnl" w:eastAsia="es-ES" w:bidi="es-ES"/>
        </w:rPr>
        <w:t>ha</w:t>
      </w:r>
      <w:proofErr w:type="spellEnd"/>
      <w:r w:rsidRPr="00B92FD5">
        <w:rPr>
          <w:lang w:val="es-ES_tradnl" w:eastAsia="es-ES" w:bidi="es-ES"/>
        </w:rPr>
        <w:t xml:space="preserve"> en 2009, 2011 y 2012. </w:t>
      </w:r>
    </w:p>
    <w:p w14:paraId="191097EB"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Después de una primera intervención en 2009 por orden gubernamental, que llevaron a cabo siete equipos, el Ministerio de Agricultura y Riego, a través de la DPVC, organizó en 2011 y 2012 misiones compuestas por cuatro equipos, tres de los cuales estaban encargados de las inspecciones y el control y el cuarto, de los suministros y la supervisión. </w:t>
      </w:r>
    </w:p>
    <w:tbl>
      <w:tblPr>
        <w:tblW w:w="9640" w:type="dxa"/>
        <w:tblInd w:w="-3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40"/>
      </w:tblGrid>
      <w:tr w:rsidR="00114789" w:rsidRPr="00ED5AB4" w14:paraId="2C5FF9C0" w14:textId="77777777" w:rsidTr="00B92FD5">
        <w:tc>
          <w:tcPr>
            <w:tcW w:w="9640" w:type="dxa"/>
            <w:shd w:val="pct10" w:color="auto" w:fill="auto"/>
          </w:tcPr>
          <w:p w14:paraId="32ACDB25" w14:textId="77777777" w:rsidR="00114789" w:rsidRPr="00B92FD5" w:rsidRDefault="00114789" w:rsidP="00A642F9">
            <w:pPr>
              <w:keepNext/>
              <w:spacing w:before="40" w:after="60"/>
              <w:outlineLvl w:val="0"/>
              <w:rPr>
                <w:b/>
                <w:bCs/>
                <w:kern w:val="28"/>
                <w:szCs w:val="24"/>
                <w:lang w:val="es-ES_tradnl" w:eastAsia="es-ES" w:bidi="es-ES"/>
              </w:rPr>
            </w:pPr>
            <w:r w:rsidRPr="00B92FD5">
              <w:rPr>
                <w:b/>
                <w:kern w:val="28"/>
                <w:lang w:val="es-ES_tradnl" w:eastAsia="es-ES" w:bidi="es-ES"/>
              </w:rPr>
              <w:t xml:space="preserve">4. Descripción de los incidentes, con la inclusión de efectos adversos y la manera en que se usó la formulación </w:t>
            </w:r>
          </w:p>
        </w:tc>
      </w:tr>
    </w:tbl>
    <w:p w14:paraId="78FD1662" w14:textId="77777777" w:rsidR="00114789" w:rsidRPr="00B92FD5" w:rsidRDefault="00114789" w:rsidP="00114789">
      <w:pPr>
        <w:tabs>
          <w:tab w:val="left" w:pos="-720"/>
          <w:tab w:val="left" w:pos="0"/>
          <w:tab w:val="left" w:pos="720"/>
        </w:tabs>
        <w:suppressAutoHyphens/>
        <w:rPr>
          <w:szCs w:val="10"/>
          <w:lang w:val="es-ES_tradnl" w:eastAsia="es-ES" w:bidi="es-ES"/>
        </w:rPr>
      </w:pPr>
    </w:p>
    <w:tbl>
      <w:tblPr>
        <w:tblW w:w="9611"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1"/>
      </w:tblGrid>
      <w:tr w:rsidR="00114789" w:rsidRPr="00B92FD5" w14:paraId="53001FF5" w14:textId="77777777" w:rsidTr="00116113">
        <w:tc>
          <w:tcPr>
            <w:tcW w:w="9611" w:type="dxa"/>
            <w:tcBorders>
              <w:top w:val="single" w:sz="4" w:space="0" w:color="auto"/>
              <w:left w:val="single" w:sz="4" w:space="0" w:color="auto"/>
              <w:bottom w:val="single" w:sz="4" w:space="0" w:color="auto"/>
              <w:right w:val="single" w:sz="4" w:space="0" w:color="auto"/>
            </w:tcBorders>
            <w:shd w:val="clear" w:color="auto" w:fill="auto"/>
          </w:tcPr>
          <w:p w14:paraId="2050B36D" w14:textId="77777777" w:rsidR="00114789" w:rsidRPr="00B92FD5" w:rsidRDefault="00114789" w:rsidP="00A642F9">
            <w:pPr>
              <w:outlineLvl w:val="1"/>
              <w:rPr>
                <w:b/>
                <w:bCs/>
                <w:szCs w:val="24"/>
                <w:lang w:val="es-ES_tradnl" w:eastAsia="es-ES" w:bidi="es-ES"/>
              </w:rPr>
            </w:pPr>
            <w:r w:rsidRPr="00B92FD5">
              <w:rPr>
                <w:b/>
                <w:lang w:val="es-ES_tradnl" w:eastAsia="es-ES" w:bidi="es-ES"/>
              </w:rPr>
              <w:t>4.1 Descripción de los incidentes</w:t>
            </w:r>
          </w:p>
        </w:tc>
      </w:tr>
    </w:tbl>
    <w:p w14:paraId="3C3BE39D"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En 2011, en el curso de la misión de control aviar, un técnico de aproximadamente 60 años con una larga historia de hipertensión arterial (el técnico tenía hipertensión arterial pero no lo había notificado a la DPVC cuando partió a la campaña de control) se intoxicó durante el tratamiento de un nido situado a 200 km de </w:t>
      </w:r>
      <w:proofErr w:type="spellStart"/>
      <w:r w:rsidRPr="00B92FD5">
        <w:rPr>
          <w:lang w:val="es-ES_tradnl" w:eastAsia="es-ES" w:bidi="es-ES"/>
        </w:rPr>
        <w:t>N'Djamena</w:t>
      </w:r>
      <w:proofErr w:type="spellEnd"/>
      <w:r w:rsidRPr="00B92FD5">
        <w:rPr>
          <w:lang w:val="es-ES_tradnl" w:eastAsia="es-ES" w:bidi="es-ES"/>
        </w:rPr>
        <w:t xml:space="preserve"> (</w:t>
      </w:r>
      <w:proofErr w:type="spellStart"/>
      <w:r w:rsidRPr="00B92FD5">
        <w:rPr>
          <w:lang w:val="es-ES_tradnl" w:eastAsia="es-ES" w:bidi="es-ES"/>
        </w:rPr>
        <w:t>Bokoro</w:t>
      </w:r>
      <w:proofErr w:type="spellEnd"/>
      <w:r w:rsidRPr="00B92FD5">
        <w:rPr>
          <w:lang w:val="es-ES_tradnl" w:eastAsia="es-ES" w:bidi="es-ES"/>
        </w:rPr>
        <w:t xml:space="preserve">), el 17 de junio de 2011. </w:t>
      </w:r>
    </w:p>
    <w:p w14:paraId="6097CEF5" w14:textId="77777777" w:rsidR="00114789" w:rsidRPr="00B92FD5" w:rsidRDefault="00114789" w:rsidP="00114789">
      <w:pPr>
        <w:spacing w:after="120"/>
        <w:rPr>
          <w:lang w:val="es-ES_tradnl" w:eastAsia="es-ES" w:bidi="es-ES"/>
        </w:rPr>
      </w:pPr>
      <w:r w:rsidRPr="00B92FD5">
        <w:rPr>
          <w:lang w:val="es-ES_tradnl" w:eastAsia="es-ES" w:bidi="es-ES"/>
        </w:rPr>
        <w:t>El técnico participó en la carga del rociador y en la aplicación. Vistió indumentaria protectora durante toda la operación (sombrero, gafas, mascarilla, mono de algodón, guantes y botas cubiertas por pantalones). Informó que podía leer y comprender la etiqueta.</w:t>
      </w:r>
    </w:p>
    <w:p w14:paraId="3AEB6D70" w14:textId="77777777" w:rsidR="00114789" w:rsidRPr="00B92FD5" w:rsidRDefault="00114789" w:rsidP="00114789">
      <w:pPr>
        <w:spacing w:after="120"/>
        <w:rPr>
          <w:lang w:val="es-ES_tradnl" w:eastAsia="es-ES" w:bidi="es-ES"/>
        </w:rPr>
      </w:pPr>
      <w:r w:rsidRPr="00B92FD5">
        <w:rPr>
          <w:lang w:val="es-ES_tradnl" w:eastAsia="es-ES" w:bidi="es-ES"/>
        </w:rPr>
        <w:t xml:space="preserve">Los efectos se observaron una hora después de la aplicación. El intoxicado mostró los siguientes síntomas: vómitos, salivación abundante y titubeo. </w:t>
      </w:r>
    </w:p>
    <w:p w14:paraId="74D232C2" w14:textId="237EA45F" w:rsidR="00114789" w:rsidRPr="00B92FD5" w:rsidRDefault="00114789" w:rsidP="00114789">
      <w:pPr>
        <w:spacing w:after="120"/>
        <w:rPr>
          <w:lang w:val="es-ES_tradnl" w:eastAsia="es-ES" w:bidi="es-ES"/>
        </w:rPr>
      </w:pPr>
      <w:r w:rsidRPr="00B92FD5">
        <w:rPr>
          <w:lang w:val="es-ES_tradnl" w:eastAsia="es-ES" w:bidi="es-ES"/>
        </w:rPr>
        <w:t xml:space="preserve">Inmediatamente fue llevado al hospital de </w:t>
      </w:r>
      <w:proofErr w:type="spellStart"/>
      <w:r w:rsidRPr="00B92FD5">
        <w:rPr>
          <w:lang w:val="es-ES_tradnl" w:eastAsia="es-ES" w:bidi="es-ES"/>
        </w:rPr>
        <w:t>Bokoro</w:t>
      </w:r>
      <w:proofErr w:type="spellEnd"/>
      <w:r w:rsidRPr="00B92FD5">
        <w:rPr>
          <w:lang w:val="es-ES_tradnl" w:eastAsia="es-ES" w:bidi="es-ES"/>
        </w:rPr>
        <w:t xml:space="preserve"> y luego trasladado al servicio de urgencias del hospital de </w:t>
      </w:r>
      <w:proofErr w:type="spellStart"/>
      <w:r w:rsidRPr="00B92FD5">
        <w:rPr>
          <w:lang w:val="es-ES_tradnl" w:eastAsia="es-ES" w:bidi="es-ES"/>
        </w:rPr>
        <w:t>N'Djamena</w:t>
      </w:r>
      <w:proofErr w:type="spellEnd"/>
      <w:r w:rsidRPr="00B92FD5">
        <w:rPr>
          <w:lang w:val="es-ES_tradnl" w:eastAsia="es-ES" w:bidi="es-ES"/>
        </w:rPr>
        <w:t>, donde se lo siguió tratando. Siguiendo el consejo del médico, fue dado de alta el mismo día para seguir el</w:t>
      </w:r>
      <w:r w:rsidR="00B92FD5" w:rsidRPr="00B92FD5">
        <w:rPr>
          <w:lang w:val="es-ES_tradnl" w:eastAsia="es-ES" w:bidi="es-ES"/>
        </w:rPr>
        <w:t> </w:t>
      </w:r>
      <w:r w:rsidRPr="00B92FD5">
        <w:rPr>
          <w:lang w:val="es-ES_tradnl" w:eastAsia="es-ES" w:bidi="es-ES"/>
        </w:rPr>
        <w:t>tratamiento en el hogar. Desafortunadamente, a pesar del tratamiento seguido en el hogar, al cuarto día recayó y falleció.</w:t>
      </w:r>
    </w:p>
    <w:p w14:paraId="3EF22AD9" w14:textId="4CD8DD1B" w:rsidR="00114789" w:rsidRPr="00B92FD5" w:rsidRDefault="00114789" w:rsidP="00114789">
      <w:pPr>
        <w:spacing w:after="120"/>
        <w:rPr>
          <w:lang w:val="es-ES_tradnl" w:eastAsia="es-ES" w:bidi="es-ES"/>
        </w:rPr>
      </w:pPr>
      <w:r w:rsidRPr="00B92FD5">
        <w:rPr>
          <w:lang w:val="es-ES_tradnl" w:eastAsia="es-ES" w:bidi="es-ES"/>
        </w:rPr>
        <w:t>Se mencionó un segundo caso de intoxicación letal de un operador después de</w:t>
      </w:r>
      <w:r w:rsidR="00B92FD5" w:rsidRPr="00B92FD5">
        <w:rPr>
          <w:lang w:val="es-ES_tradnl" w:eastAsia="es-ES" w:bidi="es-ES"/>
        </w:rPr>
        <w:t xml:space="preserve"> </w:t>
      </w:r>
      <w:r w:rsidRPr="00B92FD5">
        <w:rPr>
          <w:lang w:val="es-ES_tradnl" w:eastAsia="es-ES" w:bidi="es-ES"/>
        </w:rPr>
        <w:t>l</w:t>
      </w:r>
      <w:r w:rsidR="00B92FD5" w:rsidRPr="00B92FD5">
        <w:rPr>
          <w:lang w:val="es-ES_tradnl" w:eastAsia="es-ES" w:bidi="es-ES"/>
        </w:rPr>
        <w:t>a</w:t>
      </w:r>
      <w:r w:rsidRPr="00B92FD5">
        <w:rPr>
          <w:lang w:val="es-ES_tradnl" w:eastAsia="es-ES" w:bidi="es-ES"/>
        </w:rPr>
        <w:t xml:space="preserve"> manipulación/</w:t>
      </w:r>
      <w:r w:rsidR="00B92FD5" w:rsidRPr="00B92FD5">
        <w:rPr>
          <w:lang w:val="es-ES_tradnl" w:eastAsia="es-ES" w:bidi="es-ES"/>
        </w:rPr>
        <w:t xml:space="preserve">el </w:t>
      </w:r>
      <w:r w:rsidRPr="00B92FD5">
        <w:rPr>
          <w:lang w:val="es-ES_tradnl" w:eastAsia="es-ES" w:bidi="es-ES"/>
        </w:rPr>
        <w:t xml:space="preserve">tratamiento del suelo con </w:t>
      </w:r>
      <w:proofErr w:type="spellStart"/>
      <w:r w:rsidRPr="00B92FD5">
        <w:rPr>
          <w:lang w:val="es-ES_tradnl" w:eastAsia="es-ES" w:bidi="es-ES"/>
        </w:rPr>
        <w:t>fentión</w:t>
      </w:r>
      <w:proofErr w:type="spellEnd"/>
      <w:r w:rsidRPr="00B92FD5">
        <w:rPr>
          <w:lang w:val="es-ES_tradnl" w:eastAsia="es-ES" w:bidi="es-ES"/>
        </w:rPr>
        <w:t xml:space="preserve"> 640 de ultra bajo volumen en el Chad, ocurrido en 2009. Además, un operador había entrado en coma durante una semana en las mismas circunstancias. Sin embargo, el Chad comunicó estos casos como información suplementaria, pero no fueron incluidos en el formulario de información sobre incidentes con plaguicidas incluido en la propuesta.</w:t>
      </w:r>
    </w:p>
    <w:tbl>
      <w:tblPr>
        <w:tblW w:w="9588"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114789" w:rsidRPr="00ED5AB4" w14:paraId="590E34A1" w14:textId="77777777" w:rsidTr="00A642F9">
        <w:tc>
          <w:tcPr>
            <w:tcW w:w="9588" w:type="dxa"/>
            <w:tcBorders>
              <w:top w:val="single" w:sz="4" w:space="0" w:color="auto"/>
              <w:left w:val="single" w:sz="4" w:space="0" w:color="auto"/>
              <w:bottom w:val="single" w:sz="4" w:space="0" w:color="auto"/>
              <w:right w:val="single" w:sz="4" w:space="0" w:color="auto"/>
            </w:tcBorders>
            <w:shd w:val="clear" w:color="auto" w:fill="auto"/>
          </w:tcPr>
          <w:p w14:paraId="3F311562" w14:textId="77777777" w:rsidR="00114789" w:rsidRPr="00B92FD5" w:rsidRDefault="00114789" w:rsidP="00A642F9">
            <w:pPr>
              <w:outlineLvl w:val="1"/>
              <w:rPr>
                <w:b/>
                <w:bCs/>
                <w:szCs w:val="24"/>
                <w:lang w:val="es-ES_tradnl" w:eastAsia="es-ES" w:bidi="es-ES"/>
              </w:rPr>
            </w:pPr>
            <w:r w:rsidRPr="00B92FD5">
              <w:rPr>
                <w:b/>
                <w:lang w:val="es-ES_tradnl" w:eastAsia="es-ES" w:bidi="es-ES"/>
              </w:rPr>
              <w:t>4.2 Descripción de los efectos adversos</w:t>
            </w:r>
          </w:p>
        </w:tc>
      </w:tr>
    </w:tbl>
    <w:p w14:paraId="2C008DBA" w14:textId="77777777" w:rsidR="00114789" w:rsidRPr="00B92FD5" w:rsidRDefault="00114789" w:rsidP="00114789">
      <w:pPr>
        <w:spacing w:after="120"/>
        <w:rPr>
          <w:lang w:val="es-ES_tradnl" w:eastAsia="es-ES" w:bidi="es-ES"/>
        </w:rPr>
      </w:pPr>
      <w:r w:rsidRPr="00B92FD5">
        <w:rPr>
          <w:lang w:val="es-ES_tradnl" w:eastAsia="es-ES" w:bidi="es-ES"/>
        </w:rPr>
        <w:t>Véase el punto 4.1. Para mayor información, véase el formulario de notificación de incidentes del anexo II.</w:t>
      </w:r>
    </w:p>
    <w:tbl>
      <w:tblPr>
        <w:tblW w:w="9588"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114789" w:rsidRPr="00ED5AB4" w14:paraId="36C5C6E5" w14:textId="77777777" w:rsidTr="00A642F9">
        <w:tc>
          <w:tcPr>
            <w:tcW w:w="9588" w:type="dxa"/>
            <w:tcBorders>
              <w:top w:val="single" w:sz="4" w:space="0" w:color="auto"/>
              <w:left w:val="single" w:sz="4" w:space="0" w:color="auto"/>
              <w:bottom w:val="single" w:sz="4" w:space="0" w:color="auto"/>
              <w:right w:val="single" w:sz="4" w:space="0" w:color="auto"/>
            </w:tcBorders>
            <w:shd w:val="clear" w:color="auto" w:fill="auto"/>
          </w:tcPr>
          <w:p w14:paraId="2C0AD623" w14:textId="77777777" w:rsidR="00114789" w:rsidRPr="00B92FD5" w:rsidRDefault="00114789" w:rsidP="00A642F9">
            <w:pPr>
              <w:outlineLvl w:val="1"/>
              <w:rPr>
                <w:b/>
                <w:bCs/>
                <w:szCs w:val="24"/>
                <w:lang w:val="es-ES_tradnl" w:eastAsia="es-ES" w:bidi="es-ES"/>
              </w:rPr>
            </w:pPr>
            <w:r w:rsidRPr="00B92FD5">
              <w:rPr>
                <w:b/>
                <w:lang w:val="es-ES_tradnl" w:eastAsia="es-ES" w:bidi="es-ES"/>
              </w:rPr>
              <w:t>4.3 Relación entre los efectos adversos observados y los efectos toxicológicos agudos reconocidos del ingrediente o ingredientes activos</w:t>
            </w:r>
          </w:p>
        </w:tc>
      </w:tr>
    </w:tbl>
    <w:p w14:paraId="39066538"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La Organización </w:t>
      </w:r>
      <w:r w:rsidRPr="00B92FD5">
        <w:rPr>
          <w:lang w:val="es-ES_tradnl"/>
        </w:rPr>
        <w:t>Mundial</w:t>
      </w:r>
      <w:r w:rsidRPr="00B92FD5">
        <w:rPr>
          <w:lang w:val="es-ES_tradnl" w:eastAsia="es-ES" w:bidi="es-ES"/>
        </w:rPr>
        <w:t xml:space="preserve"> de la Salud (OMS) ha clasificado el </w:t>
      </w:r>
      <w:proofErr w:type="spellStart"/>
      <w:r w:rsidRPr="00B92FD5">
        <w:rPr>
          <w:lang w:val="es-ES_tradnl" w:eastAsia="es-ES" w:bidi="es-ES"/>
        </w:rPr>
        <w:t>fentión</w:t>
      </w:r>
      <w:proofErr w:type="spellEnd"/>
      <w:r w:rsidRPr="00B92FD5">
        <w:rPr>
          <w:lang w:val="es-ES_tradnl" w:eastAsia="es-ES" w:bidi="es-ES"/>
        </w:rPr>
        <w:t xml:space="preserve"> como una sustancia química II (moderadamente peligrosa). </w:t>
      </w:r>
    </w:p>
    <w:p w14:paraId="4565E1FF" w14:textId="77777777" w:rsidR="00114789" w:rsidRPr="00B92FD5" w:rsidRDefault="00114789" w:rsidP="00114789">
      <w:pPr>
        <w:spacing w:after="12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es un inhibidor de colinesterasa, que actúa por contacto, inhalación o ingesta.</w:t>
      </w:r>
    </w:p>
    <w:p w14:paraId="709BC681" w14:textId="77777777" w:rsidR="00114789" w:rsidRPr="00B92FD5" w:rsidRDefault="00114789" w:rsidP="00114789">
      <w:pPr>
        <w:spacing w:after="120"/>
        <w:rPr>
          <w:lang w:val="es-ES_tradnl" w:eastAsia="es-ES" w:bidi="es-ES"/>
        </w:rPr>
      </w:pPr>
      <w:r w:rsidRPr="00B92FD5">
        <w:rPr>
          <w:lang w:val="es-ES_tradnl" w:eastAsia="es-ES" w:bidi="es-ES"/>
        </w:rPr>
        <w:t xml:space="preserve">Toxicidad aguda: el </w:t>
      </w:r>
      <w:proofErr w:type="spellStart"/>
      <w:r w:rsidRPr="00B92FD5">
        <w:rPr>
          <w:lang w:val="es-ES_tradnl" w:eastAsia="es-ES" w:bidi="es-ES"/>
        </w:rPr>
        <w:t>fentión</w:t>
      </w:r>
      <w:proofErr w:type="spellEnd"/>
      <w:r w:rsidRPr="00B92FD5">
        <w:rPr>
          <w:lang w:val="es-ES_tradnl" w:eastAsia="es-ES" w:bidi="es-ES"/>
        </w:rPr>
        <w:t xml:space="preserve"> afecta los sistemas nervioso central, cardiovascular y respiratorio y puede producir irritación en los ojos y membranas mucosas. Como sucede con todos los organofosforados, el </w:t>
      </w:r>
      <w:proofErr w:type="spellStart"/>
      <w:r w:rsidRPr="00B92FD5">
        <w:rPr>
          <w:lang w:val="es-ES_tradnl" w:eastAsia="es-ES" w:bidi="es-ES"/>
        </w:rPr>
        <w:t>fentión</w:t>
      </w:r>
      <w:proofErr w:type="spellEnd"/>
      <w:r w:rsidRPr="00B92FD5">
        <w:rPr>
          <w:lang w:val="es-ES_tradnl" w:eastAsia="es-ES" w:bidi="es-ES"/>
        </w:rPr>
        <w:t xml:space="preserve"> se absorbe fácilmente por vía dérmica. </w:t>
      </w:r>
    </w:p>
    <w:p w14:paraId="231B3F06" w14:textId="77777777" w:rsidR="00114789" w:rsidRPr="00B92FD5" w:rsidRDefault="00114789" w:rsidP="00114789">
      <w:pPr>
        <w:spacing w:after="120"/>
        <w:rPr>
          <w:lang w:val="es-ES_tradnl" w:eastAsia="es-ES" w:bidi="es-ES"/>
        </w:rPr>
      </w:pPr>
      <w:r w:rsidRPr="00B92FD5">
        <w:rPr>
          <w:lang w:val="es-ES_tradnl" w:eastAsia="es-ES" w:bidi="es-ES"/>
        </w:rPr>
        <w:t xml:space="preserve">Los insecticidas organofosforados son inhibidores de colinesterasa. Son muy tóxicos a través de todas las vías de exposición. Cuando se inhalan, los primeros efectos suelen producirse en el sistema respiratorio y pueden incluir sangrado nasal o rinorrea, tos, molestia torácica, dificultades para respirar o falta de aire y sibilancias debidas a constricción o exceso de líquido en las vías bronquiales. El contacto de la piel con los organofosforados puede causar sudoración y contracciones musculares involuntarias. El contacto con los ojos causa dolor, sangrado, lágrimas, constricción de las pupilas y visión borrosa. Después de la exposición por cualquier vía, los efectos sistémicos pueden iniciarse a los pocos minutos o retrasarse hasta unas 12 horas. Estos pueden incluir: palidez, náuseas, vómitos, diarrea, cólicos abdominales, cefalea, mareos, dolor en los ojos, visión borrosa, constricción o dilatación de las pupilas, lágrimas, salivación, sudoración y confusión. El envenenamiento grave afectará el sistema nervioso central, produciendo falta de coordinación, dificultad para hablar, pérdida de reflejos, debilidad, fatiga, contracción muscular involuntaria, temblores musculares, temblores de la lengua o de los párpados y, finalmente, parálisis de las extremidades y los músculos respiratorios. </w:t>
      </w:r>
    </w:p>
    <w:p w14:paraId="674D7BE7" w14:textId="77777777" w:rsidR="00114789" w:rsidRPr="00B92FD5" w:rsidRDefault="00114789" w:rsidP="00114789">
      <w:pPr>
        <w:spacing w:after="120"/>
        <w:rPr>
          <w:lang w:val="es-ES_tradnl" w:eastAsia="es-ES" w:bidi="es-ES"/>
        </w:rPr>
      </w:pPr>
      <w:r w:rsidRPr="00B92FD5">
        <w:rPr>
          <w:lang w:val="es-ES_tradnl" w:eastAsia="es-ES" w:bidi="es-ES"/>
        </w:rPr>
        <w:t>Algunos organofosforados pueden causar síntomas tardíos que se inicien entre 1 y 4 semanas después de una exposición aguda que podría haber producido o no síntomas inmediatos. En esos casos, pueden aparecer entumecimiento, hormigueo, debilidad y calambres en las extremidades inferiores y progresar hasta la falta de coordinación y la parálisis. Puede haber mejoras en meses o años, pero siempre quedará algún deterioro residual.</w:t>
      </w:r>
    </w:p>
    <w:p w14:paraId="22974C00" w14:textId="77777777" w:rsidR="00114789" w:rsidRPr="00B92FD5" w:rsidRDefault="00114789" w:rsidP="00114789">
      <w:pPr>
        <w:spacing w:after="120"/>
        <w:rPr>
          <w:lang w:val="es-ES_tradnl" w:eastAsia="es-ES" w:bidi="es-ES"/>
        </w:rPr>
      </w:pPr>
      <w:r w:rsidRPr="00B92FD5">
        <w:rPr>
          <w:lang w:val="es-ES_tradnl" w:eastAsia="es-ES" w:bidi="es-ES"/>
        </w:rPr>
        <w:t xml:space="preserve">El envenenamiento agudo con </w:t>
      </w:r>
      <w:proofErr w:type="spellStart"/>
      <w:r w:rsidRPr="00B92FD5">
        <w:rPr>
          <w:lang w:val="es-ES_tradnl" w:eastAsia="es-ES" w:bidi="es-ES"/>
        </w:rPr>
        <w:t>fentión</w:t>
      </w:r>
      <w:proofErr w:type="spellEnd"/>
      <w:r w:rsidRPr="00B92FD5">
        <w:rPr>
          <w:lang w:val="es-ES_tradnl" w:eastAsia="es-ES" w:bidi="es-ES"/>
        </w:rPr>
        <w:t xml:space="preserve"> da lugar a miosis (pupilas puntiformes), cefalea, náuseas y vómitos, mareos, debilidad muscular, somnolencia, letargia, agitación o ansiedad. Si el envenenamiento es moderado o grave, da lugar a opresión en el pecho, respiración dificultosa, hipertensión, dolor abdominal, diarrea, mucha salivación, sudoración profusa o fasciculaciones. En un caso extremadamente grave, como un intento de suicidio, la víctima puede quedar en coma, con paro respiratorio, convulsiones, pérdida de reflejos y parálisis flácida. </w:t>
      </w:r>
    </w:p>
    <w:p w14:paraId="214B51E0" w14:textId="77777777" w:rsidR="00114789" w:rsidRPr="00B92FD5" w:rsidRDefault="00114789" w:rsidP="00114789">
      <w:pPr>
        <w:spacing w:after="120"/>
        <w:rPr>
          <w:lang w:val="es-ES_tradnl" w:eastAsia="es-ES" w:bidi="es-ES"/>
        </w:rPr>
      </w:pPr>
      <w:r w:rsidRPr="00B92FD5">
        <w:rPr>
          <w:lang w:val="es-ES_tradnl" w:eastAsia="es-ES" w:bidi="es-ES"/>
        </w:rPr>
        <w:t>Se conocen varios casos de envenenamiento intencional o accidental por ingesta y/o exposición dérmica.</w:t>
      </w:r>
    </w:p>
    <w:p w14:paraId="6190C8DA" w14:textId="77777777" w:rsidR="00114789" w:rsidRPr="00B92FD5" w:rsidRDefault="00114789" w:rsidP="00114789">
      <w:pPr>
        <w:spacing w:after="120"/>
        <w:rPr>
          <w:lang w:val="es-ES_tradnl" w:eastAsia="es-ES" w:bidi="es-ES"/>
        </w:rPr>
      </w:pPr>
      <w:r w:rsidRPr="00B92FD5">
        <w:rPr>
          <w:lang w:val="es-ES_tradnl" w:eastAsia="es-ES" w:bidi="es-ES"/>
        </w:rPr>
        <w:t>(Fuente:</w:t>
      </w:r>
      <w:r w:rsidRPr="00B92FD5">
        <w:rPr>
          <w:b/>
          <w:lang w:val="es-ES_tradnl" w:eastAsia="es-ES" w:bidi="es-ES"/>
        </w:rPr>
        <w:t xml:space="preserve">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 http://extoxnet.orst.edu/pips/fenthion.htm)</w:t>
      </w:r>
    </w:p>
    <w:p w14:paraId="0A76422B" w14:textId="77777777" w:rsidR="00114789" w:rsidRPr="00B92FD5" w:rsidRDefault="00114789" w:rsidP="00114789">
      <w:pPr>
        <w:spacing w:after="120"/>
        <w:rPr>
          <w:lang w:val="es-ES_tradnl" w:eastAsia="es-ES" w:bidi="es-ES"/>
        </w:rPr>
      </w:pPr>
      <w:r w:rsidRPr="00B92FD5">
        <w:rPr>
          <w:lang w:val="es-ES_tradnl" w:eastAsia="es-ES" w:bidi="es-ES"/>
        </w:rPr>
        <w:t xml:space="preserve">Los efectos observados en la víctima corresponden a la exposición aguda al </w:t>
      </w:r>
      <w:proofErr w:type="spellStart"/>
      <w:r w:rsidRPr="00B92FD5">
        <w:rPr>
          <w:lang w:val="es-ES_tradnl" w:eastAsia="es-ES" w:bidi="es-ES"/>
        </w:rPr>
        <w:t>fentión</w:t>
      </w:r>
      <w:proofErr w:type="spellEnd"/>
      <w:r w:rsidRPr="00B92FD5">
        <w:rPr>
          <w:lang w:val="es-ES_tradnl" w:eastAsia="es-ES" w:bidi="es-ES"/>
        </w:rPr>
        <w:t>: vómitos, salivación, efectos en el sistema nervioso (titubeo). Se informó que otro intoxicado entró en coma.</w:t>
      </w:r>
    </w:p>
    <w:tbl>
      <w:tblPr>
        <w:tblW w:w="9588"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114789" w:rsidRPr="00ED5AB4" w14:paraId="0C25331C" w14:textId="77777777" w:rsidTr="00A642F9">
        <w:tc>
          <w:tcPr>
            <w:tcW w:w="9588" w:type="dxa"/>
            <w:tcBorders>
              <w:top w:val="single" w:sz="4" w:space="0" w:color="auto"/>
              <w:left w:val="single" w:sz="4" w:space="0" w:color="auto"/>
              <w:bottom w:val="single" w:sz="4" w:space="0" w:color="auto"/>
              <w:right w:val="single" w:sz="4" w:space="0" w:color="auto"/>
            </w:tcBorders>
            <w:shd w:val="clear" w:color="auto" w:fill="auto"/>
          </w:tcPr>
          <w:p w14:paraId="75D51F78" w14:textId="77777777" w:rsidR="00114789" w:rsidRPr="00B92FD5" w:rsidRDefault="00114789" w:rsidP="00A642F9">
            <w:pPr>
              <w:outlineLvl w:val="1"/>
              <w:rPr>
                <w:b/>
                <w:bCs/>
                <w:szCs w:val="24"/>
                <w:lang w:val="es-ES_tradnl" w:eastAsia="es-ES" w:bidi="es-ES"/>
              </w:rPr>
            </w:pPr>
            <w:r w:rsidRPr="00B92FD5">
              <w:rPr>
                <w:b/>
                <w:lang w:val="es-ES_tradnl" w:eastAsia="es-ES" w:bidi="es-ES"/>
              </w:rPr>
              <w:t>4.4 Magnitud del incidente (por ej., número de personas afectadas por incidentes de la salud humana)</w:t>
            </w:r>
          </w:p>
        </w:tc>
      </w:tr>
    </w:tbl>
    <w:p w14:paraId="01BDCFFA"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Durante las misiones de control de 2009, 2011 y 2012 se informaron tres incidentes en el Chad. Un incidente de 2011 de intoxicación letal se informó detalladamente. Se mencionó un segundo caso de intoxicación letal, ocurrido en 2009, de un </w:t>
      </w:r>
      <w:r w:rsidRPr="00B92FD5">
        <w:rPr>
          <w:lang w:val="es-ES_tradnl"/>
        </w:rPr>
        <w:t>operador</w:t>
      </w:r>
      <w:r w:rsidRPr="00B92FD5">
        <w:rPr>
          <w:lang w:val="es-ES_tradnl" w:eastAsia="es-ES" w:bidi="es-ES"/>
        </w:rPr>
        <w:t xml:space="preserve"> después del manejo/tratamiento del suelo con </w:t>
      </w:r>
      <w:proofErr w:type="spellStart"/>
      <w:r w:rsidRPr="00B92FD5">
        <w:rPr>
          <w:lang w:val="es-ES_tradnl" w:eastAsia="es-ES" w:bidi="es-ES"/>
        </w:rPr>
        <w:t>fentión</w:t>
      </w:r>
      <w:proofErr w:type="spellEnd"/>
      <w:r w:rsidRPr="00B92FD5">
        <w:rPr>
          <w:lang w:val="es-ES_tradnl" w:eastAsia="es-ES" w:bidi="es-ES"/>
        </w:rPr>
        <w:t xml:space="preserve"> 640 de ultra bajo volumen. Además, un operador había entrado en coma durante una semana en las mismas circunstancias.</w:t>
      </w:r>
    </w:p>
    <w:p w14:paraId="69E05FD7" w14:textId="77777777" w:rsidR="00114789" w:rsidRPr="00B92FD5" w:rsidRDefault="00114789" w:rsidP="00114789">
      <w:pPr>
        <w:keepNext/>
        <w:pBdr>
          <w:top w:val="single" w:sz="4" w:space="1" w:color="auto"/>
          <w:left w:val="single" w:sz="4" w:space="0" w:color="auto"/>
          <w:bottom w:val="single" w:sz="4" w:space="1" w:color="auto"/>
          <w:right w:val="single" w:sz="4" w:space="1" w:color="auto"/>
        </w:pBdr>
        <w:shd w:val="pct10" w:color="auto" w:fill="auto"/>
        <w:spacing w:before="240" w:after="120"/>
        <w:outlineLvl w:val="0"/>
        <w:rPr>
          <w:b/>
          <w:szCs w:val="24"/>
          <w:lang w:val="es-ES_tradnl" w:eastAsia="es-ES" w:bidi="es-ES"/>
        </w:rPr>
      </w:pPr>
      <w:r w:rsidRPr="00B92FD5">
        <w:rPr>
          <w:b/>
          <w:lang w:val="es-ES_tradnl" w:eastAsia="es-ES" w:bidi="es-ES"/>
        </w:rPr>
        <w:t>5. Cualquier medida reglamentaria, administrativa o de otro tipo que la Parte proponente haya adoptado, o se proponga adoptar, en respuesta a esos incidentes</w:t>
      </w:r>
    </w:p>
    <w:p w14:paraId="58ED10D4"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No se adoptó o se propuso adoptar ninguna medida. El uso sigue estando seriamente restringido al control aviar; su aplicación solo está permitida si es a cargo de la Dirección de Protección Fitosanitaria y Acondicionamiento (DPVC), después de haber explicado a las personas el peligro del producto para los seres humanos, el ganado y el medio ambiente. El producto se utilizará hasta que se desarrollen alternativas como las tradicionales redes usadas como trampas. </w:t>
      </w:r>
    </w:p>
    <w:tbl>
      <w:tblPr>
        <w:tblW w:w="0" w:type="auto"/>
        <w:tblInd w:w="-3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98"/>
      </w:tblGrid>
      <w:tr w:rsidR="00114789" w:rsidRPr="00ED5AB4" w14:paraId="6E57356E" w14:textId="77777777" w:rsidTr="00A642F9">
        <w:tc>
          <w:tcPr>
            <w:tcW w:w="9498" w:type="dxa"/>
            <w:shd w:val="pct12" w:color="000000" w:fill="FFFFFF"/>
          </w:tcPr>
          <w:p w14:paraId="6557A4B9" w14:textId="77777777" w:rsidR="00114789" w:rsidRPr="00B92FD5" w:rsidRDefault="00114789" w:rsidP="00A642F9">
            <w:pPr>
              <w:keepNext/>
              <w:spacing w:before="40" w:after="60"/>
              <w:outlineLvl w:val="0"/>
              <w:rPr>
                <w:b/>
                <w:bCs/>
                <w:kern w:val="28"/>
                <w:szCs w:val="24"/>
                <w:lang w:val="es-ES_tradnl" w:eastAsia="es-ES" w:bidi="es-ES"/>
              </w:rPr>
            </w:pPr>
            <w:r w:rsidRPr="00B92FD5">
              <w:rPr>
                <w:lang w:val="es-ES_tradnl" w:eastAsia="es-ES" w:bidi="es-ES"/>
              </w:rPr>
              <w:br w:type="page"/>
            </w:r>
            <w:r w:rsidRPr="00B92FD5">
              <w:rPr>
                <w:b/>
                <w:kern w:val="28"/>
                <w:lang w:val="es-ES_tradnl" w:eastAsia="es-ES" w:bidi="es-ES"/>
              </w:rPr>
              <w:t>6. Clasificación de peligro de la formulación por la OMS</w:t>
            </w:r>
          </w:p>
        </w:tc>
      </w:tr>
    </w:tbl>
    <w:p w14:paraId="62D97C73" w14:textId="77777777" w:rsidR="00114789" w:rsidRPr="00B92FD5" w:rsidRDefault="00114789" w:rsidP="00B92FD5">
      <w:pPr>
        <w:pStyle w:val="Normal-pool"/>
        <w:spacing w:before="120" w:after="120"/>
        <w:rPr>
          <w:lang w:val="es-ES_tradnl" w:eastAsia="es-ES" w:bidi="es-ES"/>
        </w:rPr>
      </w:pPr>
      <w:r w:rsidRPr="00B92FD5">
        <w:rPr>
          <w:lang w:val="es-ES_tradnl" w:eastAsia="es-ES" w:bidi="es-ES"/>
        </w:rPr>
        <w:t xml:space="preserve">No se conoce la clasificación de peligro de la formulación por la OMS. La sustancia activa </w:t>
      </w:r>
      <w:proofErr w:type="spellStart"/>
      <w:r w:rsidRPr="00B92FD5">
        <w:rPr>
          <w:lang w:val="es-ES_tradnl" w:eastAsia="es-ES" w:bidi="es-ES"/>
        </w:rPr>
        <w:t>fentión</w:t>
      </w:r>
      <w:proofErr w:type="spellEnd"/>
      <w:r w:rsidRPr="00B92FD5">
        <w:rPr>
          <w:lang w:val="es-ES_tradnl" w:eastAsia="es-ES" w:bidi="es-ES"/>
        </w:rPr>
        <w:t xml:space="preserve"> se clasifica del siguiente modo: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8"/>
        <w:gridCol w:w="1698"/>
        <w:gridCol w:w="2829"/>
        <w:gridCol w:w="3012"/>
      </w:tblGrid>
      <w:tr w:rsidR="00114789" w:rsidRPr="00ED5AB4" w14:paraId="1AB14C84" w14:textId="77777777" w:rsidTr="00A642F9">
        <w:tc>
          <w:tcPr>
            <w:tcW w:w="1951" w:type="dxa"/>
            <w:shd w:val="clear" w:color="auto" w:fill="D9D9D9"/>
          </w:tcPr>
          <w:p w14:paraId="4C884582" w14:textId="77777777" w:rsidR="00114789" w:rsidRPr="00B92FD5" w:rsidRDefault="00114789" w:rsidP="00A642F9">
            <w:pPr>
              <w:keepNext/>
              <w:tabs>
                <w:tab w:val="left" w:pos="-720"/>
                <w:tab w:val="left" w:pos="0"/>
                <w:tab w:val="left" w:pos="720"/>
              </w:tabs>
              <w:suppressAutoHyphens/>
              <w:rPr>
                <w:b/>
                <w:lang w:val="es-ES_tradnl" w:eastAsia="es-ES" w:bidi="es-ES"/>
              </w:rPr>
            </w:pPr>
            <w:r w:rsidRPr="00B92FD5">
              <w:rPr>
                <w:b/>
                <w:lang w:val="es-ES_tradnl" w:eastAsia="es-ES" w:bidi="es-ES"/>
              </w:rPr>
              <w:t>Vía</w:t>
            </w:r>
          </w:p>
        </w:tc>
        <w:tc>
          <w:tcPr>
            <w:tcW w:w="1701" w:type="dxa"/>
            <w:shd w:val="clear" w:color="auto" w:fill="D9D9D9"/>
          </w:tcPr>
          <w:p w14:paraId="22DF5E20" w14:textId="77777777" w:rsidR="00114789" w:rsidRPr="00B92FD5" w:rsidRDefault="00114789" w:rsidP="00A642F9">
            <w:pPr>
              <w:keepNext/>
              <w:tabs>
                <w:tab w:val="left" w:pos="-720"/>
                <w:tab w:val="left" w:pos="0"/>
                <w:tab w:val="left" w:pos="720"/>
              </w:tabs>
              <w:suppressAutoHyphens/>
              <w:rPr>
                <w:b/>
                <w:lang w:val="es-ES_tradnl" w:eastAsia="es-ES" w:bidi="es-ES"/>
              </w:rPr>
            </w:pPr>
            <w:r w:rsidRPr="00B92FD5">
              <w:rPr>
                <w:b/>
                <w:lang w:val="es-ES_tradnl" w:eastAsia="es-ES" w:bidi="es-ES"/>
              </w:rPr>
              <w:t>Especie</w:t>
            </w:r>
          </w:p>
        </w:tc>
        <w:tc>
          <w:tcPr>
            <w:tcW w:w="2835" w:type="dxa"/>
            <w:shd w:val="clear" w:color="auto" w:fill="D9D9D9"/>
          </w:tcPr>
          <w:p w14:paraId="6E2AB98E" w14:textId="77777777" w:rsidR="00114789" w:rsidRPr="00B92FD5" w:rsidRDefault="00114789" w:rsidP="00A642F9">
            <w:pPr>
              <w:keepNext/>
              <w:tabs>
                <w:tab w:val="left" w:pos="-720"/>
                <w:tab w:val="left" w:pos="0"/>
                <w:tab w:val="left" w:pos="720"/>
              </w:tabs>
              <w:suppressAutoHyphens/>
              <w:rPr>
                <w:b/>
                <w:lang w:val="es-ES_tradnl" w:eastAsia="es-ES" w:bidi="es-ES"/>
              </w:rPr>
            </w:pPr>
            <w:r w:rsidRPr="00B92FD5">
              <w:rPr>
                <w:b/>
                <w:lang w:val="es-ES_tradnl" w:eastAsia="es-ES" w:bidi="es-ES"/>
              </w:rPr>
              <w:t>LD</w:t>
            </w:r>
            <w:r w:rsidRPr="00B92FD5">
              <w:rPr>
                <w:b/>
                <w:vertAlign w:val="subscript"/>
                <w:lang w:val="es-ES_tradnl" w:eastAsia="es-ES" w:bidi="es-ES"/>
              </w:rPr>
              <w:t>50</w:t>
            </w:r>
            <w:r w:rsidRPr="00B92FD5">
              <w:rPr>
                <w:b/>
                <w:lang w:val="es-ES_tradnl" w:eastAsia="es-ES" w:bidi="es-ES"/>
              </w:rPr>
              <w:t xml:space="preserve"> (mg/kg pc)</w:t>
            </w:r>
          </w:p>
        </w:tc>
        <w:tc>
          <w:tcPr>
            <w:tcW w:w="3016" w:type="dxa"/>
            <w:shd w:val="clear" w:color="auto" w:fill="D9D9D9"/>
          </w:tcPr>
          <w:p w14:paraId="781D64CF" w14:textId="77777777" w:rsidR="00114789" w:rsidRPr="00B92FD5" w:rsidRDefault="00114789" w:rsidP="00A642F9">
            <w:pPr>
              <w:keepNext/>
              <w:tabs>
                <w:tab w:val="left" w:pos="-720"/>
                <w:tab w:val="left" w:pos="0"/>
                <w:tab w:val="left" w:pos="720"/>
              </w:tabs>
              <w:suppressAutoHyphens/>
              <w:rPr>
                <w:b/>
                <w:lang w:val="es-ES_tradnl" w:eastAsia="es-ES" w:bidi="es-ES"/>
              </w:rPr>
            </w:pPr>
            <w:r w:rsidRPr="00B92FD5">
              <w:rPr>
                <w:b/>
                <w:lang w:val="es-ES_tradnl" w:eastAsia="es-ES" w:bidi="es-ES"/>
              </w:rPr>
              <w:t>Clase de toxicidad de la OMS</w:t>
            </w:r>
          </w:p>
        </w:tc>
      </w:tr>
      <w:tr w:rsidR="00114789" w:rsidRPr="00B92FD5" w14:paraId="1E2140D3" w14:textId="77777777" w:rsidTr="00A642F9">
        <w:tc>
          <w:tcPr>
            <w:tcW w:w="1951" w:type="dxa"/>
            <w:shd w:val="clear" w:color="auto" w:fill="auto"/>
          </w:tcPr>
          <w:p w14:paraId="1ED12C69"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Contacto oral</w:t>
            </w:r>
          </w:p>
        </w:tc>
        <w:tc>
          <w:tcPr>
            <w:tcW w:w="1701" w:type="dxa"/>
            <w:shd w:val="clear" w:color="auto" w:fill="auto"/>
          </w:tcPr>
          <w:p w14:paraId="59A1846C"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Rata</w:t>
            </w:r>
          </w:p>
        </w:tc>
        <w:tc>
          <w:tcPr>
            <w:tcW w:w="2835" w:type="dxa"/>
            <w:shd w:val="clear" w:color="auto" w:fill="auto"/>
          </w:tcPr>
          <w:p w14:paraId="2461F9A1"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 xml:space="preserve">aprox. 250 </w:t>
            </w:r>
          </w:p>
        </w:tc>
        <w:tc>
          <w:tcPr>
            <w:tcW w:w="3016" w:type="dxa"/>
            <w:shd w:val="clear" w:color="auto" w:fill="auto"/>
          </w:tcPr>
          <w:p w14:paraId="5DB25986"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II Moderadamente peligrosa</w:t>
            </w:r>
          </w:p>
        </w:tc>
      </w:tr>
      <w:tr w:rsidR="00114789" w:rsidRPr="00B92FD5" w14:paraId="19082465" w14:textId="77777777" w:rsidTr="00A642F9">
        <w:tc>
          <w:tcPr>
            <w:tcW w:w="1951" w:type="dxa"/>
            <w:shd w:val="clear" w:color="auto" w:fill="auto"/>
          </w:tcPr>
          <w:p w14:paraId="7CC09BA4"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Contacto por piel</w:t>
            </w:r>
          </w:p>
        </w:tc>
        <w:tc>
          <w:tcPr>
            <w:tcW w:w="1701" w:type="dxa"/>
            <w:shd w:val="clear" w:color="auto" w:fill="auto"/>
          </w:tcPr>
          <w:p w14:paraId="041FDD3D"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Rata</w:t>
            </w:r>
          </w:p>
        </w:tc>
        <w:tc>
          <w:tcPr>
            <w:tcW w:w="2835" w:type="dxa"/>
            <w:shd w:val="clear" w:color="auto" w:fill="auto"/>
          </w:tcPr>
          <w:p w14:paraId="55772DF9"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586</w:t>
            </w:r>
          </w:p>
        </w:tc>
        <w:tc>
          <w:tcPr>
            <w:tcW w:w="3016" w:type="dxa"/>
            <w:shd w:val="clear" w:color="auto" w:fill="auto"/>
          </w:tcPr>
          <w:p w14:paraId="582B87DE" w14:textId="77777777" w:rsidR="00114789" w:rsidRPr="00B92FD5" w:rsidRDefault="00114789" w:rsidP="00A642F9">
            <w:pPr>
              <w:keepNext/>
              <w:tabs>
                <w:tab w:val="left" w:pos="-720"/>
                <w:tab w:val="left" w:pos="0"/>
                <w:tab w:val="left" w:pos="720"/>
              </w:tabs>
              <w:suppressAutoHyphens/>
              <w:rPr>
                <w:lang w:val="es-ES_tradnl" w:eastAsia="es-ES" w:bidi="es-ES"/>
              </w:rPr>
            </w:pPr>
            <w:r w:rsidRPr="00B92FD5">
              <w:rPr>
                <w:lang w:val="es-ES_tradnl" w:eastAsia="es-ES" w:bidi="es-ES"/>
              </w:rPr>
              <w:t>II Moderadamente peligrosa</w:t>
            </w:r>
          </w:p>
        </w:tc>
      </w:tr>
    </w:tbl>
    <w:p w14:paraId="1E6D4875" w14:textId="77777777" w:rsidR="00114789" w:rsidRPr="00B92FD5" w:rsidRDefault="00114789" w:rsidP="00114789">
      <w:pPr>
        <w:rPr>
          <w:lang w:val="es-ES_tradnl" w:eastAsia="es-ES" w:bidi="es-ES"/>
        </w:rPr>
      </w:pPr>
    </w:p>
    <w:tbl>
      <w:tblPr>
        <w:tblW w:w="0" w:type="auto"/>
        <w:tblInd w:w="-3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98"/>
      </w:tblGrid>
      <w:tr w:rsidR="00114789" w:rsidRPr="00ED5AB4" w14:paraId="3C1643A8" w14:textId="77777777" w:rsidTr="00A642F9">
        <w:tc>
          <w:tcPr>
            <w:tcW w:w="9498" w:type="dxa"/>
            <w:shd w:val="pct12" w:color="000000" w:fill="FFFFFF"/>
          </w:tcPr>
          <w:p w14:paraId="61816540" w14:textId="77777777" w:rsidR="00114789" w:rsidRPr="00B92FD5" w:rsidRDefault="00114789" w:rsidP="00A642F9">
            <w:pPr>
              <w:keepNext/>
              <w:keepLines/>
              <w:spacing w:before="40" w:after="60"/>
              <w:outlineLvl w:val="0"/>
              <w:rPr>
                <w:b/>
                <w:bCs/>
                <w:kern w:val="28"/>
                <w:szCs w:val="24"/>
                <w:lang w:val="es-ES_tradnl" w:eastAsia="es-ES" w:bidi="es-ES"/>
              </w:rPr>
            </w:pPr>
            <w:r w:rsidRPr="00B92FD5">
              <w:rPr>
                <w:lang w:val="es-ES_tradnl" w:eastAsia="es-ES" w:bidi="es-ES"/>
              </w:rPr>
              <w:br w:type="page"/>
            </w:r>
            <w:r w:rsidRPr="00B92FD5">
              <w:rPr>
                <w:b/>
                <w:kern w:val="28"/>
                <w:lang w:val="es-ES_tradnl" w:eastAsia="es-ES" w:bidi="es-ES"/>
              </w:rPr>
              <w:t>7. Prácticas alternativas de control de plagas</w:t>
            </w:r>
          </w:p>
        </w:tc>
      </w:tr>
    </w:tbl>
    <w:p w14:paraId="37C29AF3" w14:textId="77777777" w:rsidR="00114789" w:rsidRPr="00B92FD5" w:rsidRDefault="00114789" w:rsidP="00B92FD5">
      <w:pPr>
        <w:pStyle w:val="Normal-pool"/>
        <w:spacing w:before="120" w:after="120"/>
        <w:rPr>
          <w:lang w:val="es-ES_tradnl" w:eastAsia="es-ES" w:bidi="es-ES"/>
        </w:rPr>
      </w:pPr>
      <w:r w:rsidRPr="00B92FD5">
        <w:rPr>
          <w:b/>
          <w:bCs/>
          <w:lang w:val="es-ES_tradnl"/>
        </w:rPr>
        <w:t>General</w:t>
      </w:r>
    </w:p>
    <w:p w14:paraId="3FBF38E4" w14:textId="77777777" w:rsidR="00114789" w:rsidRPr="00B92FD5" w:rsidRDefault="00114789" w:rsidP="00114789">
      <w:pPr>
        <w:keepNext/>
        <w:keepLines/>
        <w:spacing w:after="120"/>
        <w:rPr>
          <w:lang w:val="es-ES_tradnl" w:eastAsia="es-ES" w:bidi="es-ES"/>
        </w:rPr>
      </w:pPr>
      <w:r w:rsidRPr="00B92FD5">
        <w:rPr>
          <w:lang w:val="es-ES_tradnl" w:eastAsia="es-ES" w:bidi="es-ES"/>
        </w:rPr>
        <w:t xml:space="preserve">Existen muchos métodos alternativos disponibles, que comprenden soluciones no químicas y que incluyen tecnologías alternativas, según cuáles sean las circunstancias y condiciones locales de uso. </w:t>
      </w:r>
      <w:r w:rsidRPr="00B92FD5">
        <w:rPr>
          <w:lang w:val="es-ES_tradnl" w:eastAsia="es-ES" w:bidi="es-ES"/>
        </w:rPr>
        <w:br/>
        <w:t>Los países deberían considerar la promoción, según proceda, del manejo integrado de plagas (MIP) como un medio de reducir o eliminar el uso de plaguicidas peligrosos.</w:t>
      </w:r>
    </w:p>
    <w:p w14:paraId="25F649CA" w14:textId="77777777" w:rsidR="00114789" w:rsidRPr="00B92FD5" w:rsidRDefault="00114789" w:rsidP="00114789">
      <w:pPr>
        <w:spacing w:after="120"/>
        <w:rPr>
          <w:lang w:val="es-ES_tradnl" w:eastAsia="es-ES" w:bidi="es-ES"/>
        </w:rPr>
      </w:pPr>
      <w:r w:rsidRPr="00B92FD5">
        <w:rPr>
          <w:lang w:val="es-ES_tradnl" w:eastAsia="es-ES" w:bidi="es-ES"/>
        </w:rPr>
        <w:t xml:space="preserve">Se pueden encontrar recomendaciones en los centros coordinadores del manejo integrado de plagas (MIP) de cada país, la FAO y organismos de investigación o desarrollo agrícolas. Puede encontrarse información adicional sobre alternativas al uso del </w:t>
      </w:r>
      <w:proofErr w:type="spellStart"/>
      <w:r w:rsidRPr="00B92FD5">
        <w:rPr>
          <w:lang w:val="es-ES_tradnl" w:eastAsia="es-ES" w:bidi="es-ES"/>
        </w:rPr>
        <w:t>fentión</w:t>
      </w:r>
      <w:proofErr w:type="spellEnd"/>
      <w:r w:rsidRPr="00B92FD5">
        <w:rPr>
          <w:lang w:val="es-ES_tradnl" w:eastAsia="es-ES" w:bidi="es-ES"/>
        </w:rPr>
        <w:t xml:space="preserve"> 640 de ultra bajo volumen en el sitio web del Convenio de Rotterdam, </w:t>
      </w:r>
      <w:hyperlink r:id="rId16">
        <w:r w:rsidRPr="00B92FD5">
          <w:rPr>
            <w:lang w:val="es-ES_tradnl" w:eastAsia="es-ES" w:bidi="es-ES"/>
          </w:rPr>
          <w:t>www.pic.int</w:t>
        </w:r>
      </w:hyperlink>
      <w:r w:rsidRPr="00B92FD5">
        <w:rPr>
          <w:lang w:val="es-ES_tradnl" w:eastAsia="es-ES" w:bidi="es-ES"/>
        </w:rPr>
        <w:t>.</w:t>
      </w:r>
    </w:p>
    <w:p w14:paraId="74797E61" w14:textId="77777777" w:rsidR="00114789" w:rsidRPr="00B92FD5" w:rsidRDefault="00114789" w:rsidP="00114789">
      <w:pPr>
        <w:spacing w:after="120"/>
        <w:rPr>
          <w:lang w:val="es-ES_tradnl" w:eastAsia="es-ES" w:bidi="es-ES"/>
        </w:rPr>
      </w:pPr>
      <w:r w:rsidRPr="00B92FD5">
        <w:rPr>
          <w:lang w:val="es-ES_tradnl" w:eastAsia="es-ES" w:bidi="es-ES"/>
        </w:rPr>
        <w:t>En el documento UNEP-FAO-RC-CRC.9-4-Add.2, p. 159-170 (</w:t>
      </w:r>
      <w:hyperlink r:id="rId17">
        <w:r w:rsidRPr="00B92FD5">
          <w:rPr>
            <w:lang w:val="es-ES_tradnl" w:eastAsia="es-ES" w:bidi="es-ES"/>
          </w:rPr>
          <w:t>http://www.pic.int/TheConvention/ChemicalReviewCommittee/Meetingsanddocuments/CRC9/</w:t>
        </w:r>
      </w:hyperlink>
      <w:r w:rsidRPr="00B92FD5">
        <w:rPr>
          <w:lang w:val="es-ES_tradnl" w:eastAsia="es-ES" w:bidi="es-ES"/>
        </w:rPr>
        <w:br/>
        <w:t>POPRC9Documents/</w:t>
      </w:r>
      <w:proofErr w:type="spellStart"/>
      <w:r w:rsidRPr="00B92FD5">
        <w:rPr>
          <w:lang w:val="es-ES_tradnl" w:eastAsia="es-ES" w:bidi="es-ES"/>
        </w:rPr>
        <w:t>tabid</w:t>
      </w:r>
      <w:proofErr w:type="spellEnd"/>
      <w:r w:rsidRPr="00B92FD5">
        <w:rPr>
          <w:lang w:val="es-ES_tradnl" w:eastAsia="es-ES" w:bidi="es-ES"/>
        </w:rPr>
        <w:t>/3291/</w:t>
      </w:r>
      <w:proofErr w:type="spellStart"/>
      <w:r w:rsidRPr="00B92FD5">
        <w:rPr>
          <w:lang w:val="es-ES_tradnl" w:eastAsia="es-ES" w:bidi="es-ES"/>
        </w:rPr>
        <w:t>language</w:t>
      </w:r>
      <w:proofErr w:type="spellEnd"/>
      <w:r w:rsidRPr="00B92FD5">
        <w:rPr>
          <w:lang w:val="es-ES_tradnl" w:eastAsia="es-ES" w:bidi="es-ES"/>
        </w:rPr>
        <w:t xml:space="preserve">/en-US/Default.aspx) puede encontrarse información sobre prácticas alternativas en francés. </w:t>
      </w:r>
    </w:p>
    <w:p w14:paraId="3234AFEB" w14:textId="77777777" w:rsidR="00114789" w:rsidRPr="00B92FD5" w:rsidRDefault="00114789" w:rsidP="00B92FD5">
      <w:pPr>
        <w:pStyle w:val="Normal-pool"/>
        <w:spacing w:before="120" w:after="120"/>
        <w:rPr>
          <w:b/>
          <w:lang w:val="es-ES_tradnl" w:eastAsia="es-ES" w:bidi="es-ES"/>
        </w:rPr>
      </w:pPr>
      <w:r w:rsidRPr="00B92FD5">
        <w:rPr>
          <w:b/>
          <w:lang w:val="es-ES_tradnl" w:eastAsia="es-ES" w:bidi="es-ES"/>
        </w:rPr>
        <w:t>Chad</w:t>
      </w:r>
    </w:p>
    <w:p w14:paraId="2A4DA243" w14:textId="77777777" w:rsidR="00114789" w:rsidRPr="00B92FD5" w:rsidRDefault="00114789" w:rsidP="00114789">
      <w:pPr>
        <w:keepNext/>
        <w:spacing w:after="120"/>
        <w:rPr>
          <w:lang w:val="es-ES_tradnl" w:eastAsia="es-ES" w:bidi="es-ES"/>
        </w:rPr>
      </w:pPr>
      <w:r w:rsidRPr="00B92FD5">
        <w:rPr>
          <w:lang w:val="es-ES_tradnl" w:eastAsia="es-ES" w:bidi="es-ES"/>
        </w:rPr>
        <w:t>Se informaron las siguientes prácticas alternativas para el control de plagas contra las aves granívoras: captura de las aves con redes de trampas japonesas; eliminación de los nidos en los campos; protección de los cultivos con trampas; resguardo de los cultivos y asustar a las aves.</w:t>
      </w:r>
    </w:p>
    <w:p w14:paraId="7F56C0A6" w14:textId="77777777" w:rsidR="00114789" w:rsidRPr="00B92FD5" w:rsidRDefault="00114789" w:rsidP="00114789">
      <w:pPr>
        <w:tabs>
          <w:tab w:val="left" w:pos="-720"/>
          <w:tab w:val="left" w:pos="0"/>
          <w:tab w:val="left" w:pos="720"/>
        </w:tabs>
        <w:suppressAutoHyphens/>
        <w:spacing w:after="240"/>
        <w:rPr>
          <w:sz w:val="4"/>
          <w:szCs w:val="4"/>
          <w:lang w:val="es-ES_tradnl" w:eastAsia="es-ES" w:bidi="es-ES"/>
        </w:rPr>
      </w:pPr>
      <w:r w:rsidRPr="00B92FD5">
        <w:rPr>
          <w:lang w:val="es-ES_tradnl" w:eastAsia="es-ES" w:bidi="es-ES"/>
        </w:rPr>
        <w:br w:type="page"/>
      </w:r>
    </w:p>
    <w:tbl>
      <w:tblPr>
        <w:tblW w:w="0" w:type="auto"/>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26"/>
      </w:tblGrid>
      <w:tr w:rsidR="00114789" w:rsidRPr="00B92FD5" w14:paraId="5CBD7B75" w14:textId="77777777" w:rsidTr="00A642F9">
        <w:tc>
          <w:tcPr>
            <w:tcW w:w="9426" w:type="dxa"/>
            <w:shd w:val="pct12" w:color="000000" w:fill="FFFFFF"/>
          </w:tcPr>
          <w:p w14:paraId="3E29981E" w14:textId="77777777" w:rsidR="00114789" w:rsidRPr="00B92FD5" w:rsidRDefault="00114789" w:rsidP="00A642F9">
            <w:pPr>
              <w:keepNext/>
              <w:spacing w:before="40" w:after="60"/>
              <w:outlineLvl w:val="0"/>
              <w:rPr>
                <w:b/>
                <w:bCs/>
                <w:kern w:val="28"/>
                <w:szCs w:val="24"/>
                <w:lang w:val="es-ES_tradnl" w:eastAsia="es-ES" w:bidi="es-ES"/>
              </w:rPr>
            </w:pPr>
            <w:r w:rsidRPr="00B92FD5">
              <w:rPr>
                <w:lang w:val="es-ES_tradnl" w:eastAsia="es-ES" w:bidi="es-ES"/>
              </w:rPr>
              <w:br w:type="page"/>
            </w:r>
            <w:r w:rsidRPr="00B92FD5">
              <w:rPr>
                <w:b/>
                <w:kern w:val="28"/>
                <w:lang w:val="es-ES_tradnl" w:eastAsia="es-ES" w:bidi="es-ES"/>
              </w:rPr>
              <w:t>Anexos</w:t>
            </w:r>
          </w:p>
        </w:tc>
      </w:tr>
    </w:tbl>
    <w:p w14:paraId="6C36190F" w14:textId="77777777" w:rsidR="00114789" w:rsidRPr="00B92FD5" w:rsidRDefault="00114789" w:rsidP="00114789">
      <w:pPr>
        <w:tabs>
          <w:tab w:val="left" w:pos="-720"/>
          <w:tab w:val="left" w:pos="0"/>
          <w:tab w:val="left" w:pos="720"/>
        </w:tabs>
        <w:suppressAutoHyphens/>
        <w:rPr>
          <w:sz w:val="10"/>
          <w:szCs w:val="10"/>
          <w:lang w:val="es-ES_tradnl" w:eastAsia="es-ES" w:bidi="es-ES"/>
        </w:rPr>
      </w:pPr>
    </w:p>
    <w:tbl>
      <w:tblPr>
        <w:tblW w:w="0" w:type="auto"/>
        <w:tblInd w:w="108" w:type="dxa"/>
        <w:tblLayout w:type="fixed"/>
        <w:tblLook w:val="0000" w:firstRow="0" w:lastRow="0" w:firstColumn="0" w:lastColumn="0" w:noHBand="0" w:noVBand="0"/>
      </w:tblPr>
      <w:tblGrid>
        <w:gridCol w:w="1170"/>
        <w:gridCol w:w="8256"/>
      </w:tblGrid>
      <w:tr w:rsidR="00114789" w:rsidRPr="00ED5AB4" w14:paraId="74AE48ED" w14:textId="77777777" w:rsidTr="00A642F9">
        <w:trPr>
          <w:cantSplit/>
        </w:trPr>
        <w:tc>
          <w:tcPr>
            <w:tcW w:w="1170" w:type="dxa"/>
            <w:shd w:val="clear" w:color="auto" w:fill="auto"/>
          </w:tcPr>
          <w:p w14:paraId="3E12BDC8" w14:textId="77777777" w:rsidR="00114789" w:rsidRPr="00B92FD5" w:rsidRDefault="00114789" w:rsidP="00A642F9">
            <w:pPr>
              <w:spacing w:before="60" w:after="40"/>
              <w:rPr>
                <w:lang w:val="es-ES_tradnl" w:eastAsia="es-ES" w:bidi="es-ES"/>
              </w:rPr>
            </w:pPr>
            <w:r w:rsidRPr="00B92FD5">
              <w:rPr>
                <w:lang w:val="es-ES_tradnl" w:eastAsia="es-ES" w:bidi="es-ES"/>
              </w:rPr>
              <w:t>Anexo I</w:t>
            </w:r>
          </w:p>
        </w:tc>
        <w:tc>
          <w:tcPr>
            <w:tcW w:w="8256" w:type="dxa"/>
            <w:shd w:val="clear" w:color="auto" w:fill="auto"/>
          </w:tcPr>
          <w:p w14:paraId="6972D04F" w14:textId="77777777" w:rsidR="00114789" w:rsidRPr="00B92FD5" w:rsidRDefault="00114789" w:rsidP="00A642F9">
            <w:pPr>
              <w:spacing w:before="60" w:after="40"/>
              <w:rPr>
                <w:b/>
                <w:lang w:val="es-ES_tradnl" w:eastAsia="es-ES" w:bidi="es-ES"/>
              </w:rPr>
            </w:pPr>
            <w:r w:rsidRPr="00B92FD5">
              <w:rPr>
                <w:b/>
                <w:lang w:val="es-ES_tradnl" w:eastAsia="es-ES" w:bidi="es-ES"/>
              </w:rPr>
              <w:t>Argumento para la recomendación del Comité de Examen de Productos Químicos relativa a la inclusión de la formulación extremadamente peligrosa en el procedimiento de consentimiento fundamentado previo</w:t>
            </w:r>
          </w:p>
        </w:tc>
      </w:tr>
      <w:tr w:rsidR="00114789" w:rsidRPr="00ED5AB4" w14:paraId="5B2724BF" w14:textId="77777777" w:rsidTr="00A642F9">
        <w:trPr>
          <w:cantSplit/>
        </w:trPr>
        <w:tc>
          <w:tcPr>
            <w:tcW w:w="1170" w:type="dxa"/>
            <w:shd w:val="clear" w:color="auto" w:fill="auto"/>
          </w:tcPr>
          <w:p w14:paraId="5D30B152" w14:textId="77777777" w:rsidR="00114789" w:rsidRPr="00B92FD5" w:rsidRDefault="00114789" w:rsidP="00A642F9">
            <w:pPr>
              <w:spacing w:before="60" w:after="40"/>
              <w:rPr>
                <w:lang w:val="es-ES_tradnl" w:eastAsia="es-ES" w:bidi="es-ES"/>
              </w:rPr>
            </w:pPr>
            <w:r w:rsidRPr="00B92FD5">
              <w:rPr>
                <w:lang w:val="es-ES_tradnl" w:eastAsia="es-ES" w:bidi="es-ES"/>
              </w:rPr>
              <w:t>Anexo II</w:t>
            </w:r>
          </w:p>
        </w:tc>
        <w:tc>
          <w:tcPr>
            <w:tcW w:w="8256" w:type="dxa"/>
            <w:shd w:val="clear" w:color="auto" w:fill="auto"/>
          </w:tcPr>
          <w:p w14:paraId="300F6F21" w14:textId="77777777" w:rsidR="00114789" w:rsidRPr="00B92FD5" w:rsidRDefault="00114789" w:rsidP="00A642F9">
            <w:pPr>
              <w:spacing w:before="60" w:after="40"/>
              <w:rPr>
                <w:b/>
                <w:lang w:val="es-ES_tradnl" w:eastAsia="es-ES" w:bidi="es-ES"/>
              </w:rPr>
            </w:pPr>
            <w:r w:rsidRPr="00B92FD5">
              <w:rPr>
                <w:b/>
                <w:lang w:val="es-ES_tradnl" w:eastAsia="es-ES" w:bidi="es-ES"/>
              </w:rPr>
              <w:t>Información sobre el incidente notificado extraída de la notificación de incidentes</w:t>
            </w:r>
          </w:p>
        </w:tc>
      </w:tr>
      <w:tr w:rsidR="00114789" w:rsidRPr="00ED5AB4" w14:paraId="0B4F35C3" w14:textId="77777777" w:rsidTr="00A642F9">
        <w:trPr>
          <w:cantSplit/>
        </w:trPr>
        <w:tc>
          <w:tcPr>
            <w:tcW w:w="1170" w:type="dxa"/>
            <w:shd w:val="clear" w:color="auto" w:fill="auto"/>
          </w:tcPr>
          <w:p w14:paraId="07B99279" w14:textId="77777777" w:rsidR="00114789" w:rsidRPr="00B92FD5" w:rsidRDefault="00114789" w:rsidP="00A642F9">
            <w:pPr>
              <w:spacing w:before="60" w:after="40"/>
              <w:rPr>
                <w:lang w:val="es-ES_tradnl" w:eastAsia="es-ES" w:bidi="es-ES"/>
              </w:rPr>
            </w:pPr>
            <w:r w:rsidRPr="00B92FD5">
              <w:rPr>
                <w:lang w:val="es-ES_tradnl" w:eastAsia="es-ES" w:bidi="es-ES"/>
              </w:rPr>
              <w:t>Anexo III</w:t>
            </w:r>
          </w:p>
        </w:tc>
        <w:tc>
          <w:tcPr>
            <w:tcW w:w="8256" w:type="dxa"/>
            <w:shd w:val="clear" w:color="auto" w:fill="auto"/>
          </w:tcPr>
          <w:p w14:paraId="7534F2B0" w14:textId="77777777" w:rsidR="00114789" w:rsidRPr="00B92FD5" w:rsidRDefault="00114789" w:rsidP="00A642F9">
            <w:pPr>
              <w:spacing w:before="60" w:after="40"/>
              <w:rPr>
                <w:b/>
                <w:lang w:val="es-ES_tradnl" w:eastAsia="es-ES" w:bidi="es-ES"/>
              </w:rPr>
            </w:pPr>
            <w:r w:rsidRPr="00B92FD5">
              <w:rPr>
                <w:b/>
                <w:lang w:val="es-ES_tradnl" w:eastAsia="es-ES" w:bidi="es-ES"/>
              </w:rPr>
              <w:t>Hojas de datos de seguridad sobre el ingrediente o ingredientes activos del plaguicida</w:t>
            </w:r>
          </w:p>
        </w:tc>
      </w:tr>
      <w:tr w:rsidR="00114789" w:rsidRPr="00ED5AB4" w14:paraId="39830131" w14:textId="77777777" w:rsidTr="00A642F9">
        <w:trPr>
          <w:cantSplit/>
        </w:trPr>
        <w:tc>
          <w:tcPr>
            <w:tcW w:w="1170" w:type="dxa"/>
            <w:shd w:val="clear" w:color="auto" w:fill="auto"/>
          </w:tcPr>
          <w:p w14:paraId="78CE3C00" w14:textId="77777777" w:rsidR="00114789" w:rsidRPr="00B92FD5" w:rsidRDefault="00114789" w:rsidP="00A642F9">
            <w:pPr>
              <w:spacing w:before="60" w:after="40"/>
              <w:rPr>
                <w:lang w:val="es-ES_tradnl" w:eastAsia="es-ES" w:bidi="es-ES"/>
              </w:rPr>
            </w:pPr>
            <w:r w:rsidRPr="00B92FD5">
              <w:rPr>
                <w:lang w:val="es-ES_tradnl" w:eastAsia="es-ES" w:bidi="es-ES"/>
              </w:rPr>
              <w:t>Anexo IV</w:t>
            </w:r>
          </w:p>
        </w:tc>
        <w:tc>
          <w:tcPr>
            <w:tcW w:w="8256" w:type="dxa"/>
            <w:shd w:val="clear" w:color="auto" w:fill="auto"/>
          </w:tcPr>
          <w:p w14:paraId="1AE0B4C1" w14:textId="77777777" w:rsidR="00114789" w:rsidRPr="00B92FD5" w:rsidRDefault="00114789" w:rsidP="00A642F9">
            <w:pPr>
              <w:spacing w:before="60" w:after="40"/>
              <w:rPr>
                <w:b/>
                <w:bCs/>
                <w:lang w:val="es-ES_tradnl" w:eastAsia="es-ES" w:bidi="es-ES"/>
              </w:rPr>
            </w:pPr>
            <w:r w:rsidRPr="00B92FD5">
              <w:rPr>
                <w:b/>
                <w:lang w:val="es-ES_tradnl" w:eastAsia="es-ES" w:bidi="es-ES"/>
              </w:rPr>
              <w:t>Información adicional sobre el ingrediente activo del plaguicida</w:t>
            </w:r>
          </w:p>
        </w:tc>
      </w:tr>
      <w:tr w:rsidR="00114789" w:rsidRPr="00B92FD5" w14:paraId="70753F22" w14:textId="77777777" w:rsidTr="00A642F9">
        <w:trPr>
          <w:cantSplit/>
        </w:trPr>
        <w:tc>
          <w:tcPr>
            <w:tcW w:w="1170" w:type="dxa"/>
            <w:shd w:val="clear" w:color="auto" w:fill="auto"/>
          </w:tcPr>
          <w:p w14:paraId="71D18DAA" w14:textId="77777777" w:rsidR="00114789" w:rsidRPr="00B92FD5" w:rsidRDefault="00114789" w:rsidP="00A642F9">
            <w:pPr>
              <w:spacing w:before="60" w:after="40"/>
              <w:rPr>
                <w:lang w:val="es-ES_tradnl" w:eastAsia="es-ES" w:bidi="es-ES"/>
              </w:rPr>
            </w:pPr>
            <w:r w:rsidRPr="00B92FD5">
              <w:rPr>
                <w:lang w:val="es-ES_tradnl" w:eastAsia="es-ES" w:bidi="es-ES"/>
              </w:rPr>
              <w:t>Anexo V</w:t>
            </w:r>
          </w:p>
        </w:tc>
        <w:tc>
          <w:tcPr>
            <w:tcW w:w="8256" w:type="dxa"/>
            <w:shd w:val="clear" w:color="auto" w:fill="auto"/>
          </w:tcPr>
          <w:p w14:paraId="0F349CEF" w14:textId="77777777" w:rsidR="00114789" w:rsidRPr="00B92FD5" w:rsidRDefault="00114789" w:rsidP="00A642F9">
            <w:pPr>
              <w:spacing w:before="60" w:after="40"/>
              <w:rPr>
                <w:b/>
                <w:bCs/>
                <w:lang w:val="es-ES_tradnl" w:eastAsia="es-ES" w:bidi="es-ES"/>
              </w:rPr>
            </w:pPr>
            <w:r w:rsidRPr="00B92FD5">
              <w:rPr>
                <w:b/>
                <w:lang w:val="es-ES_tradnl" w:eastAsia="es-ES" w:bidi="es-ES"/>
              </w:rPr>
              <w:t>Referencias</w:t>
            </w:r>
          </w:p>
        </w:tc>
      </w:tr>
    </w:tbl>
    <w:p w14:paraId="5D03F209" w14:textId="77777777" w:rsidR="00114789" w:rsidRPr="00B92FD5" w:rsidRDefault="00114789" w:rsidP="00114789">
      <w:pPr>
        <w:tabs>
          <w:tab w:val="left" w:pos="-720"/>
          <w:tab w:val="left" w:pos="0"/>
          <w:tab w:val="left" w:pos="720"/>
        </w:tabs>
        <w:suppressAutoHyphens/>
        <w:rPr>
          <w:sz w:val="10"/>
          <w:szCs w:val="10"/>
          <w:lang w:val="es-ES_tradnl" w:eastAsia="es-ES" w:bidi="es-ES"/>
        </w:rPr>
      </w:pPr>
    </w:p>
    <w:p w14:paraId="7B6938AE" w14:textId="77777777" w:rsidR="00114789" w:rsidRPr="00B92FD5" w:rsidRDefault="00114789" w:rsidP="00114789">
      <w:pPr>
        <w:tabs>
          <w:tab w:val="left" w:pos="-720"/>
          <w:tab w:val="left" w:pos="0"/>
          <w:tab w:val="left" w:pos="720"/>
        </w:tabs>
        <w:suppressAutoHyphens/>
        <w:rPr>
          <w:sz w:val="10"/>
          <w:szCs w:val="10"/>
          <w:lang w:val="es-ES_tradnl" w:eastAsia="es-ES" w:bidi="es-ES"/>
        </w:rPr>
      </w:pPr>
      <w:r w:rsidRPr="00B92FD5">
        <w:rPr>
          <w:lang w:val="es-ES_tradnl" w:eastAsia="es-ES" w:bidi="es-ES"/>
        </w:rPr>
        <w:br w:type="page"/>
      </w:r>
    </w:p>
    <w:tbl>
      <w:tblPr>
        <w:tblW w:w="0" w:type="auto"/>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98"/>
      </w:tblGrid>
      <w:tr w:rsidR="00114789" w:rsidRPr="00ED5AB4" w14:paraId="1EF64BC6" w14:textId="77777777" w:rsidTr="00A642F9">
        <w:tc>
          <w:tcPr>
            <w:tcW w:w="9498" w:type="dxa"/>
            <w:shd w:val="pct12" w:color="000000" w:fill="FFFFFF"/>
          </w:tcPr>
          <w:p w14:paraId="0EB05D41" w14:textId="77777777" w:rsidR="00114789" w:rsidRPr="00B92FD5" w:rsidRDefault="00114789" w:rsidP="00A642F9">
            <w:pPr>
              <w:keepNext/>
              <w:spacing w:before="40" w:after="60"/>
              <w:outlineLvl w:val="0"/>
              <w:rPr>
                <w:b/>
                <w:bCs/>
                <w:kern w:val="28"/>
                <w:sz w:val="28"/>
                <w:szCs w:val="28"/>
                <w:lang w:val="es-ES_tradnl" w:eastAsia="es-ES" w:bidi="es-ES"/>
              </w:rPr>
            </w:pPr>
            <w:r w:rsidRPr="00B92FD5">
              <w:rPr>
                <w:b/>
                <w:bCs/>
                <w:kern w:val="28"/>
                <w:sz w:val="24"/>
                <w:szCs w:val="24"/>
                <w:lang w:val="es-ES_tradnl"/>
              </w:rPr>
              <w:t>Anexo I Argumento para la recomendación del Comité de Examen de Productos Químicos relativa a la inclusión de la formulación extremadamente peligrosa en el procedimiento de consentimiento fundamentado previo</w:t>
            </w:r>
          </w:p>
        </w:tc>
      </w:tr>
    </w:tbl>
    <w:p w14:paraId="69C5B781" w14:textId="77777777" w:rsidR="00114789" w:rsidRPr="00B92FD5" w:rsidRDefault="00114789" w:rsidP="00B92FD5">
      <w:pPr>
        <w:keepNext/>
        <w:keepLines/>
        <w:tabs>
          <w:tab w:val="right" w:pos="851"/>
        </w:tabs>
        <w:suppressAutoHyphens/>
        <w:spacing w:before="120" w:after="120"/>
        <w:ind w:right="284"/>
        <w:rPr>
          <w:b/>
          <w:lang w:val="es-ES_tradnl"/>
        </w:rPr>
      </w:pPr>
      <w:r w:rsidRPr="00B92FD5">
        <w:rPr>
          <w:b/>
          <w:lang w:val="es-ES_tradnl"/>
        </w:rPr>
        <w:t xml:space="preserve">Fundamento de la conclusión del Comité de Examen de Productos Químicos de que la propuesta presentada por el Chad para incluir el </w:t>
      </w:r>
      <w:proofErr w:type="spellStart"/>
      <w:r w:rsidRPr="00B92FD5">
        <w:rPr>
          <w:b/>
          <w:lang w:val="es-ES_tradnl"/>
        </w:rPr>
        <w:t>fentión</w:t>
      </w:r>
      <w:proofErr w:type="spellEnd"/>
      <w:r w:rsidRPr="00B92FD5">
        <w:rPr>
          <w:b/>
          <w:lang w:val="es-ES_tradnl"/>
        </w:rPr>
        <w:t xml:space="preserve"> (formulaciones de ultra bajo volumen de 640 g/l de ingrediente activo o por encima de ese nivel) en el anexo III del Convenio de Rotterdam como una formulación plaguicida extremadamente peligrosa cumple los criterios de la parte 3 del anexo IV del Convenio </w:t>
      </w:r>
    </w:p>
    <w:p w14:paraId="611DC221" w14:textId="77777777" w:rsidR="00114789" w:rsidRPr="00B92FD5" w:rsidRDefault="00114789" w:rsidP="00114789">
      <w:pPr>
        <w:tabs>
          <w:tab w:val="left" w:pos="709"/>
        </w:tabs>
        <w:suppressAutoHyphens/>
        <w:spacing w:after="120"/>
        <w:ind w:left="1247" w:right="284" w:hanging="1247"/>
        <w:rPr>
          <w:b/>
          <w:lang w:val="es-ES_tradnl" w:eastAsia="es-ES" w:bidi="es-ES"/>
        </w:rPr>
      </w:pPr>
      <w:r w:rsidRPr="00B92FD5">
        <w:rPr>
          <w:b/>
          <w:lang w:val="es-ES_tradnl" w:eastAsia="es-ES" w:bidi="es-ES"/>
        </w:rPr>
        <w:t>1.</w:t>
      </w:r>
      <w:r w:rsidRPr="00B92FD5">
        <w:rPr>
          <w:b/>
          <w:lang w:val="es-ES_tradnl" w:eastAsia="es-ES" w:bidi="es-ES"/>
        </w:rPr>
        <w:tab/>
        <w:t xml:space="preserve">Alcance de la propuesta </w:t>
      </w:r>
    </w:p>
    <w:p w14:paraId="4DAD45E7" w14:textId="77777777" w:rsidR="00114789" w:rsidRPr="00B92FD5" w:rsidRDefault="00114789" w:rsidP="00114789">
      <w:pPr>
        <w:suppressAutoHyphens/>
        <w:spacing w:after="120"/>
        <w:rPr>
          <w:lang w:val="es-ES_tradnl" w:eastAsia="es-ES" w:bidi="es-ES"/>
        </w:rPr>
      </w:pPr>
      <w:r w:rsidRPr="00B92FD5">
        <w:rPr>
          <w:lang w:val="es-ES_tradnl" w:eastAsia="es-ES" w:bidi="es-ES"/>
        </w:rPr>
        <w:t xml:space="preserve">La propuesta presentada por el Chad se refería a la formulación </w:t>
      </w:r>
      <w:proofErr w:type="spellStart"/>
      <w:r w:rsidRPr="00B92FD5">
        <w:rPr>
          <w:lang w:val="es-ES_tradnl" w:eastAsia="es-ES" w:bidi="es-ES"/>
        </w:rPr>
        <w:t>fentión</w:t>
      </w:r>
      <w:proofErr w:type="spellEnd"/>
      <w:r w:rsidRPr="00B92FD5">
        <w:rPr>
          <w:lang w:val="es-ES_tradnl" w:eastAsia="es-ES" w:bidi="es-ES"/>
        </w:rPr>
        <w:t xml:space="preserve"> 640 de ultra bajo volumen (concentración de 640 g/l de </w:t>
      </w:r>
      <w:proofErr w:type="spellStart"/>
      <w:r w:rsidRPr="00B92FD5">
        <w:rPr>
          <w:lang w:val="es-ES_tradnl" w:eastAsia="es-ES" w:bidi="es-ES"/>
        </w:rPr>
        <w:t>fentión</w:t>
      </w:r>
      <w:proofErr w:type="spellEnd"/>
      <w:r w:rsidRPr="00B92FD5">
        <w:rPr>
          <w:lang w:val="es-ES_tradnl" w:eastAsia="es-ES" w:bidi="es-ES"/>
        </w:rPr>
        <w:t>). Se trata de una formulación de ultra bajo volumen.</w:t>
      </w:r>
    </w:p>
    <w:p w14:paraId="0B5F8790" w14:textId="77777777" w:rsidR="00114789" w:rsidRPr="00B92FD5" w:rsidRDefault="00114789" w:rsidP="00114789">
      <w:pPr>
        <w:suppressAutoHyphens/>
        <w:spacing w:after="120"/>
        <w:rPr>
          <w:lang w:val="es-ES_tradnl" w:eastAsia="es-ES" w:bidi="es-ES"/>
        </w:rPr>
      </w:pPr>
      <w:r w:rsidRPr="00B92FD5">
        <w:rPr>
          <w:lang w:val="es-ES_tradnl" w:eastAsia="es-ES" w:bidi="es-ES"/>
        </w:rPr>
        <w:t xml:space="preserve">La propuesta y la documentación justificativa se pusieron a disposición del Comité de Examen de Productos Químicos para su examen en los documentos UNEP/FAO/RC/CRC.9/4 y </w:t>
      </w:r>
      <w:proofErr w:type="spellStart"/>
      <w:r w:rsidRPr="00B92FD5">
        <w:rPr>
          <w:lang w:val="es-ES_tradnl" w:eastAsia="es-ES" w:bidi="es-ES"/>
        </w:rPr>
        <w:t>Add</w:t>
      </w:r>
      <w:proofErr w:type="spellEnd"/>
      <w:r w:rsidRPr="00B92FD5">
        <w:rPr>
          <w:lang w:val="es-ES_tradnl" w:eastAsia="es-ES" w:bidi="es-ES"/>
        </w:rPr>
        <w:t>. 1 y Add.2.</w:t>
      </w:r>
    </w:p>
    <w:p w14:paraId="6AE04E37" w14:textId="77777777" w:rsidR="00114789" w:rsidRPr="00B92FD5" w:rsidRDefault="00114789" w:rsidP="00114789">
      <w:pPr>
        <w:widowControl w:val="0"/>
        <w:autoSpaceDE w:val="0"/>
        <w:autoSpaceDN w:val="0"/>
        <w:adjustRightInd w:val="0"/>
        <w:spacing w:before="120"/>
        <w:rPr>
          <w:color w:val="000000"/>
          <w:lang w:val="es-ES_tradnl" w:eastAsia="es-ES" w:bidi="es-ES"/>
        </w:rPr>
      </w:pPr>
      <w:r w:rsidRPr="00B92FD5">
        <w:rPr>
          <w:color w:val="000000"/>
          <w:lang w:val="es-ES_tradnl" w:eastAsia="es-ES" w:bidi="es-ES"/>
        </w:rPr>
        <w:t xml:space="preserve">El </w:t>
      </w:r>
      <w:proofErr w:type="spellStart"/>
      <w:r w:rsidRPr="00B92FD5">
        <w:rPr>
          <w:color w:val="000000"/>
          <w:lang w:val="es-ES_tradnl" w:eastAsia="es-ES" w:bidi="es-ES"/>
        </w:rPr>
        <w:t>fentión</w:t>
      </w:r>
      <w:proofErr w:type="spellEnd"/>
      <w:r w:rsidRPr="00B92FD5">
        <w:rPr>
          <w:color w:val="000000"/>
          <w:lang w:val="es-ES_tradnl" w:eastAsia="es-ES" w:bidi="es-ES"/>
        </w:rPr>
        <w:t xml:space="preserve"> 640 de ultra bajo volumen se utilizaba como </w:t>
      </w:r>
      <w:proofErr w:type="spellStart"/>
      <w:r w:rsidRPr="00B92FD5">
        <w:rPr>
          <w:color w:val="000000"/>
          <w:lang w:val="es-ES_tradnl" w:eastAsia="es-ES" w:bidi="es-ES"/>
        </w:rPr>
        <w:t>avicida</w:t>
      </w:r>
      <w:proofErr w:type="spellEnd"/>
      <w:r w:rsidRPr="00B92FD5">
        <w:rPr>
          <w:color w:val="000000"/>
          <w:lang w:val="es-ES_tradnl" w:eastAsia="es-ES" w:bidi="es-ES"/>
        </w:rPr>
        <w:t xml:space="preserve"> contra aves granívoras (</w:t>
      </w:r>
      <w:proofErr w:type="spellStart"/>
      <w:r w:rsidRPr="00B92FD5">
        <w:rPr>
          <w:i/>
          <w:color w:val="000000"/>
          <w:lang w:val="es-ES_tradnl" w:eastAsia="es-ES" w:bidi="es-ES"/>
        </w:rPr>
        <w:t>Quelea</w:t>
      </w:r>
      <w:proofErr w:type="spellEnd"/>
      <w:r w:rsidRPr="00B92FD5">
        <w:rPr>
          <w:i/>
          <w:color w:val="000000"/>
          <w:lang w:val="es-ES_tradnl" w:eastAsia="es-ES" w:bidi="es-ES"/>
        </w:rPr>
        <w:t xml:space="preserve"> </w:t>
      </w:r>
      <w:proofErr w:type="spellStart"/>
      <w:r w:rsidRPr="00B92FD5">
        <w:rPr>
          <w:i/>
          <w:color w:val="000000"/>
          <w:lang w:val="es-ES_tradnl" w:eastAsia="es-ES" w:bidi="es-ES"/>
        </w:rPr>
        <w:t>quelea</w:t>
      </w:r>
      <w:proofErr w:type="spellEnd"/>
      <w:r w:rsidRPr="00B92FD5">
        <w:rPr>
          <w:color w:val="000000"/>
          <w:lang w:val="es-ES_tradnl" w:eastAsia="es-ES" w:bidi="es-ES"/>
        </w:rPr>
        <w:t>) en el marco del control aviar, para reducir daños a cultivos de cereales. El producto se aplicó con un rociador de mochila motorizado en una dosis de 1,8 a 3 l/</w:t>
      </w:r>
      <w:proofErr w:type="spellStart"/>
      <w:r w:rsidRPr="00B92FD5">
        <w:rPr>
          <w:color w:val="000000"/>
          <w:lang w:val="es-ES_tradnl" w:eastAsia="es-ES" w:bidi="es-ES"/>
        </w:rPr>
        <w:t>ha</w:t>
      </w:r>
      <w:proofErr w:type="spellEnd"/>
      <w:r w:rsidRPr="00B92FD5">
        <w:rPr>
          <w:color w:val="000000"/>
          <w:lang w:val="es-ES_tradnl" w:eastAsia="es-ES" w:bidi="es-ES"/>
        </w:rPr>
        <w:t xml:space="preserve"> en 2009, 2011 y 2012. </w:t>
      </w:r>
    </w:p>
    <w:p w14:paraId="3A2588F2" w14:textId="77777777" w:rsidR="00114789" w:rsidRPr="00B92FD5" w:rsidRDefault="00114789" w:rsidP="00114789">
      <w:pPr>
        <w:widowControl w:val="0"/>
        <w:autoSpaceDE w:val="0"/>
        <w:autoSpaceDN w:val="0"/>
        <w:adjustRightInd w:val="0"/>
        <w:rPr>
          <w:lang w:val="es-ES_tradnl" w:eastAsia="es-ES" w:bidi="es-ES"/>
        </w:rPr>
      </w:pPr>
      <w:r w:rsidRPr="00B92FD5">
        <w:rPr>
          <w:lang w:val="es-ES_tradnl" w:eastAsia="es-ES" w:bidi="es-ES"/>
        </w:rPr>
        <w:t>La formulación está registrada; los usos permitidos son para control aviar. El uso solo está permitido para ser aplicado por la Dirección de Protección Fitosanitaria y Acondicionamiento (DPVC).</w:t>
      </w:r>
    </w:p>
    <w:p w14:paraId="4D037438" w14:textId="77777777" w:rsidR="00114789" w:rsidRPr="00B92FD5" w:rsidRDefault="00114789" w:rsidP="00114789">
      <w:pPr>
        <w:widowControl w:val="0"/>
        <w:autoSpaceDE w:val="0"/>
        <w:autoSpaceDN w:val="0"/>
        <w:adjustRightInd w:val="0"/>
        <w:rPr>
          <w:color w:val="000000"/>
          <w:lang w:val="es-ES_tradnl" w:eastAsia="es-ES" w:bidi="es-ES"/>
        </w:rPr>
      </w:pPr>
      <w:r w:rsidRPr="00B92FD5">
        <w:rPr>
          <w:color w:val="000000"/>
          <w:lang w:val="es-ES_tradnl" w:eastAsia="es-ES" w:bidi="es-ES"/>
        </w:rPr>
        <w:t xml:space="preserve">Después de una primera intervención en 2009 por orden gubernamental, que llevaron a cabo siete equipos, el Ministerio de Agricultura y Riego, a través de la Dirección de Protección Fitosanitaria y Acondicionamiento (DPVC) organizó en 2011 y 2012 una misión compuesta por cuatro equipos, tres de los cuales estaban encargados de las inspecciones y el control y el cuarto, de los suministros y la supervisión. </w:t>
      </w:r>
    </w:p>
    <w:p w14:paraId="188E6D0D" w14:textId="77777777" w:rsidR="00114789" w:rsidRPr="00B92FD5" w:rsidRDefault="00114789" w:rsidP="00114789">
      <w:pPr>
        <w:widowControl w:val="0"/>
        <w:autoSpaceDE w:val="0"/>
        <w:autoSpaceDN w:val="0"/>
        <w:adjustRightInd w:val="0"/>
        <w:spacing w:before="120"/>
        <w:rPr>
          <w:color w:val="000000"/>
          <w:lang w:val="es-ES_tradnl" w:eastAsia="es-ES" w:bidi="es-ES"/>
        </w:rPr>
      </w:pPr>
      <w:r w:rsidRPr="00B92FD5">
        <w:rPr>
          <w:color w:val="000000"/>
          <w:lang w:val="es-ES_tradnl" w:eastAsia="es-ES" w:bidi="es-ES"/>
        </w:rPr>
        <w:t xml:space="preserve">Se informó en detalle de un incidente. En el curso de la misión de control aviar un técnico de 60 años con una larga historia de hipertensión arterial (el técnico tenía hipertensión arterial pero no lo había notificado a la DPVC cuando partió a la campaña de control) se intoxicó en un nido situado a 200 km de </w:t>
      </w:r>
      <w:proofErr w:type="spellStart"/>
      <w:r w:rsidRPr="00B92FD5">
        <w:rPr>
          <w:color w:val="000000"/>
          <w:lang w:val="es-ES_tradnl" w:eastAsia="es-ES" w:bidi="es-ES"/>
        </w:rPr>
        <w:t>N'Djamena</w:t>
      </w:r>
      <w:proofErr w:type="spellEnd"/>
      <w:r w:rsidRPr="00B92FD5">
        <w:rPr>
          <w:color w:val="000000"/>
          <w:lang w:val="es-ES_tradnl" w:eastAsia="es-ES" w:bidi="es-ES"/>
        </w:rPr>
        <w:t xml:space="preserve"> (</w:t>
      </w:r>
      <w:proofErr w:type="spellStart"/>
      <w:r w:rsidRPr="00B92FD5">
        <w:rPr>
          <w:color w:val="000000"/>
          <w:lang w:val="es-ES_tradnl" w:eastAsia="es-ES" w:bidi="es-ES"/>
        </w:rPr>
        <w:t>Bokoro</w:t>
      </w:r>
      <w:proofErr w:type="spellEnd"/>
      <w:r w:rsidRPr="00B92FD5">
        <w:rPr>
          <w:color w:val="000000"/>
          <w:lang w:val="es-ES_tradnl" w:eastAsia="es-ES" w:bidi="es-ES"/>
        </w:rPr>
        <w:t xml:space="preserve">), el 17 de junio de 2011. El técnico participó en la carga del rociador y en la aplicación del plaguicida. Vistió ropa protectora durante toda la operación (sombrero, gafas, mascarilla, mono de algodón, guantes y botas cubiertas por pantalones). Los efectos se observaron una hora después de la aplicación. El intoxicado mostró los siguientes síntomas: vómitos, salivación abundante y titubeo una hora después de la aplicación. Inmediatamente fue llevado al hospital de </w:t>
      </w:r>
      <w:proofErr w:type="spellStart"/>
      <w:r w:rsidRPr="00B92FD5">
        <w:rPr>
          <w:color w:val="000000"/>
          <w:lang w:val="es-ES_tradnl" w:eastAsia="es-ES" w:bidi="es-ES"/>
        </w:rPr>
        <w:t>Bokoro</w:t>
      </w:r>
      <w:proofErr w:type="spellEnd"/>
      <w:r w:rsidRPr="00B92FD5">
        <w:rPr>
          <w:color w:val="000000"/>
          <w:lang w:val="es-ES_tradnl" w:eastAsia="es-ES" w:bidi="es-ES"/>
        </w:rPr>
        <w:t xml:space="preserve"> y luego trasladado al servicio de urgencias del hospital de </w:t>
      </w:r>
      <w:proofErr w:type="spellStart"/>
      <w:r w:rsidRPr="00B92FD5">
        <w:rPr>
          <w:color w:val="000000"/>
          <w:lang w:val="es-ES_tradnl" w:eastAsia="es-ES" w:bidi="es-ES"/>
        </w:rPr>
        <w:t>N'Djamena</w:t>
      </w:r>
      <w:proofErr w:type="spellEnd"/>
      <w:r w:rsidRPr="00B92FD5">
        <w:rPr>
          <w:color w:val="000000"/>
          <w:lang w:val="es-ES_tradnl" w:eastAsia="es-ES" w:bidi="es-ES"/>
        </w:rPr>
        <w:t>, donde se lo siguió tratando. Siguiendo el consejo del médico, fue dado de alta el mismo día para seguir el tratamiento en el hogar. Desafortunadamente, a pesar del tratamiento seguido en el hogar, al cuarto día recayó y falleció.</w:t>
      </w:r>
    </w:p>
    <w:p w14:paraId="2AFA43FF" w14:textId="77777777" w:rsidR="00114789" w:rsidRPr="00B92FD5" w:rsidRDefault="00114789" w:rsidP="00114789">
      <w:pPr>
        <w:spacing w:after="120"/>
        <w:rPr>
          <w:color w:val="000000"/>
          <w:lang w:val="es-ES_tradnl" w:eastAsia="es-ES" w:bidi="es-ES"/>
        </w:rPr>
      </w:pPr>
      <w:r w:rsidRPr="00B92FD5">
        <w:rPr>
          <w:color w:val="000000"/>
          <w:lang w:val="es-ES_tradnl" w:eastAsia="es-ES" w:bidi="es-ES"/>
        </w:rPr>
        <w:t xml:space="preserve">Se mencionó un segundo caso de intoxicación letal de un operador después del manejo/tratamiento del suelo con </w:t>
      </w:r>
      <w:proofErr w:type="spellStart"/>
      <w:r w:rsidRPr="00B92FD5">
        <w:rPr>
          <w:color w:val="000000"/>
          <w:lang w:val="es-ES_tradnl" w:eastAsia="es-ES" w:bidi="es-ES"/>
        </w:rPr>
        <w:t>fentión</w:t>
      </w:r>
      <w:proofErr w:type="spellEnd"/>
      <w:r w:rsidRPr="00B92FD5">
        <w:rPr>
          <w:color w:val="000000"/>
          <w:lang w:val="es-ES_tradnl" w:eastAsia="es-ES" w:bidi="es-ES"/>
        </w:rPr>
        <w:t xml:space="preserve"> 640 de ultra bajo volumen, ocurrido en 2009. Además, un operador había entrado en coma durante una semana bajo las mismas circunstancias. Sin embargo, estos casos no fueron incluidos en el formulario de información sobre incidentes con plaguicidas incluido en la propuesta.</w:t>
      </w:r>
    </w:p>
    <w:p w14:paraId="5E0F50EC" w14:textId="77777777" w:rsidR="00114789" w:rsidRPr="00B92FD5" w:rsidRDefault="00114789" w:rsidP="00114789">
      <w:pPr>
        <w:spacing w:after="120"/>
        <w:rPr>
          <w:color w:val="000000"/>
          <w:lang w:val="es-ES_tradnl" w:eastAsia="es-ES" w:bidi="es-ES"/>
        </w:rPr>
      </w:pPr>
      <w:r w:rsidRPr="00B92FD5">
        <w:rPr>
          <w:color w:val="000000"/>
          <w:lang w:val="es-ES_tradnl" w:eastAsia="es-ES" w:bidi="es-ES"/>
        </w:rPr>
        <w:t>La documentación obligatoria según la parte 1 del anexo IV del Convenio fue presentada por el Chad en su propuesta y publicada en la Circular de CFP XXXVI, de diciembre de 2012.</w:t>
      </w:r>
    </w:p>
    <w:p w14:paraId="0CA04BEC" w14:textId="77777777" w:rsidR="00114789" w:rsidRPr="00B92FD5" w:rsidRDefault="00114789" w:rsidP="00114789">
      <w:pPr>
        <w:spacing w:after="120"/>
        <w:rPr>
          <w:color w:val="000000"/>
          <w:lang w:val="es-ES_tradnl" w:eastAsia="es-ES" w:bidi="es-ES"/>
        </w:rPr>
      </w:pPr>
      <w:r w:rsidRPr="00B92FD5">
        <w:rPr>
          <w:color w:val="000000"/>
          <w:lang w:val="es-ES_tradnl" w:eastAsia="es-ES" w:bidi="es-ES"/>
        </w:rPr>
        <w:t>La información reunida por la secretaría conforme a la parte 2 del anexo IV del Convenio fue presentada por Partes y observadores y se puso a disposición del Comité en el documento UNEP/FAO/RC/CRC.9/4/Add.2.</w:t>
      </w:r>
    </w:p>
    <w:p w14:paraId="7C8D5C92" w14:textId="77777777" w:rsidR="00114789" w:rsidRPr="00B92FD5" w:rsidRDefault="00114789" w:rsidP="00114789">
      <w:pPr>
        <w:tabs>
          <w:tab w:val="left" w:pos="709"/>
        </w:tabs>
        <w:suppressAutoHyphens/>
        <w:spacing w:after="120"/>
        <w:ind w:left="1247" w:right="284" w:hanging="1247"/>
        <w:rPr>
          <w:b/>
          <w:lang w:val="es-ES_tradnl" w:eastAsia="es-ES" w:bidi="es-ES"/>
        </w:rPr>
      </w:pPr>
      <w:r w:rsidRPr="00B92FD5">
        <w:rPr>
          <w:b/>
          <w:lang w:val="es-ES_tradnl" w:eastAsia="es-ES" w:bidi="es-ES"/>
        </w:rPr>
        <w:t>2.</w:t>
      </w:r>
      <w:r w:rsidRPr="00B92FD5">
        <w:rPr>
          <w:lang w:val="es-ES_tradnl" w:eastAsia="es-ES" w:bidi="es-ES"/>
        </w:rPr>
        <w:tab/>
      </w:r>
      <w:r w:rsidRPr="00B92FD5">
        <w:rPr>
          <w:b/>
          <w:lang w:val="es-ES_tradnl" w:eastAsia="es-ES" w:bidi="es-ES"/>
        </w:rPr>
        <w:t>Criterio del párrafo a) de la parte 3 del anexo IV</w:t>
      </w:r>
    </w:p>
    <w:p w14:paraId="562543F3" w14:textId="77777777" w:rsidR="00114789" w:rsidRPr="00B92FD5" w:rsidRDefault="00114789" w:rsidP="00114789">
      <w:pPr>
        <w:suppressAutoHyphens/>
        <w:spacing w:after="120"/>
        <w:ind w:firstLine="624"/>
        <w:rPr>
          <w:i/>
          <w:lang w:val="es-ES_tradnl" w:eastAsia="es-ES" w:bidi="es-ES"/>
        </w:rPr>
      </w:pPr>
      <w:r w:rsidRPr="00B92FD5">
        <w:rPr>
          <w:i/>
          <w:lang w:val="es-ES_tradnl" w:eastAsia="es-ES" w:bidi="es-ES"/>
        </w:rPr>
        <w:t>Al examinar las propuestas que remita la secretaría de conformidad con lo dispuesto en el párrafo 5 del artículo 6, el Comité de Examen de Productos Químicos tendrá en cuenta:</w:t>
      </w:r>
    </w:p>
    <w:p w14:paraId="6EACA54E" w14:textId="2D49B7E0" w:rsidR="00114789" w:rsidRPr="00B92FD5" w:rsidRDefault="00114789" w:rsidP="00B92FD5">
      <w:pPr>
        <w:pStyle w:val="Normal-pool"/>
        <w:tabs>
          <w:tab w:val="clear" w:pos="1247"/>
        </w:tabs>
        <w:spacing w:after="120"/>
        <w:ind w:firstLine="624"/>
        <w:rPr>
          <w:i/>
          <w:lang w:val="es-ES_tradnl" w:eastAsia="es-ES" w:bidi="es-ES"/>
        </w:rPr>
      </w:pPr>
      <w:r w:rsidRPr="00B92FD5">
        <w:rPr>
          <w:i/>
          <w:lang w:val="es-ES_tradnl" w:eastAsia="es-ES" w:bidi="es-ES"/>
        </w:rPr>
        <w:t>a</w:t>
      </w:r>
      <w:r w:rsidR="00B92FD5" w:rsidRPr="00B92FD5">
        <w:rPr>
          <w:i/>
          <w:lang w:val="es-ES_tradnl" w:eastAsia="es-ES" w:bidi="es-ES"/>
        </w:rPr>
        <w:t>)</w:t>
      </w:r>
      <w:r w:rsidR="00B92FD5" w:rsidRPr="00B92FD5">
        <w:rPr>
          <w:i/>
          <w:lang w:val="es-ES_tradnl" w:eastAsia="es-ES" w:bidi="es-ES"/>
        </w:rPr>
        <w:tab/>
      </w:r>
      <w:r w:rsidRPr="00B92FD5">
        <w:rPr>
          <w:i/>
          <w:lang w:val="es-ES_tradnl" w:eastAsia="es-ES" w:bidi="es-ES"/>
        </w:rPr>
        <w:t xml:space="preserve">La </w:t>
      </w:r>
      <w:proofErr w:type="spellStart"/>
      <w:r w:rsidRPr="00B92FD5">
        <w:rPr>
          <w:i/>
          <w:lang w:val="es-ES_tradnl" w:eastAsia="es-ES" w:bidi="es-ES"/>
        </w:rPr>
        <w:t>ﬁabilidad</w:t>
      </w:r>
      <w:proofErr w:type="spellEnd"/>
      <w:r w:rsidRPr="00B92FD5">
        <w:rPr>
          <w:i/>
          <w:lang w:val="es-ES_tradnl" w:eastAsia="es-ES" w:bidi="es-ES"/>
        </w:rPr>
        <w:t xml:space="preserve"> de las </w:t>
      </w:r>
      <w:r w:rsidRPr="00B92FD5">
        <w:rPr>
          <w:i/>
          <w:lang w:val="es-ES_tradnl"/>
        </w:rPr>
        <w:t>pruebas</w:t>
      </w:r>
      <w:r w:rsidRPr="00B92FD5">
        <w:rPr>
          <w:i/>
          <w:lang w:val="es-ES_tradnl" w:eastAsia="es-ES" w:bidi="es-ES"/>
        </w:rPr>
        <w:t xml:space="preserve"> de que el uso de la formulación, con arreglo a prácticas comunes o reconocidas en la Parte proponente, tuvo como resultado los incidentes comunicados;</w:t>
      </w:r>
    </w:p>
    <w:p w14:paraId="704E8DFB" w14:textId="77777777" w:rsidR="00114789" w:rsidRPr="00B92FD5" w:rsidRDefault="00114789" w:rsidP="00114789">
      <w:pPr>
        <w:spacing w:before="120"/>
        <w:rPr>
          <w:lang w:val="es-ES_tradnl" w:eastAsia="es-ES" w:bidi="es-ES"/>
        </w:rPr>
      </w:pPr>
      <w:r w:rsidRPr="00B92FD5">
        <w:rPr>
          <w:lang w:val="es-ES_tradnl" w:eastAsia="es-ES" w:bidi="es-ES"/>
        </w:rPr>
        <w:t xml:space="preserve">Se informa que en el Chad el </w:t>
      </w:r>
      <w:proofErr w:type="spellStart"/>
      <w:r w:rsidRPr="00B92FD5">
        <w:rPr>
          <w:lang w:val="es-ES_tradnl" w:eastAsia="es-ES" w:bidi="es-ES"/>
        </w:rPr>
        <w:t>fentión</w:t>
      </w:r>
      <w:proofErr w:type="spellEnd"/>
      <w:r w:rsidRPr="00B92FD5">
        <w:rPr>
          <w:lang w:val="es-ES_tradnl" w:eastAsia="es-ES" w:bidi="es-ES"/>
        </w:rPr>
        <w:t xml:space="preserve"> 640 de ultra bajo volumen se ha utilizado en el campo cerca de cultivos de cereales y se aplica por medio de rociadores de mochila motorizados contra refugios de aves en dosis de 1,8 a 3 l/ha. La etiqueta del producto, entre otros datos, indica alta toxicidad por inhalación e ingesta prolongada. </w:t>
      </w:r>
    </w:p>
    <w:p w14:paraId="10A9BEB6" w14:textId="77777777" w:rsidR="00114789" w:rsidRPr="00B92FD5" w:rsidRDefault="00114789" w:rsidP="00114789">
      <w:pPr>
        <w:spacing w:before="12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640 de ultra bajo volumen se aplicó por orden gubernamental del Ministerio de Agricultura y Riego a través de la Dirección de Protección Fitosanitaria y Acondicionamiento (DPVC), que había organizado equipos de control aviar en 2009, 2011 y 2012.</w:t>
      </w:r>
    </w:p>
    <w:p w14:paraId="5B060E94" w14:textId="77777777" w:rsidR="00114789" w:rsidRPr="00B92FD5" w:rsidRDefault="00114789" w:rsidP="00B92FD5">
      <w:pPr>
        <w:pStyle w:val="Normal-pool"/>
        <w:spacing w:before="120" w:after="120"/>
        <w:rPr>
          <w:color w:val="000000"/>
          <w:lang w:val="es-ES_tradnl" w:eastAsia="es-ES" w:bidi="es-ES"/>
        </w:rPr>
      </w:pPr>
      <w:r w:rsidRPr="00B92FD5">
        <w:rPr>
          <w:lang w:val="es-ES_tradnl" w:eastAsia="es-ES" w:bidi="es-ES"/>
        </w:rPr>
        <w:t xml:space="preserve">Se informó un incidente </w:t>
      </w:r>
      <w:r w:rsidRPr="00B92FD5">
        <w:rPr>
          <w:lang w:val="es-ES_tradnl"/>
        </w:rPr>
        <w:t>de</w:t>
      </w:r>
      <w:r w:rsidRPr="00B92FD5">
        <w:rPr>
          <w:lang w:val="es-ES_tradnl" w:eastAsia="es-ES" w:bidi="es-ES"/>
        </w:rPr>
        <w:t xml:space="preserve"> intoxicación letal de un técnico de 60 años de edad que había participado en la mezcla y carga y había rociado el producto en los nidos de aves durante la noche, utilizando un rociador de mochila. </w:t>
      </w:r>
      <w:r w:rsidRPr="00B92FD5">
        <w:rPr>
          <w:color w:val="000000"/>
          <w:lang w:val="es-ES_tradnl" w:eastAsia="es-ES" w:bidi="es-ES"/>
        </w:rPr>
        <w:t xml:space="preserve">Vistió indumentaria </w:t>
      </w:r>
      <w:r w:rsidRPr="00B92FD5">
        <w:rPr>
          <w:lang w:val="es-ES_tradnl"/>
        </w:rPr>
        <w:t>protectora</w:t>
      </w:r>
      <w:r w:rsidRPr="00B92FD5">
        <w:rPr>
          <w:color w:val="000000"/>
          <w:lang w:val="es-ES_tradnl" w:eastAsia="es-ES" w:bidi="es-ES"/>
        </w:rPr>
        <w:t xml:space="preserve"> durante toda la operación (sombrero, gafas, mascarilla, mono de algodón, guantes y botas cubiertas por pantalones). </w:t>
      </w:r>
    </w:p>
    <w:p w14:paraId="126A2207" w14:textId="77777777" w:rsidR="00114789" w:rsidRPr="00B92FD5" w:rsidRDefault="00114789" w:rsidP="00B92FD5">
      <w:pPr>
        <w:pStyle w:val="Normal-pool"/>
        <w:spacing w:after="120"/>
        <w:rPr>
          <w:color w:val="000000"/>
          <w:lang w:val="es-ES_tradnl" w:eastAsia="es-ES" w:bidi="es-ES"/>
        </w:rPr>
      </w:pPr>
      <w:r w:rsidRPr="00B92FD5">
        <w:rPr>
          <w:color w:val="000000"/>
          <w:lang w:val="es-ES_tradnl" w:eastAsia="es-ES" w:bidi="es-ES"/>
        </w:rPr>
        <w:t xml:space="preserve">Aunque no se pudo establecer a ciencia cierta la relación causal entre la muerte del operador y el uso de </w:t>
      </w:r>
      <w:proofErr w:type="spellStart"/>
      <w:r w:rsidRPr="00B92FD5">
        <w:rPr>
          <w:color w:val="000000"/>
          <w:lang w:val="es-ES_tradnl" w:eastAsia="es-ES" w:bidi="es-ES"/>
        </w:rPr>
        <w:t>fentión</w:t>
      </w:r>
      <w:proofErr w:type="spellEnd"/>
      <w:r w:rsidRPr="00B92FD5">
        <w:rPr>
          <w:color w:val="000000"/>
          <w:lang w:val="es-ES_tradnl" w:eastAsia="es-ES" w:bidi="es-ES"/>
        </w:rPr>
        <w:t xml:space="preserve"> 640 de ultra bajo volumen, teniendo en cuenta sus antecedentes de hipertensión, los síntomas del operador pueden vincularse claramente a la intoxicación resultante de ese uso. Además, se observa que los efectos adversos de envenenamiento por organofosforados generalmente pueden ser agudos, intermedios o tardíos. </w:t>
      </w:r>
    </w:p>
    <w:p w14:paraId="0CA82D5B" w14:textId="77777777" w:rsidR="00114789" w:rsidRPr="00B92FD5" w:rsidRDefault="00114789" w:rsidP="00B92FD5">
      <w:pPr>
        <w:pStyle w:val="Normal-pool"/>
        <w:spacing w:after="120"/>
        <w:rPr>
          <w:lang w:val="es-ES_tradnl" w:eastAsia="es-ES" w:bidi="es-ES"/>
        </w:rPr>
      </w:pPr>
      <w:r w:rsidRPr="00B92FD5">
        <w:rPr>
          <w:lang w:val="es-ES_tradnl" w:eastAsia="es-ES" w:bidi="es-ES"/>
        </w:rPr>
        <w:t xml:space="preserve">El Comité decidió que </w:t>
      </w:r>
      <w:r w:rsidRPr="00B92FD5">
        <w:rPr>
          <w:lang w:val="es-ES_tradnl"/>
        </w:rPr>
        <w:t>eran</w:t>
      </w:r>
      <w:r w:rsidRPr="00B92FD5">
        <w:rPr>
          <w:lang w:val="es-ES_tradnl" w:eastAsia="es-ES" w:bidi="es-ES"/>
        </w:rPr>
        <w:t xml:space="preserve"> confiables las pruebas que indicaban que el uso de </w:t>
      </w:r>
      <w:proofErr w:type="spellStart"/>
      <w:r w:rsidRPr="00B92FD5">
        <w:rPr>
          <w:lang w:val="es-ES_tradnl" w:eastAsia="es-ES" w:bidi="es-ES"/>
        </w:rPr>
        <w:t>fentión</w:t>
      </w:r>
      <w:proofErr w:type="spellEnd"/>
      <w:r w:rsidRPr="00B92FD5">
        <w:rPr>
          <w:lang w:val="es-ES_tradnl" w:eastAsia="es-ES" w:bidi="es-ES"/>
        </w:rPr>
        <w:t xml:space="preserve"> 640 de ultra bajo volumen, con arreglo a las prácticas comunes y reconocidas dentro del Chad, había causado el incidente notificado. </w:t>
      </w:r>
    </w:p>
    <w:p w14:paraId="2AE0A220" w14:textId="77777777" w:rsidR="00114789" w:rsidRPr="00B92FD5" w:rsidRDefault="00114789" w:rsidP="00B92FD5">
      <w:pPr>
        <w:pStyle w:val="Normal-pool"/>
        <w:spacing w:after="120"/>
        <w:rPr>
          <w:color w:val="000000"/>
          <w:lang w:val="es-ES_tradnl" w:eastAsia="es-ES" w:bidi="es-ES"/>
        </w:rPr>
      </w:pPr>
      <w:r w:rsidRPr="00B92FD5">
        <w:rPr>
          <w:lang w:val="es-ES_tradnl" w:eastAsia="es-ES" w:bidi="es-ES"/>
        </w:rPr>
        <w:t xml:space="preserve">Por lo tanto, el Comité </w:t>
      </w:r>
      <w:r w:rsidRPr="00B92FD5">
        <w:rPr>
          <w:lang w:val="es-ES_tradnl"/>
        </w:rPr>
        <w:t>llegó</w:t>
      </w:r>
      <w:r w:rsidRPr="00B92FD5">
        <w:rPr>
          <w:lang w:val="es-ES_tradnl" w:eastAsia="es-ES" w:bidi="es-ES"/>
        </w:rPr>
        <w:t xml:space="preserve"> a la conclusión de que el criterio se cumplía.</w:t>
      </w:r>
    </w:p>
    <w:p w14:paraId="6AD17A02" w14:textId="77777777" w:rsidR="00114789" w:rsidRPr="00B92FD5" w:rsidRDefault="00114789" w:rsidP="00B92FD5">
      <w:pPr>
        <w:tabs>
          <w:tab w:val="left" w:pos="709"/>
          <w:tab w:val="left" w:pos="1560"/>
        </w:tabs>
        <w:suppressAutoHyphens/>
        <w:spacing w:after="120"/>
        <w:ind w:left="1247" w:right="284" w:hanging="1247"/>
        <w:rPr>
          <w:b/>
          <w:lang w:val="es-ES_tradnl" w:eastAsia="es-ES" w:bidi="es-ES"/>
        </w:rPr>
      </w:pPr>
      <w:r w:rsidRPr="00B92FD5">
        <w:rPr>
          <w:b/>
          <w:lang w:val="es-ES_tradnl" w:eastAsia="es-ES" w:bidi="es-ES"/>
        </w:rPr>
        <w:t>3.</w:t>
      </w:r>
      <w:r w:rsidRPr="00B92FD5">
        <w:rPr>
          <w:lang w:val="es-ES_tradnl" w:eastAsia="es-ES" w:bidi="es-ES"/>
        </w:rPr>
        <w:tab/>
      </w:r>
      <w:r w:rsidRPr="00B92FD5">
        <w:rPr>
          <w:b/>
          <w:lang w:val="es-ES_tradnl" w:eastAsia="es-ES" w:bidi="es-ES"/>
        </w:rPr>
        <w:t xml:space="preserve">Criterio </w:t>
      </w:r>
      <w:r w:rsidRPr="00B92FD5">
        <w:rPr>
          <w:b/>
          <w:szCs w:val="22"/>
          <w:lang w:val="es-ES_tradnl"/>
        </w:rPr>
        <w:t>del</w:t>
      </w:r>
      <w:r w:rsidRPr="00B92FD5">
        <w:rPr>
          <w:b/>
          <w:lang w:val="es-ES_tradnl" w:eastAsia="es-ES" w:bidi="es-ES"/>
        </w:rPr>
        <w:t xml:space="preserve"> párrafo b) de la parte 3 del anexo IV</w:t>
      </w:r>
    </w:p>
    <w:p w14:paraId="01429CFC" w14:textId="77777777" w:rsidR="00114789" w:rsidRPr="00B92FD5" w:rsidRDefault="00114789" w:rsidP="00114789">
      <w:pPr>
        <w:suppressAutoHyphens/>
        <w:spacing w:after="120"/>
        <w:ind w:firstLine="624"/>
        <w:rPr>
          <w:i/>
          <w:lang w:val="es-ES_tradnl" w:eastAsia="es-ES" w:bidi="es-ES"/>
        </w:rPr>
      </w:pPr>
      <w:r w:rsidRPr="00B92FD5">
        <w:rPr>
          <w:i/>
          <w:lang w:val="es-ES_tradnl" w:eastAsia="es-ES" w:bidi="es-ES"/>
        </w:rPr>
        <w:t>La importancia que esos incidentes pueden revestir para otros Estados con clima, condiciones y pautas de utilización de la formulación similares;</w:t>
      </w:r>
    </w:p>
    <w:p w14:paraId="738D2591" w14:textId="06879091" w:rsidR="00114789" w:rsidRPr="00B92FD5" w:rsidRDefault="00114789" w:rsidP="00B92FD5">
      <w:pPr>
        <w:pStyle w:val="Normal-pool"/>
        <w:spacing w:after="120"/>
        <w:rPr>
          <w:lang w:val="es-ES_tradnl" w:eastAsia="es-ES" w:bidi="es-ES"/>
        </w:rPr>
      </w:pPr>
      <w:r w:rsidRPr="00B92FD5">
        <w:rPr>
          <w:lang w:val="es-ES_tradnl" w:eastAsia="es-ES" w:bidi="es-ES"/>
        </w:rPr>
        <w:t>El Comité contó con documentación (</w:t>
      </w:r>
      <w:r w:rsidRPr="00B92FD5">
        <w:rPr>
          <w:color w:val="000000"/>
          <w:lang w:val="es-ES_tradnl" w:eastAsia="es-ES" w:bidi="es-ES"/>
        </w:rPr>
        <w:t>UNEP/FAO/RC/CRC.9/4/Add.2)</w:t>
      </w:r>
      <w:r w:rsidRPr="00B92FD5">
        <w:rPr>
          <w:lang w:val="es-ES_tradnl" w:eastAsia="es-ES" w:bidi="es-ES"/>
        </w:rPr>
        <w:t xml:space="preserve"> que señalaba que las condiciones enumeradas anteriormente eran </w:t>
      </w:r>
      <w:r w:rsidRPr="00B92FD5">
        <w:rPr>
          <w:lang w:val="es-ES_tradnl"/>
        </w:rPr>
        <w:t>similares</w:t>
      </w:r>
      <w:r w:rsidRPr="00B92FD5">
        <w:rPr>
          <w:lang w:val="es-ES_tradnl" w:eastAsia="es-ES" w:bidi="es-ES"/>
        </w:rPr>
        <w:t xml:space="preserve"> a las existentes en otros Estados africanos. Se informó que en Gambia, en el decenio de</w:t>
      </w:r>
      <w:r w:rsidR="00116113">
        <w:rPr>
          <w:lang w:val="es-ES_tradnl" w:eastAsia="es-ES" w:bidi="es-ES"/>
        </w:rPr>
        <w:t> </w:t>
      </w:r>
      <w:r w:rsidRPr="00B92FD5">
        <w:rPr>
          <w:lang w:val="es-ES_tradnl" w:eastAsia="es-ES" w:bidi="es-ES"/>
        </w:rPr>
        <w:t>1980, el producto fue utilizado para el control aviar (</w:t>
      </w:r>
      <w:r w:rsidRPr="00B92FD5">
        <w:rPr>
          <w:color w:val="000000"/>
          <w:lang w:val="es-ES_tradnl" w:eastAsia="es-ES" w:bidi="es-ES"/>
        </w:rPr>
        <w:t>UNEP/FAO/RC/CRC.9/4/Add.2)</w:t>
      </w:r>
      <w:r w:rsidRPr="00B92FD5">
        <w:rPr>
          <w:lang w:val="es-ES_tradnl" w:eastAsia="es-ES" w:bidi="es-ES"/>
        </w:rPr>
        <w:t xml:space="preserve"> El producto se utilizó para el control de aves granívoras en Níger y también en Mauritania (durante más de 20 años) (</w:t>
      </w:r>
      <w:r w:rsidRPr="00B92FD5">
        <w:rPr>
          <w:color w:val="000000"/>
          <w:lang w:val="es-ES_tradnl" w:eastAsia="es-ES" w:bidi="es-ES"/>
        </w:rPr>
        <w:t>UNEP/FAO/RC/CRC.9/4/Add.2).</w:t>
      </w:r>
      <w:r w:rsidRPr="00B92FD5">
        <w:rPr>
          <w:lang w:val="es-ES_tradnl" w:eastAsia="es-ES" w:bidi="es-ES"/>
        </w:rPr>
        <w:t xml:space="preserve"> En una tesis de Maestría publicada en Mauritania, se informaron casos de envenenamiento causados por tratamientos </w:t>
      </w:r>
      <w:proofErr w:type="spellStart"/>
      <w:r w:rsidRPr="00B92FD5">
        <w:rPr>
          <w:lang w:val="es-ES_tradnl" w:eastAsia="es-ES" w:bidi="es-ES"/>
        </w:rPr>
        <w:t>avicidas</w:t>
      </w:r>
      <w:proofErr w:type="spellEnd"/>
      <w:r w:rsidRPr="00B92FD5">
        <w:rPr>
          <w:lang w:val="es-ES_tradnl" w:eastAsia="es-ES" w:bidi="es-ES"/>
        </w:rPr>
        <w:t xml:space="preserve"> con </w:t>
      </w:r>
      <w:proofErr w:type="spellStart"/>
      <w:r w:rsidRPr="00B92FD5">
        <w:rPr>
          <w:lang w:val="es-ES_tradnl" w:eastAsia="es-ES" w:bidi="es-ES"/>
        </w:rPr>
        <w:t>fentión</w:t>
      </w:r>
      <w:proofErr w:type="spellEnd"/>
      <w:r w:rsidRPr="00B92FD5">
        <w:rPr>
          <w:lang w:val="es-ES_tradnl" w:eastAsia="es-ES" w:bidi="es-ES"/>
        </w:rPr>
        <w:t xml:space="preserve"> (</w:t>
      </w:r>
      <w:r w:rsidRPr="00B92FD5">
        <w:rPr>
          <w:color w:val="000000"/>
          <w:lang w:val="es-ES_tradnl" w:eastAsia="es-ES" w:bidi="es-ES"/>
        </w:rPr>
        <w:t>UNEP/FAO/RC/CRC.9/4/Add.2).</w:t>
      </w:r>
    </w:p>
    <w:p w14:paraId="27549668" w14:textId="77777777" w:rsidR="00114789" w:rsidRPr="00B92FD5" w:rsidRDefault="00114789" w:rsidP="00B92FD5">
      <w:pPr>
        <w:pStyle w:val="Normal-pool"/>
        <w:spacing w:after="120"/>
        <w:rPr>
          <w:bCs/>
          <w:lang w:val="es-ES_tradnl" w:eastAsia="es-ES" w:bidi="es-ES"/>
        </w:rPr>
      </w:pPr>
      <w:r w:rsidRPr="00B92FD5">
        <w:rPr>
          <w:lang w:val="es-ES_tradnl" w:eastAsia="es-ES" w:bidi="es-ES"/>
        </w:rPr>
        <w:t xml:space="preserve">En varios países se utilizan diferentes formulaciones de </w:t>
      </w:r>
      <w:proofErr w:type="spellStart"/>
      <w:r w:rsidRPr="00B92FD5">
        <w:rPr>
          <w:lang w:val="es-ES_tradnl" w:eastAsia="es-ES" w:bidi="es-ES"/>
        </w:rPr>
        <w:t>fentión</w:t>
      </w:r>
      <w:proofErr w:type="spellEnd"/>
      <w:r w:rsidRPr="00B92FD5">
        <w:rPr>
          <w:lang w:val="es-ES_tradnl" w:eastAsia="es-ES" w:bidi="es-ES"/>
        </w:rPr>
        <w:t xml:space="preserve"> como insecticida (por ejemplo, Australia, Madagascar, Marruecos y Nueva Zelanda).</w:t>
      </w:r>
    </w:p>
    <w:p w14:paraId="6B1D9E4D" w14:textId="77777777" w:rsidR="00114789" w:rsidRPr="00B92FD5" w:rsidRDefault="00114789" w:rsidP="00B92FD5">
      <w:pPr>
        <w:pStyle w:val="Normal-pool"/>
        <w:spacing w:after="120"/>
        <w:rPr>
          <w:bCs/>
          <w:color w:val="000000"/>
          <w:lang w:val="es-ES_tradnl" w:eastAsia="es-ES" w:bidi="es-ES"/>
        </w:rPr>
      </w:pPr>
      <w:r w:rsidRPr="00B92FD5">
        <w:rPr>
          <w:lang w:val="es-ES_tradnl" w:eastAsia="es-ES" w:bidi="es-ES"/>
        </w:rPr>
        <w:t xml:space="preserve">En Noruega se notificó un caso de envenenamiento con una formulación diferente de </w:t>
      </w:r>
      <w:proofErr w:type="spellStart"/>
      <w:r w:rsidRPr="00B92FD5">
        <w:rPr>
          <w:lang w:val="es-ES_tradnl" w:eastAsia="es-ES" w:bidi="es-ES"/>
        </w:rPr>
        <w:t>fentión</w:t>
      </w:r>
      <w:proofErr w:type="spellEnd"/>
      <w:r w:rsidRPr="00B92FD5">
        <w:rPr>
          <w:lang w:val="es-ES_tradnl" w:eastAsia="es-ES" w:bidi="es-ES"/>
        </w:rPr>
        <w:t>, en un intento de suicidio (</w:t>
      </w:r>
      <w:r w:rsidRPr="00B92FD5">
        <w:rPr>
          <w:color w:val="000000"/>
          <w:lang w:val="es-ES_tradnl" w:eastAsia="es-ES" w:bidi="es-ES"/>
        </w:rPr>
        <w:t xml:space="preserve">UNEP/FAO/RC/CRC.9/4/Add.2). </w:t>
      </w:r>
      <w:r w:rsidRPr="00B92FD5">
        <w:rPr>
          <w:lang w:val="es-ES_tradnl"/>
        </w:rPr>
        <w:t>La</w:t>
      </w:r>
      <w:r w:rsidRPr="00B92FD5">
        <w:rPr>
          <w:lang w:val="es-ES_tradnl" w:eastAsia="es-ES" w:bidi="es-ES"/>
        </w:rPr>
        <w:t xml:space="preserve"> FAO informó incidentes de envenenamiento en el uso de </w:t>
      </w:r>
      <w:proofErr w:type="spellStart"/>
      <w:r w:rsidRPr="00B92FD5">
        <w:rPr>
          <w:lang w:val="es-ES_tradnl" w:eastAsia="es-ES" w:bidi="es-ES"/>
        </w:rPr>
        <w:t>fentión</w:t>
      </w:r>
      <w:proofErr w:type="spellEnd"/>
      <w:r w:rsidRPr="00B92FD5">
        <w:rPr>
          <w:lang w:val="es-ES_tradnl" w:eastAsia="es-ES" w:bidi="es-ES"/>
        </w:rPr>
        <w:t xml:space="preserve"> en el control de mosquitos (</w:t>
      </w:r>
      <w:r w:rsidRPr="00B92FD5">
        <w:rPr>
          <w:color w:val="000000"/>
          <w:lang w:val="es-ES_tradnl" w:eastAsia="es-ES" w:bidi="es-ES"/>
        </w:rPr>
        <w:t>UNEP/FAO/RC/CRC.9/4/Add.2).</w:t>
      </w:r>
    </w:p>
    <w:p w14:paraId="70B447DA" w14:textId="77777777" w:rsidR="00114789" w:rsidRPr="00B92FD5" w:rsidRDefault="00114789" w:rsidP="00B92FD5">
      <w:pPr>
        <w:pStyle w:val="Normal-pool"/>
        <w:spacing w:after="120"/>
        <w:rPr>
          <w:lang w:val="es-ES_tradnl" w:eastAsia="es-ES" w:bidi="es-ES"/>
        </w:rPr>
      </w:pPr>
      <w:r w:rsidRPr="00B92FD5">
        <w:rPr>
          <w:lang w:val="es-ES_tradnl" w:eastAsia="es-ES" w:bidi="es-ES"/>
        </w:rPr>
        <w:t xml:space="preserve">Teniendo en cuenta la información </w:t>
      </w:r>
      <w:r w:rsidRPr="00B92FD5">
        <w:rPr>
          <w:lang w:val="es-ES_tradnl"/>
        </w:rPr>
        <w:t>disponible</w:t>
      </w:r>
      <w:r w:rsidRPr="00B92FD5">
        <w:rPr>
          <w:lang w:val="es-ES_tradnl" w:eastAsia="es-ES" w:bidi="es-ES"/>
        </w:rPr>
        <w:t>, el Comité llegó a la conclusión de que el criterio se cumplía.</w:t>
      </w:r>
    </w:p>
    <w:p w14:paraId="4F3567A3" w14:textId="77777777" w:rsidR="00114789" w:rsidRPr="00B92FD5" w:rsidRDefault="00114789" w:rsidP="00114789">
      <w:pPr>
        <w:tabs>
          <w:tab w:val="left" w:pos="709"/>
        </w:tabs>
        <w:suppressAutoHyphens/>
        <w:spacing w:after="120"/>
        <w:ind w:left="1247" w:right="284" w:hanging="1247"/>
        <w:rPr>
          <w:b/>
          <w:lang w:val="es-ES_tradnl" w:eastAsia="es-ES" w:bidi="es-ES"/>
        </w:rPr>
      </w:pPr>
      <w:r w:rsidRPr="00B92FD5">
        <w:rPr>
          <w:b/>
          <w:lang w:val="es-ES_tradnl" w:eastAsia="es-ES" w:bidi="es-ES"/>
        </w:rPr>
        <w:t>4.</w:t>
      </w:r>
      <w:r w:rsidRPr="00B92FD5">
        <w:rPr>
          <w:b/>
          <w:lang w:val="es-ES_tradnl" w:eastAsia="es-ES" w:bidi="es-ES"/>
        </w:rPr>
        <w:tab/>
        <w:t xml:space="preserve">Criterio del párrafo c) de la parte 3 del anexo IV </w:t>
      </w:r>
    </w:p>
    <w:p w14:paraId="4ED5B25A" w14:textId="77777777" w:rsidR="00114789" w:rsidRPr="00B92FD5" w:rsidRDefault="00114789" w:rsidP="00114789">
      <w:pPr>
        <w:suppressAutoHyphens/>
        <w:spacing w:after="120"/>
        <w:ind w:firstLine="624"/>
        <w:rPr>
          <w:i/>
          <w:lang w:val="es-ES_tradnl" w:eastAsia="es-ES" w:bidi="es-ES"/>
        </w:rPr>
      </w:pPr>
      <w:r w:rsidRPr="00B92FD5">
        <w:rPr>
          <w:i/>
          <w:lang w:val="es-ES_tradnl" w:eastAsia="es-ES" w:bidi="es-ES"/>
        </w:rPr>
        <w:t>La existencia de restricciones a la manipulación o aplicación que entrañen el uso de tecnologías o técnicas que no puedan aplicarse razonablemente o con la suficiente difusión en Estados que carezcan de la infraestructura necesaria;</w:t>
      </w:r>
    </w:p>
    <w:p w14:paraId="7728143D" w14:textId="77777777" w:rsidR="00114789" w:rsidRPr="00B92FD5" w:rsidRDefault="00114789" w:rsidP="00B92FD5">
      <w:pPr>
        <w:pStyle w:val="Normal-pool"/>
        <w:spacing w:after="120"/>
        <w:rPr>
          <w:color w:val="000000"/>
          <w:lang w:val="es-ES_tradnl" w:eastAsia="es-ES" w:bidi="es-ES"/>
        </w:rPr>
      </w:pPr>
      <w:r w:rsidRPr="00B92FD5">
        <w:rPr>
          <w:color w:val="000000"/>
          <w:lang w:val="es-ES_tradnl" w:eastAsia="es-ES" w:bidi="es-ES"/>
        </w:rPr>
        <w:t xml:space="preserve">En el Chad, la aplicación de </w:t>
      </w:r>
      <w:proofErr w:type="spellStart"/>
      <w:r w:rsidRPr="00B92FD5">
        <w:rPr>
          <w:color w:val="000000"/>
          <w:lang w:val="es-ES_tradnl" w:eastAsia="es-ES" w:bidi="es-ES"/>
        </w:rPr>
        <w:t>fentión</w:t>
      </w:r>
      <w:proofErr w:type="spellEnd"/>
      <w:r w:rsidRPr="00B92FD5">
        <w:rPr>
          <w:color w:val="000000"/>
          <w:lang w:val="es-ES_tradnl" w:eastAsia="es-ES" w:bidi="es-ES"/>
        </w:rPr>
        <w:t xml:space="preserve"> 640 de ultra bajo volumen está restringida a técnicos especializados en el control aviar (equipos del </w:t>
      </w:r>
      <w:r w:rsidRPr="00B92FD5">
        <w:rPr>
          <w:lang w:val="es-ES_tradnl" w:eastAsia="es-ES" w:bidi="es-ES"/>
        </w:rPr>
        <w:t>Servicio</w:t>
      </w:r>
      <w:r w:rsidRPr="00B92FD5">
        <w:rPr>
          <w:color w:val="000000"/>
          <w:lang w:val="es-ES_tradnl" w:eastAsia="es-ES" w:bidi="es-ES"/>
        </w:rPr>
        <w:t xml:space="preserve"> de protección fitosanitaria equipados con rociadores de mochila motorizados o aplicación aérea realizada por empresas especializadas).</w:t>
      </w:r>
    </w:p>
    <w:p w14:paraId="579D576D" w14:textId="77777777" w:rsidR="00114789" w:rsidRPr="00B92FD5" w:rsidRDefault="00114789" w:rsidP="00B92FD5">
      <w:pPr>
        <w:pStyle w:val="Normal-pool"/>
        <w:spacing w:after="120"/>
        <w:rPr>
          <w:color w:val="000000"/>
          <w:lang w:val="es-ES_tradnl" w:eastAsia="es-ES" w:bidi="es-ES"/>
        </w:rPr>
      </w:pPr>
      <w:r w:rsidRPr="00B92FD5">
        <w:rPr>
          <w:color w:val="000000"/>
          <w:lang w:val="es-ES_tradnl" w:eastAsia="es-ES" w:bidi="es-ES"/>
        </w:rPr>
        <w:t xml:space="preserve">Varias Partes, a saber la Unión Europea, Australia y Noruega, han suministrado información sobre restricciones generales para el uso de </w:t>
      </w:r>
      <w:r w:rsidRPr="00B92FD5">
        <w:rPr>
          <w:lang w:val="es-ES_tradnl" w:eastAsia="es-ES" w:bidi="es-ES"/>
        </w:rPr>
        <w:t>productos</w:t>
      </w:r>
      <w:r w:rsidRPr="00B92FD5">
        <w:rPr>
          <w:color w:val="000000"/>
          <w:lang w:val="es-ES_tradnl" w:eastAsia="es-ES" w:bidi="es-ES"/>
        </w:rPr>
        <w:t xml:space="preserve"> que contienen </w:t>
      </w:r>
      <w:proofErr w:type="spellStart"/>
      <w:r w:rsidRPr="00B92FD5">
        <w:rPr>
          <w:color w:val="000000"/>
          <w:lang w:val="es-ES_tradnl" w:eastAsia="es-ES" w:bidi="es-ES"/>
        </w:rPr>
        <w:t>fentión</w:t>
      </w:r>
      <w:proofErr w:type="spellEnd"/>
      <w:r w:rsidRPr="00B92FD5">
        <w:rPr>
          <w:color w:val="000000"/>
          <w:lang w:val="es-ES_tradnl" w:eastAsia="es-ES" w:bidi="es-ES"/>
        </w:rPr>
        <w:t>. Por ejemplo, es preciso usar equipo protector personal.</w:t>
      </w:r>
    </w:p>
    <w:p w14:paraId="4A2FE6C2" w14:textId="77777777" w:rsidR="00114789" w:rsidRPr="00B92FD5" w:rsidRDefault="00114789" w:rsidP="00B92FD5">
      <w:pPr>
        <w:pStyle w:val="Normal-pool"/>
        <w:spacing w:after="120"/>
        <w:rPr>
          <w:lang w:val="es-ES_tradnl" w:eastAsia="es-ES" w:bidi="es-ES"/>
        </w:rPr>
      </w:pPr>
      <w:r w:rsidRPr="00B92FD5">
        <w:rPr>
          <w:lang w:val="es-ES_tradnl" w:eastAsia="es-ES" w:bidi="es-ES"/>
        </w:rPr>
        <w:t>Teniendo en cuenta la información disponible, el Comité llegó a la conclusión de que el criterio se cumplía.</w:t>
      </w:r>
    </w:p>
    <w:p w14:paraId="6B57897B" w14:textId="77777777" w:rsidR="00114789" w:rsidRPr="00B92FD5" w:rsidRDefault="00114789" w:rsidP="00114789">
      <w:pPr>
        <w:tabs>
          <w:tab w:val="left" w:pos="709"/>
          <w:tab w:val="left" w:pos="1560"/>
        </w:tabs>
        <w:suppressAutoHyphens/>
        <w:spacing w:after="120"/>
        <w:ind w:left="1247" w:right="284" w:hanging="1247"/>
        <w:rPr>
          <w:b/>
          <w:szCs w:val="22"/>
          <w:lang w:val="es-ES_tradnl"/>
        </w:rPr>
      </w:pPr>
      <w:r w:rsidRPr="00B92FD5">
        <w:rPr>
          <w:b/>
          <w:szCs w:val="22"/>
          <w:lang w:val="es-ES_tradnl"/>
        </w:rPr>
        <w:t>5.</w:t>
      </w:r>
      <w:r w:rsidRPr="00B92FD5">
        <w:rPr>
          <w:b/>
          <w:szCs w:val="22"/>
          <w:lang w:val="es-ES_tradnl"/>
        </w:rPr>
        <w:tab/>
        <w:t xml:space="preserve">Criterio del párrafo d) de la parte 3 del anexo IV </w:t>
      </w:r>
    </w:p>
    <w:p w14:paraId="18421C70" w14:textId="77777777" w:rsidR="00114789" w:rsidRPr="00B92FD5" w:rsidRDefault="00114789" w:rsidP="00114789">
      <w:pPr>
        <w:tabs>
          <w:tab w:val="clear" w:pos="1247"/>
          <w:tab w:val="clear" w:pos="1814"/>
          <w:tab w:val="clear" w:pos="2381"/>
          <w:tab w:val="clear" w:pos="2948"/>
          <w:tab w:val="clear" w:pos="3515"/>
          <w:tab w:val="left" w:pos="624"/>
        </w:tabs>
        <w:spacing w:after="120"/>
        <w:ind w:firstLine="624"/>
        <w:rPr>
          <w:i/>
          <w:lang w:val="es-ES_tradnl" w:eastAsia="es-ES" w:bidi="es-ES"/>
        </w:rPr>
      </w:pPr>
      <w:r w:rsidRPr="00B92FD5">
        <w:rPr>
          <w:i/>
          <w:lang w:val="es-ES_tradnl" w:eastAsia="es-ES" w:bidi="es-ES"/>
        </w:rPr>
        <w:t>La importancia de los efectos comunicados en relación con la cantidad de formulación utilizada;</w:t>
      </w:r>
    </w:p>
    <w:p w14:paraId="3B49A5C4" w14:textId="77777777" w:rsidR="00114789" w:rsidRPr="00B92FD5" w:rsidRDefault="00114789" w:rsidP="00114789">
      <w:pPr>
        <w:spacing w:after="120"/>
        <w:rPr>
          <w:lang w:val="es-ES_tradnl" w:eastAsia="es-ES" w:bidi="es-ES"/>
        </w:rPr>
      </w:pPr>
      <w:r w:rsidRPr="00B92FD5">
        <w:rPr>
          <w:lang w:val="es-ES_tradnl" w:eastAsia="es-ES" w:bidi="es-ES"/>
        </w:rPr>
        <w:t xml:space="preserve">En el Chad se informó que se ha utilizado </w:t>
      </w:r>
      <w:proofErr w:type="spellStart"/>
      <w:r w:rsidRPr="00B92FD5">
        <w:rPr>
          <w:lang w:val="es-ES_tradnl" w:eastAsia="es-ES" w:bidi="es-ES"/>
        </w:rPr>
        <w:t>fentión</w:t>
      </w:r>
      <w:proofErr w:type="spellEnd"/>
      <w:r w:rsidRPr="00B92FD5">
        <w:rPr>
          <w:lang w:val="es-ES_tradnl" w:eastAsia="es-ES" w:bidi="es-ES"/>
        </w:rPr>
        <w:t xml:space="preserve"> 640 de ultra bajo volumen en el campo, cerca de cultivos de cereales. Se aplicó a refugios de aves en 2009, 2011 y 2012 por medio de rociadores de mochila motorizados. En 2009 se utilizaron las siguientes cantidades: 112 litros para tratar 45 dormitorios (59 hectáreas) en 10 días, una hora por día, aplicados por seis equipos terrestres en una dosis de 1,8 l/ha; en 2011, 105,5 litros para tratar 16 dormitorios (54,7 hectáreas) en 30 días, una hora por día, aplicados por seis equipos terrestres en una dosis de 1,9 l/ha; en 2012, 275 litros para tratar 25 dormitorios (53 hectáreas) en 30 días, una hora por día, aplicados por tres equipos terrestres en una dosis de 3 l/ha. </w:t>
      </w:r>
    </w:p>
    <w:p w14:paraId="13692912" w14:textId="77777777" w:rsidR="00114789" w:rsidRPr="00B92FD5" w:rsidRDefault="00114789" w:rsidP="00114789">
      <w:pPr>
        <w:rPr>
          <w:lang w:val="es-ES_tradnl" w:eastAsia="es-ES" w:bidi="es-ES"/>
        </w:rPr>
      </w:pPr>
      <w:r w:rsidRPr="00B92FD5">
        <w:rPr>
          <w:lang w:val="es-ES_tradnl" w:eastAsia="es-ES" w:bidi="es-ES"/>
        </w:rPr>
        <w:t xml:space="preserve">En 2011, la misión duró 45 días para los equipos encargados de la inspección y el control y 15 días para el equipo encargado de los suministros y la vigilancia, del 6 de junio al 21 de julio de 2011. </w:t>
      </w:r>
    </w:p>
    <w:p w14:paraId="44595B59" w14:textId="77777777" w:rsidR="00114789" w:rsidRPr="00B92FD5" w:rsidRDefault="00114789" w:rsidP="00114789">
      <w:pPr>
        <w:spacing w:before="120"/>
        <w:rPr>
          <w:lang w:val="es-ES_tradnl" w:eastAsia="es-ES" w:bidi="es-ES"/>
        </w:rPr>
      </w:pPr>
      <w:r w:rsidRPr="00B92FD5">
        <w:rPr>
          <w:lang w:val="es-ES_tradnl" w:eastAsia="es-ES" w:bidi="es-ES"/>
        </w:rPr>
        <w:t>Teniendo en cuenta la información disponible, el Comité llegó a la conclusión de que el criterio se cumplía.</w:t>
      </w:r>
    </w:p>
    <w:p w14:paraId="33124DEF" w14:textId="77777777" w:rsidR="00114789" w:rsidRPr="00B92FD5" w:rsidRDefault="00114789" w:rsidP="00114789">
      <w:pPr>
        <w:rPr>
          <w:b/>
          <w:lang w:val="es-ES_tradnl" w:eastAsia="es-ES" w:bidi="es-ES"/>
        </w:rPr>
      </w:pPr>
      <w:r w:rsidRPr="00B92FD5">
        <w:rPr>
          <w:b/>
          <w:lang w:val="es-ES_tradnl" w:eastAsia="es-ES" w:bidi="es-ES"/>
        </w:rPr>
        <w:br w:type="page"/>
      </w:r>
    </w:p>
    <w:p w14:paraId="6044932D" w14:textId="77777777" w:rsidR="00114789" w:rsidRPr="00B92FD5" w:rsidRDefault="00114789" w:rsidP="00114789">
      <w:pPr>
        <w:keepNext/>
        <w:keepLines/>
        <w:tabs>
          <w:tab w:val="left" w:pos="709"/>
          <w:tab w:val="left" w:pos="1560"/>
        </w:tabs>
        <w:suppressAutoHyphens/>
        <w:spacing w:after="120"/>
        <w:ind w:left="1247" w:right="284" w:hanging="1247"/>
        <w:rPr>
          <w:b/>
          <w:szCs w:val="22"/>
          <w:lang w:val="es-ES_tradnl"/>
        </w:rPr>
      </w:pPr>
      <w:r w:rsidRPr="00B92FD5">
        <w:rPr>
          <w:b/>
          <w:szCs w:val="22"/>
          <w:lang w:val="es-ES_tradnl"/>
        </w:rPr>
        <w:t>6.</w:t>
      </w:r>
      <w:r w:rsidRPr="00B92FD5">
        <w:rPr>
          <w:b/>
          <w:szCs w:val="22"/>
          <w:lang w:val="es-ES_tradnl"/>
        </w:rPr>
        <w:tab/>
        <w:t>Criterio del párrafo e) de la parte 3 del anexo IV</w:t>
      </w:r>
    </w:p>
    <w:p w14:paraId="41CF1EE2" w14:textId="77777777" w:rsidR="00114789" w:rsidRPr="00B92FD5" w:rsidRDefault="00114789" w:rsidP="00114789">
      <w:pPr>
        <w:keepNext/>
        <w:keepLines/>
        <w:tabs>
          <w:tab w:val="clear" w:pos="1247"/>
          <w:tab w:val="clear" w:pos="1814"/>
          <w:tab w:val="clear" w:pos="2381"/>
          <w:tab w:val="clear" w:pos="2948"/>
          <w:tab w:val="clear" w:pos="3515"/>
          <w:tab w:val="left" w:pos="624"/>
        </w:tabs>
        <w:spacing w:after="120"/>
        <w:ind w:firstLine="624"/>
        <w:rPr>
          <w:i/>
          <w:lang w:val="es-ES_tradnl" w:eastAsia="es-ES" w:bidi="es-ES"/>
        </w:rPr>
      </w:pPr>
      <w:r w:rsidRPr="00B92FD5">
        <w:rPr>
          <w:i/>
          <w:lang w:val="es-ES_tradnl" w:eastAsia="es-ES" w:bidi="es-ES"/>
        </w:rPr>
        <w:t>Que el uso indebido intencional no constituye por sí mismo motivo suficiente para la inclusión de una formulación en el anexo III.</w:t>
      </w:r>
    </w:p>
    <w:p w14:paraId="41E08F68" w14:textId="77777777" w:rsidR="00114789" w:rsidRPr="00B92FD5" w:rsidRDefault="00114789" w:rsidP="00114789">
      <w:pPr>
        <w:tabs>
          <w:tab w:val="left" w:pos="90"/>
        </w:tabs>
        <w:spacing w:after="120"/>
        <w:rPr>
          <w:lang w:val="es-ES_tradnl" w:eastAsia="es-ES" w:bidi="es-ES"/>
        </w:rPr>
      </w:pPr>
      <w:r w:rsidRPr="00B92FD5">
        <w:rPr>
          <w:lang w:val="es-ES_tradnl" w:eastAsia="es-ES" w:bidi="es-ES"/>
        </w:rPr>
        <w:t>No se informó de que el uso indebido intencional fuese motivo para la propuesta.</w:t>
      </w:r>
    </w:p>
    <w:p w14:paraId="5EEA514F" w14:textId="77777777" w:rsidR="00114789" w:rsidRPr="00B92FD5" w:rsidRDefault="00114789" w:rsidP="00114789">
      <w:pPr>
        <w:tabs>
          <w:tab w:val="left" w:pos="90"/>
        </w:tabs>
        <w:spacing w:after="120"/>
        <w:rPr>
          <w:lang w:val="es-ES_tradnl" w:eastAsia="es-ES" w:bidi="es-ES"/>
        </w:rPr>
      </w:pPr>
      <w:r w:rsidRPr="00B92FD5">
        <w:rPr>
          <w:lang w:val="es-ES_tradnl" w:eastAsia="es-ES" w:bidi="es-ES"/>
        </w:rPr>
        <w:t>Teniendo en cuenta la información disponible, el Comité llegó a la conclusión de que el criterio se cumplía.</w:t>
      </w:r>
    </w:p>
    <w:p w14:paraId="5E3E3D4E" w14:textId="77777777" w:rsidR="00114789" w:rsidRPr="00B92FD5" w:rsidRDefault="00114789" w:rsidP="00114789">
      <w:pPr>
        <w:tabs>
          <w:tab w:val="left" w:pos="90"/>
        </w:tabs>
        <w:spacing w:before="120" w:after="120"/>
        <w:rPr>
          <w:lang w:val="es-ES_tradnl" w:eastAsia="es-ES" w:bidi="es-ES"/>
        </w:rPr>
      </w:pPr>
      <w:r w:rsidRPr="00B92FD5">
        <w:rPr>
          <w:lang w:val="es-ES_tradnl" w:eastAsia="es-ES" w:bidi="es-ES"/>
        </w:rPr>
        <w:t xml:space="preserve">En su noveno período de sesiones el Comité llegó a la conclusión de que la propuesta del Chad de incluir el </w:t>
      </w:r>
      <w:proofErr w:type="spellStart"/>
      <w:r w:rsidRPr="00B92FD5">
        <w:rPr>
          <w:lang w:val="es-ES_tradnl" w:eastAsia="es-ES" w:bidi="es-ES"/>
        </w:rPr>
        <w:t>fentión</w:t>
      </w:r>
      <w:proofErr w:type="spellEnd"/>
      <w:r w:rsidRPr="00B92FD5">
        <w:rPr>
          <w:lang w:val="es-ES_tradnl" w:eastAsia="es-ES" w:bidi="es-ES"/>
        </w:rPr>
        <w:t> 640 de ultra bajo volumen (</w:t>
      </w:r>
      <w:proofErr w:type="spellStart"/>
      <w:r w:rsidRPr="00B92FD5">
        <w:rPr>
          <w:lang w:val="es-ES_tradnl" w:eastAsia="es-ES" w:bidi="es-ES"/>
        </w:rPr>
        <w:t>fentión</w:t>
      </w:r>
      <w:proofErr w:type="spellEnd"/>
      <w:r w:rsidRPr="00B92FD5">
        <w:rPr>
          <w:lang w:val="es-ES_tradnl" w:eastAsia="es-ES" w:bidi="es-ES"/>
        </w:rPr>
        <w:t xml:space="preserve"> 640 g/l) en el anexo III del Convenio en la categoría de formulación plaguicida extremadamente peligrosa cumplía los requisitos de documentación de la parte 1 del anexo IV y los criterios establecidos en la parte 3 del anexo IV del Convenio, teniendo en cuenta la información reunida por la secretaría de conformidad con la parte 2 del anexo IV.</w:t>
      </w:r>
    </w:p>
    <w:p w14:paraId="14C2D1F9" w14:textId="5422973F" w:rsidR="00114789" w:rsidRPr="00B92FD5" w:rsidRDefault="00114789" w:rsidP="00114789">
      <w:pPr>
        <w:tabs>
          <w:tab w:val="left" w:pos="90"/>
        </w:tabs>
        <w:spacing w:before="120"/>
        <w:rPr>
          <w:lang w:val="es-ES_tradnl" w:eastAsia="es-ES" w:bidi="es-ES"/>
        </w:rPr>
      </w:pPr>
      <w:r w:rsidRPr="00B92FD5">
        <w:rPr>
          <w:lang w:val="es-ES_tradnl" w:eastAsia="es-ES" w:bidi="es-ES"/>
        </w:rPr>
        <w:t xml:space="preserve">Por consiguiente, la Comisión recomienda incluir el </w:t>
      </w:r>
      <w:proofErr w:type="spellStart"/>
      <w:r w:rsidRPr="00B92FD5">
        <w:rPr>
          <w:lang w:val="es-ES_tradnl" w:eastAsia="es-ES" w:bidi="es-ES"/>
        </w:rPr>
        <w:t>fentión</w:t>
      </w:r>
      <w:proofErr w:type="spellEnd"/>
      <w:r w:rsidRPr="00B92FD5">
        <w:rPr>
          <w:lang w:val="es-ES_tradnl" w:eastAsia="es-ES" w:bidi="es-ES"/>
        </w:rPr>
        <w:t xml:space="preserve"> (formulaciones de ultra bajo volumen de 640 g/l de ingrediente activo o por encima de ese nivel) (</w:t>
      </w:r>
      <w:r w:rsidR="00B92FD5" w:rsidRPr="00B92FD5">
        <w:rPr>
          <w:lang w:val="es-ES_tradnl" w:eastAsia="es-ES" w:bidi="es-ES"/>
        </w:rPr>
        <w:t>n</w:t>
      </w:r>
      <w:r w:rsidRPr="00B92FD5">
        <w:rPr>
          <w:lang w:val="es-ES_tradnl" w:eastAsia="es-ES" w:bidi="es-ES"/>
        </w:rPr>
        <w:t>úm.</w:t>
      </w:r>
      <w:r w:rsidR="00B92FD5" w:rsidRPr="00B92FD5">
        <w:rPr>
          <w:lang w:val="es-ES_tradnl" w:eastAsia="es-ES" w:bidi="es-ES"/>
        </w:rPr>
        <w:t xml:space="preserve"> de</w:t>
      </w:r>
      <w:r w:rsidRPr="00B92FD5">
        <w:rPr>
          <w:lang w:val="es-ES_tradnl" w:eastAsia="es-ES" w:bidi="es-ES"/>
        </w:rPr>
        <w:t xml:space="preserve"> CAS</w:t>
      </w:r>
      <w:r w:rsidR="00B92FD5" w:rsidRPr="00B92FD5">
        <w:rPr>
          <w:lang w:val="es-ES_tradnl" w:eastAsia="es-ES" w:bidi="es-ES"/>
        </w:rPr>
        <w:t>:</w:t>
      </w:r>
      <w:r w:rsidRPr="00B92FD5">
        <w:rPr>
          <w:lang w:val="es-ES_tradnl" w:eastAsia="es-ES" w:bidi="es-ES"/>
        </w:rPr>
        <w:t xml:space="preserve"> 55-38-9) en el anexo III del Convenio de Rotterdam como una formulación plaguicida extremadamente peligrosa. </w:t>
      </w:r>
    </w:p>
    <w:p w14:paraId="10FE01DF" w14:textId="77777777" w:rsidR="00114789" w:rsidRPr="00B92FD5" w:rsidRDefault="00114789" w:rsidP="00114789">
      <w:pPr>
        <w:ind w:firstLine="720"/>
        <w:rPr>
          <w:i/>
          <w:sz w:val="2"/>
          <w:szCs w:val="4"/>
          <w:lang w:val="es-ES_tradnl" w:eastAsia="es-ES" w:bidi="es-ES"/>
        </w:rPr>
      </w:pPr>
      <w:r w:rsidRPr="00B92FD5">
        <w:rPr>
          <w:lang w:val="es-ES_tradnl" w:eastAsia="es-ES" w:bidi="es-ES"/>
        </w:rPr>
        <w:br w:type="page"/>
      </w:r>
    </w:p>
    <w:tbl>
      <w:tblPr>
        <w:tblW w:w="950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04"/>
      </w:tblGrid>
      <w:tr w:rsidR="00114789" w:rsidRPr="00ED5AB4" w14:paraId="6F91A6D0" w14:textId="77777777" w:rsidTr="00A642F9">
        <w:trPr>
          <w:cantSplit/>
        </w:trPr>
        <w:tc>
          <w:tcPr>
            <w:tcW w:w="9504" w:type="dxa"/>
            <w:shd w:val="pct12" w:color="000000" w:fill="FFFFFF"/>
          </w:tcPr>
          <w:p w14:paraId="7B9A7544" w14:textId="77777777" w:rsidR="00114789" w:rsidRPr="00B92FD5" w:rsidRDefault="00114789" w:rsidP="00A642F9">
            <w:pPr>
              <w:spacing w:before="40" w:after="60"/>
              <w:outlineLvl w:val="0"/>
              <w:rPr>
                <w:b/>
                <w:bCs/>
                <w:kern w:val="28"/>
                <w:sz w:val="28"/>
                <w:szCs w:val="28"/>
                <w:lang w:val="es-ES_tradnl" w:eastAsia="es-ES" w:bidi="es-ES"/>
              </w:rPr>
            </w:pP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b/>
                <w:sz w:val="24"/>
                <w:szCs w:val="24"/>
                <w:lang w:val="es-ES_tradnl"/>
              </w:rPr>
              <w:t>Anexo II Información sobre el incidente notificado extraída de la notificación de incidentes</w:t>
            </w:r>
          </w:p>
        </w:tc>
      </w:tr>
    </w:tbl>
    <w:p w14:paraId="5F65E0E2" w14:textId="77777777" w:rsidR="00114789" w:rsidRPr="00B92FD5" w:rsidRDefault="00114789" w:rsidP="00114789">
      <w:pPr>
        <w:rPr>
          <w:lang w:val="es-ES_tradnl" w:eastAsia="es-ES" w:bidi="es-ES"/>
        </w:rPr>
      </w:pPr>
    </w:p>
    <w:tbl>
      <w:tblPr>
        <w:tblW w:w="949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98"/>
      </w:tblGrid>
      <w:tr w:rsidR="00114789" w:rsidRPr="00B92FD5" w14:paraId="28629936" w14:textId="77777777" w:rsidTr="00A642F9">
        <w:tc>
          <w:tcPr>
            <w:tcW w:w="9498" w:type="dxa"/>
            <w:shd w:val="clear" w:color="auto" w:fill="auto"/>
          </w:tcPr>
          <w:p w14:paraId="62711C96" w14:textId="77777777" w:rsidR="00114789" w:rsidRPr="00B92FD5" w:rsidRDefault="00114789" w:rsidP="00A642F9">
            <w:pPr>
              <w:outlineLvl w:val="1"/>
              <w:rPr>
                <w:b/>
                <w:bCs/>
                <w:szCs w:val="24"/>
                <w:lang w:val="es-ES_tradnl" w:eastAsia="es-ES" w:bidi="es-ES"/>
              </w:rPr>
            </w:pPr>
            <w:r w:rsidRPr="00B92FD5">
              <w:rPr>
                <w:b/>
                <w:lang w:val="es-ES_tradnl" w:eastAsia="es-ES" w:bidi="es-ES"/>
              </w:rPr>
              <w:t>Nombres del país: Chad</w:t>
            </w:r>
          </w:p>
        </w:tc>
      </w:tr>
    </w:tbl>
    <w:p w14:paraId="2FA66450" w14:textId="77777777" w:rsidR="00114789" w:rsidRPr="00B92FD5" w:rsidRDefault="00114789" w:rsidP="00114789">
      <w:pPr>
        <w:rPr>
          <w:lang w:val="es-ES_tradnl" w:eastAsia="es-ES" w:bidi="es-ES"/>
        </w:rPr>
      </w:pPr>
    </w:p>
    <w:p w14:paraId="1D632895" w14:textId="77777777" w:rsidR="00114789" w:rsidRPr="00B92FD5" w:rsidRDefault="00114789" w:rsidP="00114789">
      <w:pPr>
        <w:rPr>
          <w:lang w:val="es-ES_tradnl" w:eastAsia="es-ES" w:bidi="es-ES"/>
        </w:rPr>
      </w:pPr>
      <w:r w:rsidRPr="00B92FD5">
        <w:rPr>
          <w:lang w:val="es-ES_tradnl" w:eastAsia="es-ES" w:bidi="es-ES"/>
        </w:rPr>
        <w:t>Dirección de la Autoridad Nacional Designada</w:t>
      </w:r>
    </w:p>
    <w:p w14:paraId="0018959A" w14:textId="77777777" w:rsidR="00114789" w:rsidRPr="00B92FD5" w:rsidRDefault="00114789" w:rsidP="00114789">
      <w:pPr>
        <w:rPr>
          <w:lang w:val="es-ES_tradnl" w:eastAsia="es-ES" w:bidi="es-ES"/>
        </w:rPr>
      </w:pPr>
    </w:p>
    <w:tbl>
      <w:tblPr>
        <w:tblW w:w="0" w:type="auto"/>
        <w:tblLayout w:type="fixed"/>
        <w:tblLook w:val="0000" w:firstRow="0" w:lastRow="0" w:firstColumn="0" w:lastColumn="0" w:noHBand="0" w:noVBand="0"/>
      </w:tblPr>
      <w:tblGrid>
        <w:gridCol w:w="5367"/>
        <w:gridCol w:w="4209"/>
      </w:tblGrid>
      <w:tr w:rsidR="00114789" w:rsidRPr="00B92FD5" w14:paraId="2F733F7D" w14:textId="77777777" w:rsidTr="00A642F9">
        <w:trPr>
          <w:cantSplit/>
        </w:trPr>
        <w:tc>
          <w:tcPr>
            <w:tcW w:w="9576" w:type="dxa"/>
            <w:gridSpan w:val="2"/>
            <w:tcBorders>
              <w:top w:val="single" w:sz="6" w:space="0" w:color="auto"/>
              <w:left w:val="single" w:sz="6" w:space="0" w:color="auto"/>
              <w:bottom w:val="single" w:sz="6" w:space="0" w:color="auto"/>
              <w:right w:val="single" w:sz="6" w:space="0" w:color="auto"/>
            </w:tcBorders>
            <w:shd w:val="clear" w:color="auto" w:fill="auto"/>
          </w:tcPr>
          <w:p w14:paraId="4A2FF4A2" w14:textId="77777777" w:rsidR="00114789" w:rsidRPr="00B92FD5" w:rsidRDefault="00114789" w:rsidP="00A642F9">
            <w:pPr>
              <w:widowControl w:val="0"/>
              <w:spacing w:before="80"/>
              <w:rPr>
                <w:b/>
                <w:bCs/>
                <w:i/>
                <w:snapToGrid w:val="0"/>
                <w:szCs w:val="24"/>
                <w:lang w:val="es-ES_tradnl" w:eastAsia="es-ES" w:bidi="es-ES"/>
              </w:rPr>
            </w:pPr>
            <w:r w:rsidRPr="00B92FD5">
              <w:rPr>
                <w:b/>
                <w:i/>
                <w:snapToGrid w:val="0"/>
                <w:lang w:val="es-ES_tradnl" w:eastAsia="es-ES" w:bidi="es-ES"/>
              </w:rPr>
              <w:t>Chad</w:t>
            </w:r>
          </w:p>
          <w:p w14:paraId="2CC8D3D4" w14:textId="77777777" w:rsidR="00114789" w:rsidRPr="00B92FD5" w:rsidRDefault="00114789" w:rsidP="00A642F9">
            <w:pPr>
              <w:widowControl w:val="0"/>
              <w:spacing w:before="80"/>
              <w:rPr>
                <w:b/>
                <w:bCs/>
                <w:i/>
                <w:snapToGrid w:val="0"/>
                <w:lang w:val="es-ES_tradnl" w:eastAsia="es-ES" w:bidi="es-ES"/>
              </w:rPr>
            </w:pPr>
            <w:r w:rsidRPr="00B92FD5">
              <w:rPr>
                <w:b/>
                <w:i/>
                <w:snapToGrid w:val="0"/>
                <w:lang w:val="es-ES_tradnl" w:eastAsia="es-ES" w:bidi="es-ES"/>
              </w:rPr>
              <w:t>Plaguicidas</w:t>
            </w:r>
          </w:p>
        </w:tc>
      </w:tr>
      <w:tr w:rsidR="00114789" w:rsidRPr="00B92FD5" w14:paraId="05B78557" w14:textId="77777777" w:rsidTr="00A642F9">
        <w:trPr>
          <w:cantSplit/>
        </w:trPr>
        <w:tc>
          <w:tcPr>
            <w:tcW w:w="5367" w:type="dxa"/>
            <w:tcBorders>
              <w:right w:val="single" w:sz="4" w:space="0" w:color="auto"/>
            </w:tcBorders>
            <w:shd w:val="clear" w:color="auto" w:fill="auto"/>
          </w:tcPr>
          <w:p w14:paraId="73575F38" w14:textId="77777777" w:rsidR="00114789" w:rsidRPr="00B92FD5" w:rsidRDefault="00114789" w:rsidP="00A642F9">
            <w:pPr>
              <w:spacing w:after="150"/>
              <w:rPr>
                <w:lang w:val="es-ES_tradnl" w:eastAsia="es-ES" w:bidi="es-ES"/>
              </w:rPr>
            </w:pPr>
          </w:p>
          <w:p w14:paraId="79ECEC1D" w14:textId="77777777" w:rsidR="00114789" w:rsidRPr="00B92FD5" w:rsidRDefault="00114789" w:rsidP="00A642F9">
            <w:pPr>
              <w:spacing w:after="150"/>
              <w:rPr>
                <w:lang w:val="es-ES_tradnl" w:eastAsia="es-ES" w:bidi="es-ES"/>
              </w:rPr>
            </w:pPr>
            <w:r w:rsidRPr="00B92FD5">
              <w:rPr>
                <w:lang w:val="es-ES_tradnl" w:eastAsia="es-ES" w:bidi="es-ES"/>
              </w:rPr>
              <w:t xml:space="preserve">Sr. Moussa </w:t>
            </w:r>
            <w:proofErr w:type="spellStart"/>
            <w:r w:rsidRPr="00B92FD5">
              <w:rPr>
                <w:lang w:val="es-ES_tradnl" w:eastAsia="es-ES" w:bidi="es-ES"/>
              </w:rPr>
              <w:t>Abderaman</w:t>
            </w:r>
            <w:proofErr w:type="spellEnd"/>
            <w:r w:rsidRPr="00B92FD5">
              <w:rPr>
                <w:lang w:val="es-ES_tradnl" w:eastAsia="es-ES" w:bidi="es-ES"/>
              </w:rPr>
              <w:t xml:space="preserve"> Abdoulaye</w:t>
            </w:r>
          </w:p>
          <w:p w14:paraId="112B0FA5" w14:textId="77777777" w:rsidR="00114789" w:rsidRPr="00B92FD5" w:rsidRDefault="00114789" w:rsidP="00A642F9">
            <w:pPr>
              <w:spacing w:after="150"/>
              <w:rPr>
                <w:b/>
                <w:i/>
                <w:lang w:val="es-ES_tradnl" w:eastAsia="es-ES" w:bidi="es-ES"/>
              </w:rPr>
            </w:pPr>
            <w:proofErr w:type="spellStart"/>
            <w:r w:rsidRPr="00B92FD5">
              <w:rPr>
                <w:lang w:val="es-ES_tradnl" w:eastAsia="es-ES" w:bidi="es-ES"/>
              </w:rPr>
              <w:t>Directeur</w:t>
            </w:r>
            <w:proofErr w:type="spellEnd"/>
            <w:r w:rsidRPr="00B92FD5">
              <w:rPr>
                <w:lang w:val="es-ES_tradnl" w:eastAsia="es-ES" w:bidi="es-ES"/>
              </w:rPr>
              <w:t xml:space="preserve"> </w:t>
            </w:r>
            <w:proofErr w:type="spellStart"/>
            <w:r w:rsidRPr="00B92FD5">
              <w:rPr>
                <w:lang w:val="es-ES_tradnl" w:eastAsia="es-ES" w:bidi="es-ES"/>
              </w:rPr>
              <w:t>Adjoint</w:t>
            </w:r>
            <w:proofErr w:type="spellEnd"/>
            <w:r w:rsidRPr="00B92FD5">
              <w:rPr>
                <w:lang w:val="es-ES_tradnl" w:eastAsia="es-ES" w:bidi="es-ES"/>
              </w:rPr>
              <w:t xml:space="preserve"> / </w:t>
            </w:r>
            <w:proofErr w:type="spellStart"/>
            <w:r w:rsidRPr="00B92FD5">
              <w:rPr>
                <w:lang w:val="es-ES_tradnl" w:eastAsia="es-ES" w:bidi="es-ES"/>
              </w:rPr>
              <w:t>Chargé</w:t>
            </w:r>
            <w:proofErr w:type="spellEnd"/>
            <w:r w:rsidRPr="00B92FD5">
              <w:rPr>
                <w:lang w:val="es-ES_tradnl" w:eastAsia="es-ES" w:bidi="es-ES"/>
              </w:rPr>
              <w:t xml:space="preserve"> de la </w:t>
            </w:r>
            <w:proofErr w:type="spellStart"/>
            <w:r w:rsidRPr="00B92FD5">
              <w:rPr>
                <w:lang w:val="es-ES_tradnl" w:eastAsia="es-ES" w:bidi="es-ES"/>
              </w:rPr>
              <w:t>gestion</w:t>
            </w:r>
            <w:proofErr w:type="spellEnd"/>
            <w:r w:rsidRPr="00B92FD5">
              <w:rPr>
                <w:lang w:val="es-ES_tradnl" w:eastAsia="es-ES" w:bidi="es-ES"/>
              </w:rPr>
              <w:t xml:space="preserve"> des </w:t>
            </w:r>
            <w:proofErr w:type="spellStart"/>
            <w:r w:rsidRPr="00B92FD5">
              <w:rPr>
                <w:lang w:val="es-ES_tradnl" w:eastAsia="es-ES" w:bidi="es-ES"/>
              </w:rPr>
              <w:t>pesticides</w:t>
            </w:r>
            <w:proofErr w:type="spellEnd"/>
            <w:r w:rsidRPr="00B92FD5">
              <w:rPr>
                <w:lang w:val="es-ES_tradnl" w:eastAsia="es-ES" w:bidi="es-ES"/>
              </w:rPr>
              <w:br/>
            </w:r>
            <w:proofErr w:type="spellStart"/>
            <w:r w:rsidRPr="00B92FD5">
              <w:rPr>
                <w:lang w:val="es-ES_tradnl" w:eastAsia="es-ES" w:bidi="es-ES"/>
              </w:rPr>
              <w:t>Direction</w:t>
            </w:r>
            <w:proofErr w:type="spellEnd"/>
            <w:r w:rsidRPr="00B92FD5">
              <w:rPr>
                <w:lang w:val="es-ES_tradnl" w:eastAsia="es-ES" w:bidi="es-ES"/>
              </w:rPr>
              <w:t xml:space="preserve"> de </w:t>
            </w:r>
            <w:proofErr w:type="spellStart"/>
            <w:r w:rsidRPr="00B92FD5">
              <w:rPr>
                <w:lang w:val="es-ES_tradnl" w:eastAsia="es-ES" w:bidi="es-ES"/>
              </w:rPr>
              <w:t>Protection</w:t>
            </w:r>
            <w:proofErr w:type="spellEnd"/>
            <w:r w:rsidRPr="00B92FD5">
              <w:rPr>
                <w:lang w:val="es-ES_tradnl" w:eastAsia="es-ES" w:bidi="es-ES"/>
              </w:rPr>
              <w:t xml:space="preserve"> des </w:t>
            </w:r>
            <w:proofErr w:type="spellStart"/>
            <w:r w:rsidRPr="00B92FD5">
              <w:rPr>
                <w:lang w:val="es-ES_tradnl" w:eastAsia="es-ES" w:bidi="es-ES"/>
              </w:rPr>
              <w:t>Végétaux</w:t>
            </w:r>
            <w:proofErr w:type="spellEnd"/>
            <w:r w:rsidRPr="00B92FD5">
              <w:rPr>
                <w:lang w:val="es-ES_tradnl" w:eastAsia="es-ES" w:bidi="es-ES"/>
              </w:rPr>
              <w:t xml:space="preserve"> et du </w:t>
            </w:r>
            <w:proofErr w:type="spellStart"/>
            <w:r w:rsidRPr="00B92FD5">
              <w:rPr>
                <w:lang w:val="es-ES_tradnl" w:eastAsia="es-ES" w:bidi="es-ES"/>
              </w:rPr>
              <w:t>Conditionnement</w:t>
            </w:r>
            <w:proofErr w:type="spellEnd"/>
            <w:r w:rsidRPr="00B92FD5">
              <w:rPr>
                <w:lang w:val="es-ES_tradnl" w:eastAsia="es-ES" w:bidi="es-ES"/>
              </w:rPr>
              <w:t xml:space="preserve"> (DPVC)</w:t>
            </w:r>
            <w:r w:rsidRPr="00B92FD5">
              <w:rPr>
                <w:lang w:val="es-ES_tradnl" w:eastAsia="es-ES" w:bidi="es-ES"/>
              </w:rPr>
              <w:br/>
            </w:r>
            <w:proofErr w:type="spellStart"/>
            <w:r w:rsidRPr="00B92FD5">
              <w:rPr>
                <w:lang w:val="es-ES_tradnl" w:eastAsia="es-ES" w:bidi="es-ES"/>
              </w:rPr>
              <w:t>Ministère</w:t>
            </w:r>
            <w:proofErr w:type="spellEnd"/>
            <w:r w:rsidRPr="00B92FD5">
              <w:rPr>
                <w:lang w:val="es-ES_tradnl" w:eastAsia="es-ES" w:bidi="es-ES"/>
              </w:rPr>
              <w:t xml:space="preserve"> de </w:t>
            </w:r>
            <w:proofErr w:type="spellStart"/>
            <w:r w:rsidRPr="00B92FD5">
              <w:rPr>
                <w:lang w:val="es-ES_tradnl" w:eastAsia="es-ES" w:bidi="es-ES"/>
              </w:rPr>
              <w:t>l'Agriculture</w:t>
            </w:r>
            <w:proofErr w:type="spellEnd"/>
            <w:r w:rsidRPr="00B92FD5">
              <w:rPr>
                <w:lang w:val="es-ES_tradnl" w:eastAsia="es-ES" w:bidi="es-ES"/>
              </w:rPr>
              <w:t xml:space="preserve"> et de </w:t>
            </w:r>
            <w:proofErr w:type="spellStart"/>
            <w:r w:rsidRPr="00B92FD5">
              <w:rPr>
                <w:lang w:val="es-ES_tradnl" w:eastAsia="es-ES" w:bidi="es-ES"/>
              </w:rPr>
              <w:t>l'Irrigation</w:t>
            </w:r>
            <w:proofErr w:type="spellEnd"/>
            <w:r w:rsidRPr="00B92FD5">
              <w:rPr>
                <w:lang w:val="es-ES_tradnl" w:eastAsia="es-ES" w:bidi="es-ES"/>
              </w:rPr>
              <w:br/>
              <w:t>B.P. 1551</w:t>
            </w:r>
            <w:r w:rsidRPr="00B92FD5">
              <w:rPr>
                <w:lang w:val="es-ES_tradnl" w:eastAsia="es-ES" w:bidi="es-ES"/>
              </w:rPr>
              <w:br/>
            </w:r>
            <w:proofErr w:type="spellStart"/>
            <w:r w:rsidRPr="00B92FD5">
              <w:rPr>
                <w:lang w:val="es-ES_tradnl" w:eastAsia="es-ES" w:bidi="es-ES"/>
              </w:rPr>
              <w:t>N'Djamena</w:t>
            </w:r>
            <w:proofErr w:type="spellEnd"/>
            <w:r w:rsidRPr="00B92FD5">
              <w:rPr>
                <w:lang w:val="es-ES_tradnl" w:eastAsia="es-ES" w:bidi="es-ES"/>
              </w:rPr>
              <w:t xml:space="preserve"> </w:t>
            </w:r>
            <w:r w:rsidRPr="00B92FD5">
              <w:rPr>
                <w:lang w:val="es-ES_tradnl" w:eastAsia="es-ES" w:bidi="es-ES"/>
              </w:rPr>
              <w:br/>
              <w:t>Chad</w:t>
            </w:r>
          </w:p>
        </w:tc>
        <w:tc>
          <w:tcPr>
            <w:tcW w:w="4209" w:type="dxa"/>
            <w:tcBorders>
              <w:left w:val="single" w:sz="4" w:space="0" w:color="auto"/>
            </w:tcBorders>
            <w:shd w:val="clear" w:color="auto" w:fill="auto"/>
          </w:tcPr>
          <w:p w14:paraId="3C03F134" w14:textId="77777777" w:rsidR="00114789" w:rsidRPr="00B92FD5" w:rsidRDefault="00114789" w:rsidP="00A642F9">
            <w:pPr>
              <w:spacing w:after="150"/>
              <w:rPr>
                <w:b/>
                <w:lang w:val="es-ES_tradnl" w:eastAsia="es-ES" w:bidi="es-ES"/>
              </w:rPr>
            </w:pPr>
          </w:p>
          <w:p w14:paraId="7E491D92" w14:textId="77777777" w:rsidR="00114789" w:rsidRPr="00B92FD5" w:rsidRDefault="00114789" w:rsidP="00A642F9">
            <w:pPr>
              <w:spacing w:after="150"/>
              <w:rPr>
                <w:lang w:val="es-ES_tradnl" w:eastAsia="es-ES" w:bidi="es-ES"/>
              </w:rPr>
            </w:pPr>
            <w:r w:rsidRPr="00B92FD5">
              <w:rPr>
                <w:b/>
                <w:lang w:val="es-ES_tradnl" w:eastAsia="es-ES" w:bidi="es-ES"/>
              </w:rPr>
              <w:t xml:space="preserve">Teléfono: </w:t>
            </w:r>
            <w:r w:rsidRPr="00B92FD5">
              <w:rPr>
                <w:lang w:val="es-ES_tradnl" w:eastAsia="es-ES" w:bidi="es-ES"/>
              </w:rPr>
              <w:t>+235 66 32 52 52</w:t>
            </w:r>
          </w:p>
          <w:p w14:paraId="56006765" w14:textId="77777777" w:rsidR="00114789" w:rsidRPr="00B92FD5" w:rsidRDefault="00114789" w:rsidP="00A642F9">
            <w:pPr>
              <w:rPr>
                <w:lang w:val="es-ES_tradnl" w:eastAsia="es-ES" w:bidi="es-ES"/>
              </w:rPr>
            </w:pPr>
          </w:p>
          <w:p w14:paraId="688B632F" w14:textId="77777777" w:rsidR="00114789" w:rsidRPr="00B92FD5" w:rsidRDefault="00114789" w:rsidP="00A642F9">
            <w:pPr>
              <w:rPr>
                <w:lang w:val="es-ES_tradnl" w:eastAsia="es-ES" w:bidi="es-ES"/>
              </w:rPr>
            </w:pPr>
            <w:r w:rsidRPr="00B92FD5">
              <w:rPr>
                <w:b/>
                <w:lang w:val="es-ES_tradnl" w:eastAsia="es-ES" w:bidi="es-ES"/>
              </w:rPr>
              <w:t>Fax:</w:t>
            </w:r>
            <w:r w:rsidRPr="00B92FD5">
              <w:rPr>
                <w:lang w:val="es-ES_tradnl" w:eastAsia="es-ES" w:bidi="es-ES"/>
              </w:rPr>
              <w:t xml:space="preserve"> +235 99 32 52 52</w:t>
            </w:r>
          </w:p>
          <w:p w14:paraId="4668E594" w14:textId="77777777" w:rsidR="00114789" w:rsidRPr="00B92FD5" w:rsidRDefault="00114789" w:rsidP="00A642F9">
            <w:pPr>
              <w:rPr>
                <w:lang w:val="es-ES_tradnl" w:eastAsia="es-ES" w:bidi="es-ES"/>
              </w:rPr>
            </w:pPr>
          </w:p>
          <w:p w14:paraId="413C40FF" w14:textId="77777777" w:rsidR="00114789" w:rsidRPr="00B92FD5" w:rsidRDefault="00114789" w:rsidP="00A642F9">
            <w:pPr>
              <w:rPr>
                <w:lang w:val="es-ES_tradnl" w:eastAsia="es-ES" w:bidi="es-ES"/>
              </w:rPr>
            </w:pPr>
            <w:r w:rsidRPr="00B92FD5">
              <w:rPr>
                <w:b/>
                <w:lang w:val="es-ES_tradnl" w:eastAsia="es-ES" w:bidi="es-ES"/>
              </w:rPr>
              <w:t>Correo electrónico:</w:t>
            </w:r>
            <w:r w:rsidRPr="00B92FD5">
              <w:rPr>
                <w:lang w:val="es-ES_tradnl" w:eastAsia="es-ES" w:bidi="es-ES"/>
              </w:rPr>
              <w:t xml:space="preserve"> charafa2009@gmail.com</w:t>
            </w:r>
          </w:p>
          <w:p w14:paraId="3F96557F" w14:textId="77777777" w:rsidR="00114789" w:rsidRPr="00B92FD5" w:rsidRDefault="00114789" w:rsidP="00A642F9">
            <w:pPr>
              <w:rPr>
                <w:lang w:val="es-ES_tradnl" w:eastAsia="es-ES" w:bidi="es-ES"/>
              </w:rPr>
            </w:pPr>
          </w:p>
          <w:p w14:paraId="055AC155" w14:textId="77777777" w:rsidR="00114789" w:rsidRPr="00B92FD5" w:rsidRDefault="00114789" w:rsidP="00A642F9">
            <w:pPr>
              <w:rPr>
                <w:lang w:val="es-ES_tradnl" w:eastAsia="es-ES" w:bidi="es-ES"/>
              </w:rPr>
            </w:pPr>
          </w:p>
        </w:tc>
      </w:tr>
    </w:tbl>
    <w:p w14:paraId="6C831B91" w14:textId="77777777" w:rsidR="00114789" w:rsidRPr="00B92FD5" w:rsidRDefault="00114789" w:rsidP="00114789">
      <w:pPr>
        <w:tabs>
          <w:tab w:val="left" w:pos="-1440"/>
        </w:tabs>
        <w:ind w:left="2880" w:hanging="2880"/>
        <w:rPr>
          <w:sz w:val="16"/>
          <w:lang w:val="es-ES_tradnl" w:eastAsia="es-ES" w:bidi="es-ES"/>
        </w:rPr>
      </w:pPr>
    </w:p>
    <w:p w14:paraId="3E4D90D5" w14:textId="77777777" w:rsidR="00114789" w:rsidRPr="00B92FD5" w:rsidRDefault="00114789" w:rsidP="00B92FD5">
      <w:pPr>
        <w:pBdr>
          <w:top w:val="single" w:sz="6" w:space="1" w:color="auto"/>
          <w:left w:val="single" w:sz="6" w:space="0" w:color="auto"/>
          <w:bottom w:val="single" w:sz="6" w:space="1" w:color="auto"/>
          <w:right w:val="single" w:sz="6" w:space="6" w:color="auto"/>
        </w:pBdr>
        <w:shd w:val="pct5" w:color="auto" w:fill="FFFFFF"/>
        <w:jc w:val="center"/>
        <w:rPr>
          <w:b/>
          <w:sz w:val="24"/>
          <w:szCs w:val="18"/>
          <w:lang w:val="es-ES_tradnl"/>
        </w:rPr>
      </w:pPr>
      <w:r w:rsidRPr="00B92FD5">
        <w:rPr>
          <w:b/>
          <w:sz w:val="24"/>
          <w:szCs w:val="18"/>
          <w:lang w:val="es-ES_tradnl"/>
        </w:rPr>
        <w:t>PARTE B - FORMULARIO DE NOTIFICACIÓN DE INFORMACIÓN SOBRE LOS INCIDENTES CON EL PLAGUICIDA</w:t>
      </w:r>
    </w:p>
    <w:p w14:paraId="3CC462EA" w14:textId="77777777" w:rsidR="00114789" w:rsidRPr="00B92FD5" w:rsidRDefault="00114789" w:rsidP="00114789">
      <w:pPr>
        <w:tabs>
          <w:tab w:val="left" w:pos="-1440"/>
        </w:tabs>
        <w:ind w:left="2880" w:hanging="2880"/>
        <w:rPr>
          <w:b/>
          <w:i/>
          <w:sz w:val="16"/>
          <w:lang w:val="es-ES_tradnl" w:eastAsia="es-ES" w:bidi="es-ES"/>
        </w:rPr>
      </w:pPr>
    </w:p>
    <w:tbl>
      <w:tblPr>
        <w:tblW w:w="95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76"/>
      </w:tblGrid>
      <w:tr w:rsidR="00114789" w:rsidRPr="00B92FD5" w14:paraId="1086AE76" w14:textId="77777777" w:rsidTr="00A642F9">
        <w:tc>
          <w:tcPr>
            <w:tcW w:w="9576" w:type="dxa"/>
            <w:tcBorders>
              <w:top w:val="double" w:sz="4" w:space="0" w:color="auto"/>
              <w:left w:val="double" w:sz="4" w:space="0" w:color="auto"/>
              <w:right w:val="double" w:sz="4" w:space="0" w:color="auto"/>
            </w:tcBorders>
            <w:shd w:val="clear" w:color="auto" w:fill="D9D9D9"/>
            <w:vAlign w:val="center"/>
          </w:tcPr>
          <w:p w14:paraId="55137FE7" w14:textId="77777777" w:rsidR="00114789" w:rsidRPr="00B92FD5" w:rsidRDefault="00114789" w:rsidP="00A642F9">
            <w:pPr>
              <w:tabs>
                <w:tab w:val="left" w:pos="-1440"/>
              </w:tabs>
              <w:ind w:left="2880" w:hanging="2880"/>
              <w:jc w:val="center"/>
              <w:rPr>
                <w:b/>
                <w:szCs w:val="24"/>
                <w:lang w:val="es-ES_tradnl" w:eastAsia="es-ES" w:bidi="es-ES"/>
              </w:rPr>
            </w:pPr>
          </w:p>
          <w:p w14:paraId="681E930A" w14:textId="77777777" w:rsidR="00114789" w:rsidRPr="00B92FD5" w:rsidRDefault="00114789" w:rsidP="00A642F9">
            <w:pPr>
              <w:tabs>
                <w:tab w:val="left" w:pos="-1440"/>
              </w:tabs>
              <w:ind w:left="2880" w:hanging="2880"/>
              <w:jc w:val="center"/>
              <w:rPr>
                <w:i/>
                <w:szCs w:val="24"/>
                <w:lang w:val="es-ES_tradnl" w:eastAsia="es-ES" w:bidi="es-ES"/>
              </w:rPr>
            </w:pPr>
            <w:r w:rsidRPr="00B92FD5">
              <w:rPr>
                <w:b/>
                <w:lang w:val="es-ES_tradnl" w:eastAsia="es-ES" w:bidi="es-ES"/>
              </w:rPr>
              <w:t xml:space="preserve">I. Identidad del producto: </w:t>
            </w:r>
            <w:r w:rsidRPr="00B92FD5">
              <w:rPr>
                <w:i/>
                <w:lang w:val="es-ES_tradnl" w:eastAsia="es-ES" w:bidi="es-ES"/>
              </w:rPr>
              <w:t>¿Qué formulación se utilizó cuando ocurrió el incidente?</w:t>
            </w:r>
          </w:p>
          <w:p w14:paraId="77FBC377" w14:textId="77777777" w:rsidR="00114789" w:rsidRPr="00B92FD5" w:rsidRDefault="00114789" w:rsidP="00A642F9">
            <w:pPr>
              <w:tabs>
                <w:tab w:val="left" w:pos="-1440"/>
              </w:tabs>
              <w:ind w:left="2880" w:hanging="2880"/>
              <w:jc w:val="center"/>
              <w:rPr>
                <w:b/>
                <w:szCs w:val="24"/>
                <w:lang w:val="es-ES_tradnl" w:eastAsia="es-ES" w:bidi="es-ES"/>
              </w:rPr>
            </w:pPr>
          </w:p>
        </w:tc>
      </w:tr>
      <w:tr w:rsidR="00114789" w:rsidRPr="00ED5AB4" w14:paraId="3A7AE7CE" w14:textId="77777777" w:rsidTr="00A642F9">
        <w:tc>
          <w:tcPr>
            <w:tcW w:w="9576" w:type="dxa"/>
            <w:tcBorders>
              <w:left w:val="double" w:sz="4" w:space="0" w:color="auto"/>
              <w:bottom w:val="nil"/>
              <w:right w:val="double" w:sz="4" w:space="0" w:color="auto"/>
            </w:tcBorders>
          </w:tcPr>
          <w:p w14:paraId="19DF8CA8" w14:textId="77777777" w:rsidR="00114789" w:rsidRPr="00B92FD5" w:rsidRDefault="00114789" w:rsidP="00A642F9">
            <w:pPr>
              <w:ind w:hanging="2880"/>
              <w:rPr>
                <w:i/>
                <w:lang w:val="es-ES_tradnl" w:eastAsia="es-ES" w:bidi="es-ES"/>
              </w:rPr>
            </w:pPr>
          </w:p>
          <w:p w14:paraId="3023CDD1" w14:textId="77777777" w:rsidR="00114789" w:rsidRPr="00B92FD5" w:rsidRDefault="00114789" w:rsidP="00A642F9">
            <w:pPr>
              <w:autoSpaceDE w:val="0"/>
              <w:autoSpaceDN w:val="0"/>
              <w:adjustRightInd w:val="0"/>
              <w:spacing w:after="120"/>
              <w:rPr>
                <w:lang w:val="es-ES_tradnl" w:eastAsia="es-ES" w:bidi="es-ES"/>
              </w:rPr>
            </w:pPr>
            <w:r w:rsidRPr="00B92FD5">
              <w:rPr>
                <w:b/>
                <w:lang w:val="es-ES_tradnl" w:eastAsia="es-ES" w:bidi="es-ES"/>
              </w:rPr>
              <w:t>1. Nombre de la formulación:</w:t>
            </w:r>
            <w:r w:rsidRPr="00B92FD5">
              <w:rPr>
                <w:lang w:val="es-ES_tradnl" w:eastAsia="es-ES" w:bidi="es-ES"/>
              </w:rPr>
              <w:t xml:space="preserve"> </w:t>
            </w:r>
            <w:r w:rsidRPr="00B92FD5">
              <w:rPr>
                <w:b/>
                <w:lang w:val="es-ES_tradnl" w:eastAsia="es-ES" w:bidi="es-ES"/>
              </w:rPr>
              <w:t>FENTIÓN............................................................................................</w:t>
            </w:r>
          </w:p>
          <w:p w14:paraId="689B9B06" w14:textId="77777777" w:rsidR="00114789" w:rsidRPr="00B92FD5" w:rsidRDefault="00114789" w:rsidP="00A642F9">
            <w:pPr>
              <w:autoSpaceDE w:val="0"/>
              <w:autoSpaceDN w:val="0"/>
              <w:adjustRightInd w:val="0"/>
              <w:spacing w:after="120"/>
              <w:rPr>
                <w:lang w:val="es-ES_tradnl" w:eastAsia="es-ES" w:bidi="es-ES"/>
              </w:rPr>
            </w:pPr>
            <w:r w:rsidRPr="00B92FD5">
              <w:rPr>
                <w:b/>
                <w:lang w:val="es-ES_tradnl" w:eastAsia="es-ES" w:bidi="es-ES"/>
              </w:rPr>
              <w:t>2. Tipo de formulación (marque uno):</w:t>
            </w:r>
          </w:p>
          <w:p w14:paraId="349715B0" w14:textId="77777777" w:rsidR="00114789" w:rsidRPr="00B92FD5" w:rsidRDefault="00114789" w:rsidP="00A642F9">
            <w:pPr>
              <w:autoSpaceDE w:val="0"/>
              <w:autoSpaceDN w:val="0"/>
              <w:adjustRightInd w:val="0"/>
              <w:spacing w:after="120"/>
              <w:rPr>
                <w:i/>
                <w:iCs/>
                <w:lang w:val="es-ES_tradnl" w:eastAsia="es-ES" w:bidi="es-ES"/>
              </w:rPr>
            </w:pPr>
            <w:r w:rsidRPr="00B92FD5">
              <w:rPr>
                <w:b/>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proofErr w:type="spellStart"/>
            <w:r w:rsidRPr="00B92FD5">
              <w:rPr>
                <w:i/>
                <w:lang w:val="es-ES_tradnl" w:eastAsia="es-ES" w:bidi="es-ES"/>
              </w:rPr>
              <w:t>Conc</w:t>
            </w:r>
            <w:proofErr w:type="spellEnd"/>
            <w:r w:rsidRPr="00B92FD5">
              <w:rPr>
                <w:i/>
                <w:lang w:val="es-ES_tradnl" w:eastAsia="es-ES" w:bidi="es-ES"/>
              </w:rPr>
              <w:t xml:space="preserve">. emulsionable </w:t>
            </w:r>
            <w:r w:rsidRPr="00B92FD5">
              <w:rPr>
                <w:i/>
                <w:lang w:val="es-ES_tradnl" w:eastAsia="es-ES" w:bidi="es-ES"/>
              </w:rPr>
              <w:tab/>
            </w:r>
            <w:r w:rsidRPr="00B92FD5">
              <w:rPr>
                <w:i/>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Polvo humectable </w:t>
            </w:r>
            <w:r w:rsidRPr="00B92FD5">
              <w:rPr>
                <w:i/>
                <w:lang w:val="es-ES_tradnl" w:eastAsia="es-ES" w:bidi="es-ES"/>
              </w:rPr>
              <w:tab/>
            </w:r>
            <w:r w:rsidRPr="00B92FD5">
              <w:rPr>
                <w:i/>
                <w:lang w:val="es-ES_tradnl" w:eastAsia="es-ES" w:bidi="es-ES"/>
              </w:rPr>
              <w:tab/>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Polvo seco</w:t>
            </w:r>
          </w:p>
          <w:p w14:paraId="2327D8FB" w14:textId="77777777" w:rsidR="00114789" w:rsidRPr="00B92FD5" w:rsidRDefault="00114789" w:rsidP="00A642F9">
            <w:pPr>
              <w:autoSpaceDE w:val="0"/>
              <w:autoSpaceDN w:val="0"/>
              <w:adjustRightInd w:val="0"/>
              <w:spacing w:after="120"/>
              <w:rPr>
                <w:i/>
                <w:iCs/>
                <w:lang w:val="es-ES_tradnl" w:eastAsia="es-ES" w:bidi="es-ES"/>
              </w:rPr>
            </w:pPr>
            <w:r w:rsidRPr="00B92FD5">
              <w:rPr>
                <w:rFonts w:ascii="Arial Unicode MS" w:hAnsi="Arial Unicode MS"/>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Polvo soluble en agua </w:t>
            </w:r>
            <w:r w:rsidRPr="00B92FD5">
              <w:rPr>
                <w:i/>
                <w:lang w:val="es-ES_tradnl" w:eastAsia="es-ES" w:bidi="es-ES"/>
              </w:rPr>
              <w:tab/>
            </w:r>
            <w:r w:rsidRPr="00B92FD5">
              <w:rPr>
                <w:rFonts w:ascii="Wingdings-Regular"/>
                <w:b/>
                <w:lang w:val="es-ES_tradnl" w:eastAsia="es-ES" w:bidi="es-ES"/>
              </w:rPr>
              <w:t>x</w:t>
            </w:r>
            <w:r w:rsidRPr="00B92FD5">
              <w:rPr>
                <w:rFonts w:ascii="Courier New" w:hAnsi="Courier New"/>
                <w:lang w:val="es-ES_tradnl" w:eastAsia="es-ES" w:bidi="es-ES"/>
              </w:rPr>
              <w:t xml:space="preserve"> U</w:t>
            </w:r>
            <w:r w:rsidRPr="00B92FD5">
              <w:rPr>
                <w:i/>
                <w:lang w:val="es-ES_tradnl" w:eastAsia="es-ES" w:bidi="es-ES"/>
              </w:rPr>
              <w:t xml:space="preserve">ltra bajo volumen </w:t>
            </w:r>
            <w:r w:rsidRPr="00B92FD5">
              <w:rPr>
                <w:i/>
                <w:lang w:val="es-ES_tradnl" w:eastAsia="es-ES" w:bidi="es-ES"/>
              </w:rPr>
              <w:tab/>
            </w:r>
            <w:r w:rsidRPr="00B92FD5">
              <w:rPr>
                <w:i/>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Pastilla</w:t>
            </w:r>
          </w:p>
          <w:p w14:paraId="4ABBD911" w14:textId="77777777" w:rsidR="00114789" w:rsidRPr="00B92FD5" w:rsidRDefault="00114789" w:rsidP="00A642F9">
            <w:pPr>
              <w:autoSpaceDE w:val="0"/>
              <w:autoSpaceDN w:val="0"/>
              <w:adjustRightInd w:val="0"/>
              <w:spacing w:after="120"/>
              <w:rPr>
                <w:i/>
                <w:iCs/>
                <w:lang w:val="es-ES_tradnl" w:eastAsia="es-ES" w:bidi="es-ES"/>
              </w:rPr>
            </w:pPr>
            <w:r w:rsidRPr="00B92FD5">
              <w:rPr>
                <w:rFonts w:ascii="Arial Unicode MS" w:hAnsi="Arial Unicode MS"/>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Granular </w:t>
            </w:r>
            <w:r w:rsidRPr="00B92FD5">
              <w:rPr>
                <w:i/>
                <w:lang w:val="es-ES_tradnl" w:eastAsia="es-ES" w:bidi="es-ES"/>
              </w:rPr>
              <w:tab/>
            </w:r>
            <w:r w:rsidRPr="00B92FD5">
              <w:rPr>
                <w:i/>
                <w:lang w:val="es-ES_tradnl" w:eastAsia="es-ES" w:bidi="es-ES"/>
              </w:rPr>
              <w:tab/>
            </w:r>
            <w:r w:rsidRPr="00B92FD5">
              <w:rPr>
                <w:i/>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otros, sírvase especificar.......................................................</w:t>
            </w:r>
          </w:p>
          <w:p w14:paraId="238350BF" w14:textId="77777777" w:rsidR="00114789" w:rsidRPr="00B92FD5" w:rsidRDefault="00114789" w:rsidP="00A642F9">
            <w:pPr>
              <w:autoSpaceDE w:val="0"/>
              <w:autoSpaceDN w:val="0"/>
              <w:adjustRightInd w:val="0"/>
              <w:spacing w:after="120"/>
              <w:rPr>
                <w:b/>
                <w:bCs/>
                <w:lang w:val="es-ES_tradnl" w:eastAsia="es-ES" w:bidi="es-ES"/>
              </w:rPr>
            </w:pPr>
            <w:r w:rsidRPr="00B92FD5">
              <w:rPr>
                <w:b/>
                <w:lang w:val="es-ES_tradnl" w:eastAsia="es-ES" w:bidi="es-ES"/>
              </w:rPr>
              <w:t xml:space="preserve">3. Nombre comercial y nombre del productor, si está disponible: </w:t>
            </w:r>
            <w:proofErr w:type="spellStart"/>
            <w:r w:rsidRPr="00B92FD5">
              <w:rPr>
                <w:b/>
                <w:lang w:val="es-ES_tradnl" w:eastAsia="es-ES" w:bidi="es-ES"/>
              </w:rPr>
              <w:t>Fentión</w:t>
            </w:r>
            <w:proofErr w:type="spellEnd"/>
            <w:r w:rsidRPr="00B92FD5">
              <w:rPr>
                <w:b/>
                <w:lang w:val="es-ES_tradnl" w:eastAsia="es-ES" w:bidi="es-ES"/>
              </w:rPr>
              <w:t xml:space="preserve"> 640 ULV producido en Senegal por </w:t>
            </w:r>
          </w:p>
          <w:p w14:paraId="7FBD749E" w14:textId="77777777" w:rsidR="00114789" w:rsidRPr="00B92FD5" w:rsidRDefault="00114789" w:rsidP="00A642F9">
            <w:pPr>
              <w:autoSpaceDE w:val="0"/>
              <w:autoSpaceDN w:val="0"/>
              <w:adjustRightInd w:val="0"/>
              <w:spacing w:after="120"/>
              <w:rPr>
                <w:b/>
                <w:bCs/>
                <w:lang w:val="es-ES_tradnl" w:eastAsia="es-ES" w:bidi="es-ES"/>
              </w:rPr>
            </w:pPr>
            <w:r w:rsidRPr="00B92FD5">
              <w:rPr>
                <w:b/>
                <w:lang w:val="es-ES_tradnl" w:eastAsia="es-ES" w:bidi="es-ES"/>
              </w:rPr>
              <w:t>“</w:t>
            </w:r>
            <w:proofErr w:type="spellStart"/>
            <w:r w:rsidRPr="00B92FD5">
              <w:rPr>
                <w:b/>
                <w:lang w:val="es-ES_tradnl" w:eastAsia="es-ES" w:bidi="es-ES"/>
              </w:rPr>
              <w:t>Arysta</w:t>
            </w:r>
            <w:proofErr w:type="spellEnd"/>
            <w:r w:rsidRPr="00B92FD5">
              <w:rPr>
                <w:b/>
                <w:lang w:val="es-ES_tradnl" w:eastAsia="es-ES" w:bidi="es-ES"/>
              </w:rPr>
              <w:t xml:space="preserve"> life science”</w:t>
            </w:r>
          </w:p>
          <w:p w14:paraId="222FCB4F" w14:textId="77777777" w:rsidR="00114789" w:rsidRPr="00B92FD5" w:rsidRDefault="00114789" w:rsidP="00A642F9">
            <w:pPr>
              <w:autoSpaceDE w:val="0"/>
              <w:autoSpaceDN w:val="0"/>
              <w:adjustRightInd w:val="0"/>
              <w:spacing w:after="120"/>
              <w:rPr>
                <w:lang w:val="es-ES_tradnl" w:eastAsia="es-ES" w:bidi="es-ES"/>
              </w:rPr>
            </w:pPr>
            <w:r w:rsidRPr="00B92FD5">
              <w:rPr>
                <w:lang w:val="es-ES_tradnl" w:eastAsia="es-ES" w:bidi="es-ES"/>
              </w:rPr>
              <w:t>...............................................................................................................................................................</w:t>
            </w:r>
          </w:p>
          <w:p w14:paraId="1E975D8F" w14:textId="77777777" w:rsidR="00114789" w:rsidRPr="00B92FD5" w:rsidRDefault="00114789" w:rsidP="00A642F9">
            <w:pPr>
              <w:autoSpaceDE w:val="0"/>
              <w:autoSpaceDN w:val="0"/>
              <w:adjustRightInd w:val="0"/>
              <w:spacing w:after="120"/>
              <w:rPr>
                <w:b/>
                <w:bCs/>
                <w:lang w:val="es-ES_tradnl" w:eastAsia="es-ES" w:bidi="es-ES"/>
              </w:rPr>
            </w:pPr>
            <w:r w:rsidRPr="00B92FD5">
              <w:rPr>
                <w:b/>
                <w:lang w:val="es-ES_tradnl" w:eastAsia="es-ES" w:bidi="es-ES"/>
              </w:rPr>
              <w:t>4. Nombre del ingrediente o ingredientes activos de la formulación:</w:t>
            </w:r>
            <w:r w:rsidRPr="00B92FD5">
              <w:rPr>
                <w:lang w:val="es-ES_tradnl" w:eastAsia="es-ES" w:bidi="es-ES"/>
              </w:rPr>
              <w:t xml:space="preserve"> </w:t>
            </w:r>
            <w:proofErr w:type="spellStart"/>
            <w:r w:rsidRPr="00B92FD5">
              <w:rPr>
                <w:b/>
                <w:lang w:val="es-ES_tradnl" w:eastAsia="es-ES" w:bidi="es-ES"/>
              </w:rPr>
              <w:t>Fentión</w:t>
            </w:r>
            <w:proofErr w:type="spellEnd"/>
          </w:p>
          <w:p w14:paraId="2FECF1D8" w14:textId="77777777" w:rsidR="00114789" w:rsidRPr="00B92FD5" w:rsidRDefault="00114789" w:rsidP="00A642F9">
            <w:pPr>
              <w:autoSpaceDE w:val="0"/>
              <w:autoSpaceDN w:val="0"/>
              <w:adjustRightInd w:val="0"/>
              <w:spacing w:after="120"/>
              <w:rPr>
                <w:lang w:val="es-ES_tradnl" w:eastAsia="es-ES" w:bidi="es-ES"/>
              </w:rPr>
            </w:pPr>
            <w:r w:rsidRPr="00B92FD5">
              <w:rPr>
                <w:lang w:val="es-ES_tradnl" w:eastAsia="es-ES" w:bidi="es-ES"/>
              </w:rPr>
              <w:t>...............................................................................................................................................................</w:t>
            </w:r>
          </w:p>
          <w:p w14:paraId="3006BC78" w14:textId="77777777" w:rsidR="00114789" w:rsidRPr="00B92FD5" w:rsidRDefault="00114789" w:rsidP="00A642F9">
            <w:pPr>
              <w:autoSpaceDE w:val="0"/>
              <w:autoSpaceDN w:val="0"/>
              <w:adjustRightInd w:val="0"/>
              <w:spacing w:after="120"/>
              <w:rPr>
                <w:b/>
                <w:bCs/>
                <w:lang w:val="es-ES_tradnl" w:eastAsia="es-ES" w:bidi="es-ES"/>
              </w:rPr>
            </w:pPr>
            <w:r w:rsidRPr="00B92FD5">
              <w:rPr>
                <w:b/>
                <w:lang w:val="es-ES_tradnl" w:eastAsia="es-ES" w:bidi="es-ES"/>
              </w:rPr>
              <w:t>5. Cantidad relativa de cada ingrediente activo de la formulación (% concentración, g/l, etc.): 640 g/litro</w:t>
            </w:r>
          </w:p>
          <w:p w14:paraId="0D7908A3" w14:textId="77777777" w:rsidR="00114789" w:rsidRPr="00B92FD5" w:rsidRDefault="00114789" w:rsidP="00A642F9">
            <w:pPr>
              <w:autoSpaceDE w:val="0"/>
              <w:autoSpaceDN w:val="0"/>
              <w:adjustRightInd w:val="0"/>
              <w:spacing w:after="120"/>
              <w:rPr>
                <w:lang w:val="es-ES_tradnl" w:eastAsia="es-ES" w:bidi="es-ES"/>
              </w:rPr>
            </w:pPr>
            <w:r w:rsidRPr="00B92FD5">
              <w:rPr>
                <w:lang w:val="es-ES_tradnl" w:eastAsia="es-ES" w:bidi="es-ES"/>
              </w:rPr>
              <w:t>...............................................................................................................................................................</w:t>
            </w:r>
          </w:p>
          <w:p w14:paraId="774CFBCD" w14:textId="77777777" w:rsidR="00114789" w:rsidRPr="00B92FD5" w:rsidRDefault="00114789" w:rsidP="00A642F9">
            <w:pPr>
              <w:spacing w:after="120"/>
              <w:rPr>
                <w:lang w:val="es-ES_tradnl" w:eastAsia="es-ES" w:bidi="es-ES"/>
              </w:rPr>
            </w:pPr>
            <w:r w:rsidRPr="00B92FD5">
              <w:rPr>
                <w:b/>
                <w:lang w:val="es-ES_tradnl" w:eastAsia="es-ES" w:bidi="es-ES"/>
              </w:rPr>
              <w:t>6. Adjuntar copia de la(s) etiqueta(s), si están disponibles.</w:t>
            </w:r>
            <w:r w:rsidRPr="00B92FD5">
              <w:rPr>
                <w:lang w:val="es-ES_tradnl" w:eastAsia="es-ES" w:bidi="es-ES"/>
              </w:rPr>
              <w:t xml:space="preserve"> </w:t>
            </w:r>
          </w:p>
          <w:p w14:paraId="5F64D637" w14:textId="77777777" w:rsidR="00114789" w:rsidRPr="00B92FD5" w:rsidRDefault="00114789" w:rsidP="00A642F9">
            <w:pPr>
              <w:rPr>
                <w:i/>
                <w:lang w:val="es-ES_tradnl" w:eastAsia="es-ES" w:bidi="es-ES"/>
              </w:rPr>
            </w:pPr>
            <w:r w:rsidRPr="00B92FD5">
              <w:rPr>
                <w:i/>
                <w:lang w:val="es-ES_tradnl" w:eastAsia="es-ES" w:bidi="es-ES"/>
              </w:rPr>
              <w:t xml:space="preserve"> </w:t>
            </w:r>
          </w:p>
        </w:tc>
      </w:tr>
      <w:tr w:rsidR="00114789" w:rsidRPr="00ED5AB4" w14:paraId="1D40A95E" w14:textId="77777777" w:rsidTr="00A642F9">
        <w:tc>
          <w:tcPr>
            <w:tcW w:w="9576" w:type="dxa"/>
            <w:tcBorders>
              <w:top w:val="double" w:sz="4" w:space="0" w:color="auto"/>
              <w:left w:val="double" w:sz="4" w:space="0" w:color="auto"/>
              <w:bottom w:val="nil"/>
              <w:right w:val="double" w:sz="4" w:space="0" w:color="auto"/>
            </w:tcBorders>
            <w:shd w:val="clear" w:color="auto" w:fill="D9D9D9"/>
          </w:tcPr>
          <w:p w14:paraId="181B8BED" w14:textId="77777777" w:rsidR="00114789" w:rsidRPr="00B92FD5" w:rsidRDefault="00114789" w:rsidP="00A642F9">
            <w:pPr>
              <w:spacing w:before="120"/>
              <w:jc w:val="center"/>
              <w:rPr>
                <w:i/>
                <w:szCs w:val="24"/>
                <w:lang w:val="es-ES_tradnl" w:eastAsia="es-ES" w:bidi="es-ES"/>
              </w:rPr>
            </w:pPr>
            <w:r w:rsidRPr="00B92FD5">
              <w:rPr>
                <w:b/>
                <w:lang w:val="es-ES_tradnl" w:eastAsia="es-ES" w:bidi="es-ES"/>
              </w:rPr>
              <w:t xml:space="preserve">II. Descripción del incidente: </w:t>
            </w:r>
            <w:r w:rsidRPr="00B92FD5">
              <w:rPr>
                <w:i/>
                <w:lang w:val="es-ES_tradnl" w:eastAsia="es-ES" w:bidi="es-ES"/>
              </w:rPr>
              <w:t>Cómo se utilizó la formulación</w:t>
            </w:r>
          </w:p>
          <w:p w14:paraId="73D3BE83" w14:textId="77777777" w:rsidR="00114789" w:rsidRPr="00B92FD5" w:rsidRDefault="00114789" w:rsidP="00A642F9">
            <w:pPr>
              <w:jc w:val="center"/>
              <w:rPr>
                <w:b/>
                <w:szCs w:val="24"/>
                <w:lang w:val="es-ES_tradnl" w:eastAsia="es-ES" w:bidi="es-ES"/>
              </w:rPr>
            </w:pPr>
          </w:p>
        </w:tc>
      </w:tr>
      <w:tr w:rsidR="00114789" w:rsidRPr="00ED5AB4" w14:paraId="4AA9D085" w14:textId="77777777" w:rsidTr="00A642F9">
        <w:tc>
          <w:tcPr>
            <w:tcW w:w="9576" w:type="dxa"/>
            <w:tcBorders>
              <w:top w:val="double" w:sz="4" w:space="0" w:color="auto"/>
              <w:left w:val="double" w:sz="4" w:space="0" w:color="auto"/>
              <w:bottom w:val="double" w:sz="4" w:space="0" w:color="auto"/>
              <w:right w:val="double" w:sz="4" w:space="0" w:color="auto"/>
            </w:tcBorders>
          </w:tcPr>
          <w:p w14:paraId="54AE45B3" w14:textId="77777777" w:rsidR="00114789" w:rsidRPr="00B92FD5" w:rsidRDefault="00114789" w:rsidP="00A642F9">
            <w:pPr>
              <w:autoSpaceDE w:val="0"/>
              <w:autoSpaceDN w:val="0"/>
              <w:adjustRightInd w:val="0"/>
              <w:spacing w:after="120"/>
              <w:rPr>
                <w:b/>
                <w:bCs/>
                <w:lang w:val="es-ES_tradnl" w:eastAsia="es-ES" w:bidi="es-ES"/>
              </w:rPr>
            </w:pPr>
            <w:r w:rsidRPr="00B92FD5">
              <w:rPr>
                <w:b/>
                <w:lang w:val="es-ES_tradnl" w:eastAsia="es-ES" w:bidi="es-ES"/>
              </w:rPr>
              <w:t>7. Fecha del incidente:</w:t>
            </w:r>
            <w:r w:rsidRPr="00B92FD5">
              <w:rPr>
                <w:lang w:val="es-ES_tradnl" w:eastAsia="es-ES" w:bidi="es-ES"/>
              </w:rPr>
              <w:t xml:space="preserve"> </w:t>
            </w:r>
            <w:r w:rsidRPr="00B92FD5">
              <w:rPr>
                <w:b/>
                <w:lang w:val="es-ES_tradnl" w:eastAsia="es-ES" w:bidi="es-ES"/>
              </w:rPr>
              <w:t>la noche del 17 de junio de 2011</w:t>
            </w:r>
          </w:p>
          <w:p w14:paraId="3CB4D9F7" w14:textId="77777777" w:rsidR="00114789" w:rsidRPr="00B92FD5" w:rsidRDefault="00114789" w:rsidP="00A642F9">
            <w:pPr>
              <w:autoSpaceDE w:val="0"/>
              <w:autoSpaceDN w:val="0"/>
              <w:adjustRightInd w:val="0"/>
              <w:spacing w:after="120"/>
              <w:rPr>
                <w:b/>
                <w:bCs/>
                <w:lang w:val="es-ES_tradnl" w:eastAsia="es-ES" w:bidi="es-ES"/>
              </w:rPr>
            </w:pPr>
            <w:r w:rsidRPr="00B92FD5">
              <w:rPr>
                <w:b/>
                <w:lang w:val="es-ES_tradnl" w:eastAsia="es-ES" w:bidi="es-ES"/>
              </w:rPr>
              <w:t>8. Lugar del incidente:</w:t>
            </w:r>
            <w:r w:rsidRPr="00B92FD5">
              <w:rPr>
                <w:lang w:val="es-ES_tradnl" w:eastAsia="es-ES" w:bidi="es-ES"/>
              </w:rPr>
              <w:t xml:space="preserve"> pueblo/ciudad: GOGOI (</w:t>
            </w:r>
            <w:proofErr w:type="spellStart"/>
            <w:r w:rsidRPr="00B92FD5">
              <w:rPr>
                <w:lang w:val="es-ES_tradnl" w:eastAsia="es-ES" w:bidi="es-ES"/>
              </w:rPr>
              <w:t>Bokoro</w:t>
            </w:r>
            <w:proofErr w:type="spellEnd"/>
            <w:r w:rsidRPr="00B92FD5">
              <w:rPr>
                <w:lang w:val="es-ES_tradnl" w:eastAsia="es-ES" w:bidi="es-ES"/>
              </w:rPr>
              <w:t>)</w:t>
            </w:r>
          </w:p>
          <w:p w14:paraId="011AAED4" w14:textId="77777777" w:rsidR="00114789" w:rsidRPr="00B92FD5" w:rsidRDefault="00114789" w:rsidP="00A642F9">
            <w:pPr>
              <w:autoSpaceDE w:val="0"/>
              <w:autoSpaceDN w:val="0"/>
              <w:adjustRightInd w:val="0"/>
              <w:spacing w:after="120"/>
              <w:rPr>
                <w:lang w:val="es-ES_tradnl" w:eastAsia="es-ES" w:bidi="es-ES"/>
              </w:rPr>
            </w:pPr>
            <w:r w:rsidRPr="00B92FD5">
              <w:rPr>
                <w:lang w:val="es-ES_tradnl" w:eastAsia="es-ES" w:bidi="es-ES"/>
              </w:rPr>
              <w:tab/>
            </w:r>
            <w:r w:rsidRPr="00B92FD5">
              <w:rPr>
                <w:lang w:val="es-ES_tradnl" w:eastAsia="es-ES" w:bidi="es-ES"/>
              </w:rPr>
              <w:tab/>
              <w:t xml:space="preserve">provincia/estado/región </w:t>
            </w:r>
            <w:proofErr w:type="spellStart"/>
            <w:r w:rsidRPr="00B92FD5">
              <w:rPr>
                <w:b/>
                <w:lang w:val="es-ES_tradnl" w:eastAsia="es-ES" w:bidi="es-ES"/>
              </w:rPr>
              <w:t>Hadjer-Lamis</w:t>
            </w:r>
            <w:proofErr w:type="spellEnd"/>
            <w:r w:rsidRPr="00B92FD5">
              <w:rPr>
                <w:b/>
                <w:lang w:val="es-ES_tradnl" w:eastAsia="es-ES" w:bidi="es-ES"/>
              </w:rPr>
              <w:t xml:space="preserve"> </w:t>
            </w:r>
            <w:r w:rsidRPr="00B92FD5">
              <w:rPr>
                <w:lang w:val="es-ES_tradnl" w:eastAsia="es-ES" w:bidi="es-ES"/>
              </w:rPr>
              <w:t>..................................................</w:t>
            </w:r>
          </w:p>
          <w:p w14:paraId="77B1A32D" w14:textId="77777777" w:rsidR="00114789" w:rsidRPr="00B92FD5" w:rsidRDefault="00114789" w:rsidP="00A642F9">
            <w:pPr>
              <w:autoSpaceDE w:val="0"/>
              <w:autoSpaceDN w:val="0"/>
              <w:adjustRightInd w:val="0"/>
              <w:spacing w:after="120"/>
              <w:rPr>
                <w:lang w:val="es-ES_tradnl" w:eastAsia="es-ES" w:bidi="es-ES"/>
              </w:rPr>
            </w:pPr>
            <w:r w:rsidRPr="00B92FD5">
              <w:rPr>
                <w:lang w:val="es-ES_tradnl" w:eastAsia="es-ES" w:bidi="es-ES"/>
              </w:rPr>
              <w:tab/>
            </w:r>
            <w:r w:rsidRPr="00B92FD5">
              <w:rPr>
                <w:lang w:val="es-ES_tradnl" w:eastAsia="es-ES" w:bidi="es-ES"/>
              </w:rPr>
              <w:tab/>
              <w:t xml:space="preserve">país: </w:t>
            </w:r>
            <w:r w:rsidRPr="00B92FD5">
              <w:rPr>
                <w:b/>
                <w:lang w:val="es-ES_tradnl" w:eastAsia="es-ES" w:bidi="es-ES"/>
              </w:rPr>
              <w:t xml:space="preserve">Chad </w:t>
            </w:r>
            <w:r w:rsidRPr="00B92FD5">
              <w:rPr>
                <w:lang w:val="es-ES_tradnl" w:eastAsia="es-ES" w:bidi="es-ES"/>
              </w:rPr>
              <w:t>......................................................................................</w:t>
            </w:r>
          </w:p>
          <w:p w14:paraId="74CDDCF9" w14:textId="77777777" w:rsidR="00114789" w:rsidRPr="00B92FD5" w:rsidRDefault="00114789" w:rsidP="00A642F9">
            <w:pPr>
              <w:autoSpaceDE w:val="0"/>
              <w:autoSpaceDN w:val="0"/>
              <w:adjustRightInd w:val="0"/>
              <w:spacing w:before="200"/>
              <w:rPr>
                <w:b/>
                <w:lang w:val="es-ES_tradnl" w:eastAsia="es-ES" w:bidi="es-ES"/>
              </w:rPr>
            </w:pPr>
            <w:r w:rsidRPr="00B92FD5">
              <w:rPr>
                <w:b/>
                <w:lang w:val="es-ES_tradnl" w:eastAsia="es-ES" w:bidi="es-ES"/>
              </w:rPr>
              <w:t>9. Persona expuesta (la identidad deberá ser verificada y registrada antes de enviarse el formulario)</w:t>
            </w:r>
          </w:p>
          <w:p w14:paraId="18A329EE" w14:textId="77777777" w:rsidR="00114789" w:rsidRPr="00B92FD5" w:rsidRDefault="00114789" w:rsidP="00A642F9">
            <w:pPr>
              <w:autoSpaceDE w:val="0"/>
              <w:autoSpaceDN w:val="0"/>
              <w:adjustRightInd w:val="0"/>
              <w:spacing w:before="200"/>
              <w:rPr>
                <w:b/>
                <w:bCs/>
                <w:lang w:val="es-ES_tradnl" w:eastAsia="es-ES" w:bidi="es-ES"/>
              </w:rPr>
            </w:pPr>
            <w:r w:rsidRPr="00B92FD5">
              <w:rPr>
                <w:lang w:val="es-ES_tradnl" w:eastAsia="es-ES" w:bidi="es-ES"/>
              </w:rPr>
              <w:tab/>
              <w:t>Sexo:</w:t>
            </w:r>
            <w:r w:rsidRPr="00B92FD5">
              <w:rPr>
                <w:lang w:val="es-ES_tradnl" w:eastAsia="es-ES" w:bidi="es-ES"/>
              </w:rPr>
              <w:tab/>
            </w:r>
            <w:r w:rsidRPr="00B92FD5">
              <w:rPr>
                <w:lang w:val="es-ES_tradnl" w:eastAsia="es-ES" w:bidi="es-ES"/>
              </w:rPr>
              <w:tab/>
            </w:r>
            <w:r w:rsidRPr="00B92FD5">
              <w:rPr>
                <w:rFonts w:ascii="Courier New" w:hAnsi="Courier New"/>
                <w:b/>
                <w:sz w:val="24"/>
                <w:lang w:val="es-ES_tradnl" w:eastAsia="es-ES" w:bidi="es-ES"/>
              </w:rPr>
              <w:t>X</w:t>
            </w:r>
            <w:r w:rsidRPr="00B92FD5">
              <w:rPr>
                <w:rFonts w:ascii="Wingdings-Regular"/>
                <w:lang w:val="es-ES_tradnl" w:eastAsia="es-ES" w:bidi="es-ES"/>
              </w:rPr>
              <w:t xml:space="preserve"> </w:t>
            </w:r>
            <w:r w:rsidRPr="00B92FD5">
              <w:rPr>
                <w:lang w:val="es-ES_tradnl" w:eastAsia="es-ES" w:bidi="es-ES"/>
              </w:rPr>
              <w:t>hombre</w:t>
            </w:r>
            <w:r w:rsidRPr="00B92FD5">
              <w:rPr>
                <w:b/>
                <w:lang w:val="es-ES_tradnl" w:eastAsia="es-ES" w:bidi="es-ES"/>
              </w:rPr>
              <w:t xml:space="preserve"> </w:t>
            </w:r>
            <w:r w:rsidRPr="00B92FD5">
              <w:rPr>
                <w:lang w:val="es-ES_tradnl" w:eastAsia="es-ES" w:bidi="es-ES"/>
              </w:rPr>
              <w:tab/>
            </w:r>
            <w:r w:rsidRPr="00B92FD5">
              <w:rPr>
                <w:b/>
                <w:lang w:val="es-ES_tradnl" w:eastAsia="es-ES" w:bidi="es-ES"/>
              </w:rPr>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mujer </w:t>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lang w:val="es-ES_tradnl" w:eastAsia="es-ES" w:bidi="es-ES"/>
              </w:rPr>
              <w:t xml:space="preserve"> edad: </w:t>
            </w:r>
            <w:r w:rsidRPr="00B92FD5">
              <w:rPr>
                <w:b/>
                <w:lang w:val="es-ES_tradnl" w:eastAsia="es-ES" w:bidi="es-ES"/>
              </w:rPr>
              <w:t>60 años aproximadamente</w:t>
            </w:r>
          </w:p>
          <w:p w14:paraId="468C5179" w14:textId="77777777" w:rsidR="00114789" w:rsidRPr="00B92FD5" w:rsidRDefault="00114789" w:rsidP="00A642F9">
            <w:pPr>
              <w:autoSpaceDE w:val="0"/>
              <w:autoSpaceDN w:val="0"/>
              <w:adjustRightInd w:val="0"/>
              <w:spacing w:before="200"/>
              <w:rPr>
                <w:lang w:val="es-ES_tradnl" w:eastAsia="es-ES" w:bidi="es-ES"/>
              </w:rPr>
            </w:pPr>
            <w:r w:rsidRPr="00B92FD5">
              <w:rPr>
                <w:lang w:val="es-ES_tradnl" w:eastAsia="es-ES" w:bidi="es-ES"/>
              </w:rPr>
              <w:tab/>
              <w:t xml:space="preserve">Si se desconoce la edad: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niño (&lt;14 años) </w:t>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adolescente (14-19 años)</w:t>
            </w:r>
            <w:r w:rsidRPr="00B92FD5">
              <w:rPr>
                <w:lang w:val="es-ES_tradnl" w:eastAsia="es-ES" w:bidi="es-ES"/>
              </w:rPr>
              <w:tab/>
            </w:r>
            <w:r w:rsidRPr="00B92FD5">
              <w:rPr>
                <w:rFonts w:ascii="Courier New" w:hAnsi="Courier New"/>
                <w:b/>
                <w:sz w:val="24"/>
                <w:lang w:val="es-ES_tradnl" w:eastAsia="es-ES" w:bidi="es-ES"/>
              </w:rPr>
              <w:t>X</w:t>
            </w:r>
            <w:r w:rsidRPr="00B92FD5">
              <w:rPr>
                <w:rFonts w:ascii="Wingdings-Regular"/>
                <w:lang w:val="es-ES_tradnl" w:eastAsia="es-ES" w:bidi="es-ES"/>
              </w:rPr>
              <w:t xml:space="preserve"> </w:t>
            </w:r>
            <w:r w:rsidRPr="00B92FD5">
              <w:rPr>
                <w:lang w:val="es-ES_tradnl" w:eastAsia="es-ES" w:bidi="es-ES"/>
              </w:rPr>
              <w:t>adulto (&gt;19 años)</w:t>
            </w:r>
          </w:p>
          <w:p w14:paraId="101E69C6" w14:textId="77777777" w:rsidR="00114789" w:rsidRPr="00B92FD5" w:rsidRDefault="00114789" w:rsidP="00A642F9">
            <w:pPr>
              <w:autoSpaceDE w:val="0"/>
              <w:autoSpaceDN w:val="0"/>
              <w:adjustRightInd w:val="0"/>
              <w:spacing w:beforeLines="40" w:before="96"/>
              <w:rPr>
                <w:lang w:val="es-ES_tradnl" w:eastAsia="es-ES" w:bidi="es-ES"/>
              </w:rPr>
            </w:pPr>
            <w:r w:rsidRPr="00B92FD5">
              <w:rPr>
                <w:b/>
                <w:lang w:val="es-ES_tradnl" w:eastAsia="es-ES" w:bidi="es-ES"/>
              </w:rPr>
              <w:t>10. Actividad principal en el momento de la exposición (</w:t>
            </w:r>
            <w:r w:rsidRPr="00B92FD5">
              <w:rPr>
                <w:b/>
                <w:i/>
                <w:lang w:val="es-ES_tradnl" w:eastAsia="es-ES" w:bidi="es-ES"/>
              </w:rPr>
              <w:t>marque uno o más</w:t>
            </w:r>
            <w:r w:rsidRPr="00B92FD5">
              <w:rPr>
                <w:b/>
                <w:lang w:val="es-ES_tradnl" w:eastAsia="es-ES" w:bidi="es-ES"/>
              </w:rPr>
              <w:t>):</w:t>
            </w:r>
          </w:p>
          <w:p w14:paraId="79CC8A19" w14:textId="77777777" w:rsidR="00114789" w:rsidRPr="00B92FD5" w:rsidRDefault="00114789" w:rsidP="00A642F9">
            <w:pPr>
              <w:autoSpaceDE w:val="0"/>
              <w:autoSpaceDN w:val="0"/>
              <w:adjustRightInd w:val="0"/>
              <w:spacing w:beforeLines="40" w:before="96"/>
              <w:ind w:firstLine="34"/>
              <w:rPr>
                <w:i/>
                <w:iCs/>
                <w:lang w:val="es-ES_tradnl" w:eastAsia="es-ES" w:bidi="es-ES"/>
              </w:rPr>
            </w:pPr>
            <w:r w:rsidRPr="00B92FD5">
              <w:rPr>
                <w:rFonts w:ascii="Courier New" w:hAnsi="Courier New"/>
                <w:lang w:val="es-ES_tradnl" w:eastAsia="es-ES" w:bidi="es-ES"/>
              </w:rPr>
              <w:t xml:space="preserve">   □</w:t>
            </w:r>
            <w:r w:rsidRPr="00B92FD5">
              <w:rPr>
                <w:b/>
                <w:lang w:val="es-ES_tradnl" w:eastAsia="es-ES" w:bidi="es-ES"/>
              </w:rPr>
              <w:t xml:space="preserve"> </w:t>
            </w:r>
            <w:r w:rsidRPr="00B92FD5">
              <w:rPr>
                <w:i/>
                <w:lang w:val="es-ES_tradnl" w:eastAsia="es-ES" w:bidi="es-ES"/>
              </w:rPr>
              <w:t>aplicación en el campo</w:t>
            </w:r>
            <w:r w:rsidRPr="00B92FD5">
              <w:rPr>
                <w:b/>
                <w:i/>
                <w:lang w:val="es-ES_tradnl" w:eastAsia="es-ES" w:bidi="es-ES"/>
              </w:rPr>
              <w:t xml:space="preserve">   </w:t>
            </w:r>
            <w:r w:rsidRPr="00B92FD5">
              <w:rPr>
                <w:rFonts w:ascii="Courier New" w:hAnsi="Courier New"/>
                <w:b/>
                <w:sz w:val="24"/>
                <w:lang w:val="es-ES_tradnl" w:eastAsia="es-ES" w:bidi="es-ES"/>
              </w:rPr>
              <w:t>X</w:t>
            </w:r>
            <w:r w:rsidRPr="00B92FD5">
              <w:rPr>
                <w:i/>
                <w:lang w:val="es-ES_tradnl" w:eastAsia="es-ES" w:bidi="es-ES"/>
              </w:rPr>
              <w:t xml:space="preserve"> mezcla/carga </w:t>
            </w:r>
            <w:r w:rsidRPr="00B92FD5">
              <w:rPr>
                <w:i/>
                <w:lang w:val="es-ES_tradnl" w:eastAsia="es-ES" w:bidi="es-ES"/>
              </w:rPr>
              <w:tab/>
            </w:r>
            <w:r w:rsidRPr="00B92FD5">
              <w:rPr>
                <w:i/>
                <w:lang w:val="es-ES_tradnl" w:eastAsia="es-ES" w:bidi="es-ES"/>
              </w:rPr>
              <w:tab/>
            </w:r>
            <w:r w:rsidRPr="00B92FD5">
              <w:rPr>
                <w:i/>
                <w:lang w:val="es-ES_tradnl" w:eastAsia="es-ES" w:bidi="es-ES"/>
              </w:rPr>
              <w:tab/>
            </w:r>
            <w:r w:rsidRPr="00B92FD5">
              <w:rPr>
                <w:i/>
                <w:lang w:val="es-ES_tradnl" w:eastAsia="es-ES" w:bidi="es-ES"/>
              </w:rPr>
              <w:tab/>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tratamiento veterinario</w:t>
            </w:r>
          </w:p>
          <w:p w14:paraId="36DAD1A0" w14:textId="77777777" w:rsidR="00114789" w:rsidRPr="00B92FD5" w:rsidRDefault="00114789" w:rsidP="00A642F9">
            <w:pPr>
              <w:autoSpaceDE w:val="0"/>
              <w:autoSpaceDN w:val="0"/>
              <w:adjustRightInd w:val="0"/>
              <w:spacing w:beforeLines="40" w:before="96"/>
              <w:ind w:firstLine="34"/>
              <w:rPr>
                <w:i/>
                <w:iCs/>
                <w:lang w:val="es-ES_tradnl" w:eastAsia="es-ES" w:bidi="es-ES"/>
              </w:rPr>
            </w:pPr>
            <w:r w:rsidRPr="00B92FD5">
              <w:rPr>
                <w:rFonts w:ascii="Courier New" w:hAnsi="Courier New"/>
                <w:lang w:val="es-ES_tradnl" w:eastAsia="es-ES" w:bidi="es-ES"/>
              </w:rPr>
              <w:t xml:space="preserve">   □</w:t>
            </w:r>
            <w:r w:rsidRPr="00B92FD5">
              <w:rPr>
                <w:rFonts w:ascii="Wingdings-Regular"/>
                <w:lang w:val="es-ES_tradnl" w:eastAsia="es-ES" w:bidi="es-ES"/>
              </w:rPr>
              <w:t xml:space="preserve"> </w:t>
            </w:r>
            <w:r w:rsidRPr="00B92FD5">
              <w:rPr>
                <w:i/>
                <w:lang w:val="es-ES_tradnl" w:eastAsia="es-ES" w:bidi="es-ES"/>
              </w:rPr>
              <w:t xml:space="preserve">aplicación en el hogar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aplicación para el control de vectores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tratamiento para seres humanos</w:t>
            </w:r>
          </w:p>
          <w:p w14:paraId="03A8BA60" w14:textId="77777777" w:rsidR="00114789" w:rsidRPr="00B92FD5" w:rsidRDefault="00114789" w:rsidP="00A642F9">
            <w:pPr>
              <w:autoSpaceDE w:val="0"/>
              <w:autoSpaceDN w:val="0"/>
              <w:adjustRightInd w:val="0"/>
              <w:spacing w:beforeLines="40" w:before="96"/>
              <w:ind w:firstLine="34"/>
              <w:rPr>
                <w:b/>
                <w:iCs/>
                <w:lang w:val="es-ES_tradnl" w:eastAsia="es-ES" w:bidi="es-ES"/>
              </w:rPr>
            </w:pPr>
            <w:r w:rsidRPr="00B92FD5">
              <w:rPr>
                <w:rFonts w:ascii="Courier New" w:hAnsi="Courier New"/>
                <w:lang w:val="es-ES_tradnl" w:eastAsia="es-ES" w:bidi="es-ES"/>
              </w:rPr>
              <w:t xml:space="preserve">   □</w:t>
            </w:r>
            <w:r w:rsidRPr="00B92FD5">
              <w:rPr>
                <w:rFonts w:ascii="Wingdings-Regular"/>
                <w:lang w:val="es-ES_tradnl" w:eastAsia="es-ES" w:bidi="es-ES"/>
              </w:rPr>
              <w:t xml:space="preserve"> </w:t>
            </w:r>
            <w:r w:rsidRPr="00B92FD5">
              <w:rPr>
                <w:i/>
                <w:lang w:val="es-ES_tradnl" w:eastAsia="es-ES" w:bidi="es-ES"/>
              </w:rPr>
              <w:t>reingreso a un campo tratado</w:t>
            </w:r>
            <w:r w:rsidRPr="00B92FD5">
              <w:rPr>
                <w:i/>
                <w:lang w:val="es-ES_tradnl" w:eastAsia="es-ES" w:bidi="es-ES"/>
              </w:rPr>
              <w:tab/>
            </w:r>
            <w:r w:rsidRPr="00B92FD5">
              <w:rPr>
                <w:rFonts w:ascii="Courier New" w:hAnsi="Courier New"/>
                <w:b/>
                <w:sz w:val="24"/>
                <w:lang w:val="es-ES_tradnl" w:eastAsia="es-ES" w:bidi="es-ES"/>
              </w:rPr>
              <w:t>X</w:t>
            </w:r>
            <w:r w:rsidRPr="00B92FD5">
              <w:rPr>
                <w:rFonts w:ascii="Wingdings-Regular"/>
                <w:lang w:val="es-ES_tradnl" w:eastAsia="es-ES" w:bidi="es-ES"/>
              </w:rPr>
              <w:t xml:space="preserve"> </w:t>
            </w:r>
            <w:r w:rsidRPr="00B92FD5">
              <w:rPr>
                <w:i/>
                <w:lang w:val="es-ES_tradnl" w:eastAsia="es-ES" w:bidi="es-ES"/>
              </w:rPr>
              <w:t>otro, sírvase especificar:</w:t>
            </w:r>
            <w:r w:rsidRPr="00B92FD5">
              <w:rPr>
                <w:lang w:val="es-ES_tradnl" w:eastAsia="es-ES" w:bidi="es-ES"/>
              </w:rPr>
              <w:t xml:space="preserve"> </w:t>
            </w:r>
            <w:r w:rsidRPr="00B92FD5">
              <w:rPr>
                <w:b/>
                <w:lang w:val="es-ES_tradnl" w:eastAsia="es-ES" w:bidi="es-ES"/>
              </w:rPr>
              <w:t>pulverización de nidos de aves por la noche</w:t>
            </w:r>
          </w:p>
          <w:p w14:paraId="7B02A0C8" w14:textId="77777777" w:rsidR="00114789" w:rsidRPr="00B92FD5" w:rsidRDefault="00114789" w:rsidP="00A642F9">
            <w:pPr>
              <w:autoSpaceDE w:val="0"/>
              <w:autoSpaceDN w:val="0"/>
              <w:adjustRightInd w:val="0"/>
              <w:spacing w:beforeLines="40" w:before="96"/>
              <w:rPr>
                <w:lang w:val="es-ES_tradnl" w:eastAsia="es-ES" w:bidi="es-ES"/>
              </w:rPr>
            </w:pPr>
            <w:r w:rsidRPr="00B92FD5">
              <w:rPr>
                <w:b/>
                <w:lang w:val="es-ES_tradnl" w:eastAsia="es-ES" w:bidi="es-ES"/>
              </w:rPr>
              <w:t>11. ¿Se utilizó ropa de protección durante la aplicación</w:t>
            </w:r>
            <w:r w:rsidRPr="00B92FD5">
              <w:rPr>
                <w:lang w:val="es-ES_tradnl" w:eastAsia="es-ES" w:bidi="es-ES"/>
              </w:rPr>
              <w:t>?</w:t>
            </w:r>
            <w:r w:rsidRPr="00B92FD5">
              <w:rPr>
                <w:rFonts w:ascii="Courier New" w:hAnsi="Courier New"/>
                <w:lang w:val="es-ES_tradnl" w:eastAsia="es-ES" w:bidi="es-ES"/>
              </w:rPr>
              <w:tab/>
            </w:r>
            <w:r w:rsidRPr="00B92FD5">
              <w:rPr>
                <w:rFonts w:ascii="Courier New" w:hAnsi="Courier New"/>
                <w:lang w:val="es-ES_tradnl" w:eastAsia="es-ES" w:bidi="es-ES"/>
              </w:rPr>
              <w:tab/>
            </w:r>
            <w:r w:rsidRPr="00B92FD5">
              <w:rPr>
                <w:rFonts w:ascii="Courier New" w:hAnsi="Courier New"/>
                <w:lang w:val="es-ES_tradnl" w:eastAsia="es-ES" w:bidi="es-ES"/>
              </w:rPr>
              <w:tab/>
              <w:t>□</w:t>
            </w:r>
            <w:r w:rsidRPr="00B92FD5">
              <w:rPr>
                <w:rFonts w:ascii="Wingdings-Regular"/>
                <w:lang w:val="es-ES_tradnl" w:eastAsia="es-ES" w:bidi="es-ES"/>
              </w:rPr>
              <w:t xml:space="preserve"> </w:t>
            </w:r>
            <w:r w:rsidRPr="00B92FD5">
              <w:rPr>
                <w:lang w:val="es-ES_tradnl" w:eastAsia="es-ES" w:bidi="es-ES"/>
              </w:rPr>
              <w:t>no</w:t>
            </w:r>
            <w:r w:rsidRPr="00B92FD5">
              <w:rPr>
                <w:lang w:val="es-ES_tradnl" w:eastAsia="es-ES" w:bidi="es-ES"/>
              </w:rPr>
              <w:tab/>
            </w:r>
            <w:r w:rsidRPr="00B92FD5">
              <w:rPr>
                <w:lang w:val="es-ES_tradnl" w:eastAsia="es-ES" w:bidi="es-ES"/>
              </w:rPr>
              <w:tab/>
            </w:r>
            <w:r w:rsidRPr="00B92FD5">
              <w:rPr>
                <w:rFonts w:ascii="Courier New" w:hAnsi="Courier New"/>
                <w:b/>
                <w:sz w:val="24"/>
                <w:lang w:val="es-ES_tradnl" w:eastAsia="es-ES" w:bidi="es-ES"/>
              </w:rPr>
              <w:t>X</w:t>
            </w:r>
            <w:r w:rsidRPr="00B92FD5">
              <w:rPr>
                <w:rFonts w:ascii="Wingdings-Regular"/>
                <w:lang w:val="es-ES_tradnl" w:eastAsia="es-ES" w:bidi="es-ES"/>
              </w:rPr>
              <w:t xml:space="preserve"> </w:t>
            </w:r>
            <w:r w:rsidRPr="00B92FD5">
              <w:rPr>
                <w:lang w:val="es-ES_tradnl" w:eastAsia="es-ES" w:bidi="es-ES"/>
              </w:rPr>
              <w:t>sí</w:t>
            </w:r>
          </w:p>
          <w:p w14:paraId="2EDF036E" w14:textId="77777777" w:rsidR="00114789" w:rsidRPr="00B92FD5" w:rsidRDefault="00114789" w:rsidP="00A642F9">
            <w:pPr>
              <w:autoSpaceDE w:val="0"/>
              <w:autoSpaceDN w:val="0"/>
              <w:adjustRightInd w:val="0"/>
              <w:spacing w:beforeLines="40" w:before="96"/>
              <w:rPr>
                <w:lang w:val="es-ES_tradnl" w:eastAsia="es-ES" w:bidi="es-ES"/>
              </w:rPr>
            </w:pPr>
            <w:r w:rsidRPr="00B92FD5">
              <w:rPr>
                <w:lang w:val="es-ES_tradnl" w:eastAsia="es-ES" w:bidi="es-ES"/>
              </w:rPr>
              <w:tab/>
              <w:t xml:space="preserve">En caso negativo, sírvase explicar por qué: </w:t>
            </w:r>
            <w:r w:rsidRPr="00B92FD5">
              <w:rPr>
                <w:i/>
                <w:lang w:val="es-ES_tradnl" w:eastAsia="es-ES" w:bidi="es-ES"/>
              </w:rPr>
              <w:t>.........................................................................................................</w:t>
            </w:r>
          </w:p>
          <w:p w14:paraId="3C9366A8" w14:textId="77777777" w:rsidR="00114789" w:rsidRPr="00B92FD5" w:rsidRDefault="00114789" w:rsidP="00A642F9">
            <w:pPr>
              <w:autoSpaceDE w:val="0"/>
              <w:autoSpaceDN w:val="0"/>
              <w:adjustRightInd w:val="0"/>
              <w:spacing w:beforeLines="40" w:before="96"/>
              <w:rPr>
                <w:lang w:val="es-ES_tradnl" w:eastAsia="es-ES" w:bidi="es-ES"/>
              </w:rPr>
            </w:pPr>
            <w:r w:rsidRPr="00B92FD5">
              <w:rPr>
                <w:lang w:val="es-ES_tradnl" w:eastAsia="es-ES" w:bidi="es-ES"/>
              </w:rPr>
              <w:tab/>
              <w:t>En caso afirmativo, describa brevemente (marque una o más):</w:t>
            </w:r>
          </w:p>
          <w:p w14:paraId="7DD610BF"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rFonts w:ascii="Arial Unicode MS" w:hAnsi="Arial Unicode MS"/>
                <w:lang w:val="es-ES_tradnl" w:eastAsia="es-ES" w:bidi="es-ES"/>
              </w:rPr>
              <w:tab/>
              <w:t>X</w:t>
            </w:r>
            <w:r w:rsidRPr="00B92FD5">
              <w:rPr>
                <w:rFonts w:ascii="Wingdings-Regular"/>
                <w:lang w:val="es-ES_tradnl" w:eastAsia="es-ES" w:bidi="es-ES"/>
              </w:rPr>
              <w:t xml:space="preserve"> </w:t>
            </w:r>
            <w:r w:rsidRPr="00B92FD5">
              <w:rPr>
                <w:i/>
                <w:lang w:val="es-ES_tradnl" w:eastAsia="es-ES" w:bidi="es-ES"/>
              </w:rPr>
              <w:t>guantes</w:t>
            </w:r>
            <w:r w:rsidRPr="00B92FD5">
              <w:rPr>
                <w:i/>
                <w:lang w:val="es-ES_tradnl" w:eastAsia="es-ES" w:bidi="es-ES"/>
              </w:rPr>
              <w:tab/>
            </w:r>
            <w:r w:rsidRPr="00B92FD5">
              <w:rPr>
                <w:i/>
                <w:lang w:val="es-ES_tradnl" w:eastAsia="es-ES" w:bidi="es-ES"/>
              </w:rPr>
              <w:tab/>
              <w:t>X</w:t>
            </w:r>
            <w:r w:rsidRPr="00B92FD5">
              <w:rPr>
                <w:rFonts w:ascii="Wingdings-Regular"/>
                <w:lang w:val="es-ES_tradnl" w:eastAsia="es-ES" w:bidi="es-ES"/>
              </w:rPr>
              <w:t xml:space="preserve"> </w:t>
            </w:r>
            <w:r w:rsidRPr="00B92FD5">
              <w:rPr>
                <w:i/>
                <w:lang w:val="es-ES_tradnl" w:eastAsia="es-ES" w:bidi="es-ES"/>
              </w:rPr>
              <w:t>monos</w:t>
            </w:r>
            <w:r w:rsidRPr="00B92FD5">
              <w:rPr>
                <w:i/>
                <w:lang w:val="es-ES_tradnl" w:eastAsia="es-ES" w:bidi="es-ES"/>
              </w:rPr>
              <w:tab/>
            </w:r>
            <w:r w:rsidRPr="00B92FD5">
              <w:rPr>
                <w:i/>
                <w:lang w:val="es-ES_tradnl" w:eastAsia="es-ES" w:bidi="es-ES"/>
              </w:rPr>
              <w:tab/>
              <w:t>X</w:t>
            </w:r>
            <w:r w:rsidRPr="00B92FD5">
              <w:rPr>
                <w:rFonts w:ascii="Wingdings-Regular"/>
                <w:lang w:val="es-ES_tradnl" w:eastAsia="es-ES" w:bidi="es-ES"/>
              </w:rPr>
              <w:t xml:space="preserve"> </w:t>
            </w:r>
            <w:r w:rsidRPr="00B92FD5">
              <w:rPr>
                <w:i/>
                <w:lang w:val="es-ES_tradnl" w:eastAsia="es-ES" w:bidi="es-ES"/>
              </w:rPr>
              <w:t>gafas</w:t>
            </w:r>
            <w:r w:rsidRPr="00B92FD5">
              <w:rPr>
                <w:i/>
                <w:lang w:val="es-ES_tradnl" w:eastAsia="es-ES" w:bidi="es-ES"/>
              </w:rPr>
              <w:tab/>
            </w:r>
            <w:r w:rsidRPr="00B92FD5">
              <w:rPr>
                <w:i/>
                <w:lang w:val="es-ES_tradnl" w:eastAsia="es-ES" w:bidi="es-ES"/>
              </w:rPr>
              <w:tab/>
            </w:r>
            <w:r w:rsidRPr="00B92FD5">
              <w:rPr>
                <w:i/>
                <w:lang w:val="es-ES_tradnl" w:eastAsia="es-ES" w:bidi="es-ES"/>
              </w:rPr>
              <w:tab/>
            </w:r>
            <w:r w:rsidRPr="00B92FD5">
              <w:rPr>
                <w:i/>
                <w:lang w:val="es-ES_tradnl" w:eastAsia="es-ES" w:bidi="es-ES"/>
              </w:rPr>
              <w:tab/>
              <w:t>X respirador</w:t>
            </w:r>
          </w:p>
          <w:p w14:paraId="184D67CD"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rFonts w:ascii="Arial Unicode MS" w:hAnsi="Arial Unicode MS"/>
                <w:lang w:val="es-ES_tradnl" w:eastAsia="es-ES" w:bidi="es-ES"/>
              </w:rPr>
              <w:tab/>
              <w:t>X</w:t>
            </w:r>
            <w:r w:rsidRPr="00B92FD5">
              <w:rPr>
                <w:rFonts w:ascii="Wingdings-Regular"/>
                <w:lang w:val="es-ES_tradnl" w:eastAsia="es-ES" w:bidi="es-ES"/>
              </w:rPr>
              <w:t xml:space="preserve"> </w:t>
            </w:r>
            <w:r w:rsidRPr="00B92FD5">
              <w:rPr>
                <w:i/>
                <w:lang w:val="es-ES_tradnl" w:eastAsia="es-ES" w:bidi="es-ES"/>
              </w:rPr>
              <w:t xml:space="preserve">visor </w:t>
            </w:r>
            <w:proofErr w:type="gramStart"/>
            <w:r w:rsidRPr="00B92FD5">
              <w:rPr>
                <w:i/>
                <w:lang w:val="es-ES_tradnl" w:eastAsia="es-ES" w:bidi="es-ES"/>
              </w:rPr>
              <w:t xml:space="preserve">facial  </w:t>
            </w:r>
            <w:r w:rsidRPr="00B92FD5">
              <w:rPr>
                <w:i/>
                <w:lang w:val="es-ES_tradnl" w:eastAsia="es-ES" w:bidi="es-ES"/>
              </w:rPr>
              <w:tab/>
            </w:r>
            <w:proofErr w:type="gramEnd"/>
            <w:r w:rsidRPr="00B92FD5">
              <w:rPr>
                <w:i/>
                <w:lang w:val="es-ES_tradnl" w:eastAsia="es-ES" w:bidi="es-ES"/>
              </w:rPr>
              <w:tab/>
              <w:t>X</w:t>
            </w:r>
            <w:r w:rsidRPr="00B92FD5">
              <w:rPr>
                <w:rFonts w:ascii="Wingdings-Regular"/>
                <w:lang w:val="es-ES_tradnl" w:eastAsia="es-ES" w:bidi="es-ES"/>
              </w:rPr>
              <w:t xml:space="preserve"> </w:t>
            </w:r>
            <w:r w:rsidRPr="00B92FD5">
              <w:rPr>
                <w:i/>
                <w:lang w:val="es-ES_tradnl" w:eastAsia="es-ES" w:bidi="es-ES"/>
              </w:rPr>
              <w:t>botas/</w:t>
            </w:r>
            <w:proofErr w:type="gramStart"/>
            <w:r w:rsidRPr="00B92FD5">
              <w:rPr>
                <w:i/>
                <w:lang w:val="es-ES_tradnl" w:eastAsia="es-ES" w:bidi="es-ES"/>
              </w:rPr>
              <w:t xml:space="preserve">zapatos  </w:t>
            </w:r>
            <w:r w:rsidRPr="00B92FD5">
              <w:rPr>
                <w:i/>
                <w:lang w:val="es-ES_tradnl" w:eastAsia="es-ES" w:bidi="es-ES"/>
              </w:rPr>
              <w:tab/>
            </w:r>
            <w:proofErr w:type="gramEnd"/>
            <w:r w:rsidRPr="00B92FD5">
              <w:rPr>
                <w:i/>
                <w:lang w:val="es-ES_tradnl" w:eastAsia="es-ES" w:bidi="es-ES"/>
              </w:rPr>
              <w:t>X</w:t>
            </w:r>
            <w:r w:rsidRPr="00B92FD5">
              <w:rPr>
                <w:rFonts w:ascii="Wingdings-Regular"/>
                <w:lang w:val="es-ES_tradnl" w:eastAsia="es-ES" w:bidi="es-ES"/>
              </w:rPr>
              <w:t xml:space="preserve"> </w:t>
            </w:r>
            <w:r w:rsidRPr="00B92FD5">
              <w:rPr>
                <w:i/>
                <w:lang w:val="es-ES_tradnl" w:eastAsia="es-ES" w:bidi="es-ES"/>
              </w:rPr>
              <w:t xml:space="preserve">camisa de manga </w:t>
            </w:r>
            <w:proofErr w:type="gramStart"/>
            <w:r w:rsidRPr="00B92FD5">
              <w:rPr>
                <w:i/>
                <w:lang w:val="es-ES_tradnl" w:eastAsia="es-ES" w:bidi="es-ES"/>
              </w:rPr>
              <w:t xml:space="preserve">larga  </w:t>
            </w:r>
            <w:r w:rsidRPr="00B92FD5">
              <w:rPr>
                <w:i/>
                <w:lang w:val="es-ES_tradnl" w:eastAsia="es-ES" w:bidi="es-ES"/>
              </w:rPr>
              <w:tab/>
            </w:r>
            <w:proofErr w:type="gramEnd"/>
            <w:r w:rsidRPr="00B92FD5">
              <w:rPr>
                <w:i/>
                <w:lang w:val="es-ES_tradnl" w:eastAsia="es-ES" w:bidi="es-ES"/>
              </w:rPr>
              <w:t>X</w:t>
            </w:r>
            <w:r w:rsidRPr="00B92FD5">
              <w:rPr>
                <w:rFonts w:ascii="Wingdings-Regular"/>
                <w:lang w:val="es-ES_tradnl" w:eastAsia="es-ES" w:bidi="es-ES"/>
              </w:rPr>
              <w:t xml:space="preserve"> </w:t>
            </w:r>
            <w:r w:rsidRPr="00B92FD5">
              <w:rPr>
                <w:i/>
                <w:lang w:val="es-ES_tradnl" w:eastAsia="es-ES" w:bidi="es-ES"/>
              </w:rPr>
              <w:t>pantalones largos</w:t>
            </w:r>
          </w:p>
          <w:p w14:paraId="6C93D30D"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rFonts w:ascii="Arial Unicode MS" w:hAnsi="Arial Unicode MS"/>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otro, sírvase especificar:.........................................................................................................</w:t>
            </w:r>
          </w:p>
          <w:p w14:paraId="7E1480AC" w14:textId="77777777" w:rsidR="00114789" w:rsidRPr="00B92FD5" w:rsidRDefault="00114789" w:rsidP="00A642F9">
            <w:pPr>
              <w:autoSpaceDE w:val="0"/>
              <w:autoSpaceDN w:val="0"/>
              <w:adjustRightInd w:val="0"/>
              <w:spacing w:beforeLines="40" w:before="96"/>
              <w:rPr>
                <w:b/>
                <w:bCs/>
                <w:lang w:val="es-ES_tradnl" w:eastAsia="es-ES" w:bidi="es-ES"/>
              </w:rPr>
            </w:pPr>
            <w:r w:rsidRPr="00B92FD5">
              <w:rPr>
                <w:b/>
                <w:lang w:val="es-ES_tradnl" w:eastAsia="es-ES" w:bidi="es-ES"/>
              </w:rPr>
              <w:t>12. Información sobre cómo se usaba el producto:</w:t>
            </w:r>
          </w:p>
          <w:p w14:paraId="73993680" w14:textId="77777777" w:rsidR="00114789" w:rsidRPr="00B92FD5" w:rsidRDefault="00114789" w:rsidP="00A642F9">
            <w:pPr>
              <w:autoSpaceDE w:val="0"/>
              <w:autoSpaceDN w:val="0"/>
              <w:adjustRightInd w:val="0"/>
              <w:spacing w:before="120"/>
              <w:rPr>
                <w:lang w:val="es-ES_tradnl" w:eastAsia="es-ES" w:bidi="es-ES"/>
              </w:rPr>
            </w:pPr>
            <w:r w:rsidRPr="00B92FD5">
              <w:rPr>
                <w:lang w:val="es-ES_tradnl" w:eastAsia="es-ES" w:bidi="es-ES"/>
              </w:rPr>
              <w:tab/>
              <w:t>a) Lugar de exposición/incidente (</w:t>
            </w:r>
            <w:r w:rsidRPr="00B92FD5">
              <w:rPr>
                <w:i/>
                <w:lang w:val="es-ES_tradnl" w:eastAsia="es-ES" w:bidi="es-ES"/>
              </w:rPr>
              <w:t>campo, jardín, invernadero, casa, etc.</w:t>
            </w:r>
            <w:r w:rsidRPr="00B92FD5">
              <w:rPr>
                <w:lang w:val="es-ES_tradnl" w:eastAsia="es-ES" w:bidi="es-ES"/>
              </w:rPr>
              <w:t xml:space="preserve">): </w:t>
            </w:r>
          </w:p>
          <w:p w14:paraId="57CCBB9E" w14:textId="77777777" w:rsidR="00114789" w:rsidRPr="00B92FD5" w:rsidRDefault="00114789" w:rsidP="00A642F9">
            <w:pPr>
              <w:autoSpaceDE w:val="0"/>
              <w:autoSpaceDN w:val="0"/>
              <w:adjustRightInd w:val="0"/>
              <w:spacing w:before="120"/>
              <w:rPr>
                <w:lang w:val="es-ES_tradnl" w:eastAsia="es-ES" w:bidi="es-ES"/>
              </w:rPr>
            </w:pPr>
            <w:r w:rsidRPr="00B92FD5">
              <w:rPr>
                <w:b/>
                <w:lang w:val="es-ES_tradnl" w:eastAsia="es-ES" w:bidi="es-ES"/>
              </w:rPr>
              <w:tab/>
              <w:t>Refugios de aves granívoras</w:t>
            </w:r>
            <w:r w:rsidRPr="00B92FD5">
              <w:rPr>
                <w:lang w:val="es-ES_tradnl" w:eastAsia="es-ES" w:bidi="es-ES"/>
              </w:rPr>
              <w:t>..................................................................................</w:t>
            </w:r>
            <w:r w:rsidRPr="00B92FD5">
              <w:rPr>
                <w:i/>
                <w:lang w:val="es-ES_tradnl" w:eastAsia="es-ES" w:bidi="es-ES"/>
              </w:rPr>
              <w:t xml:space="preserve">    </w:t>
            </w:r>
          </w:p>
          <w:p w14:paraId="6446849F" w14:textId="77777777" w:rsidR="00114789" w:rsidRPr="00B92FD5" w:rsidRDefault="00114789" w:rsidP="00A642F9">
            <w:pPr>
              <w:autoSpaceDE w:val="0"/>
              <w:autoSpaceDN w:val="0"/>
              <w:adjustRightInd w:val="0"/>
              <w:spacing w:beforeLines="40" w:before="96"/>
              <w:rPr>
                <w:lang w:val="es-ES_tradnl" w:eastAsia="es-ES" w:bidi="es-ES"/>
              </w:rPr>
            </w:pPr>
            <w:r w:rsidRPr="00B92FD5">
              <w:rPr>
                <w:lang w:val="es-ES_tradnl" w:eastAsia="es-ES" w:bidi="es-ES"/>
              </w:rPr>
              <w:tab/>
              <w:t>b) Lista de animales/cultivo(s)/productos almacenados tratados, si revisten importancia:</w:t>
            </w:r>
          </w:p>
          <w:p w14:paraId="005ABB01" w14:textId="77777777" w:rsidR="00114789" w:rsidRPr="00B92FD5" w:rsidRDefault="00114789" w:rsidP="00A642F9">
            <w:pPr>
              <w:autoSpaceDE w:val="0"/>
              <w:autoSpaceDN w:val="0"/>
              <w:adjustRightInd w:val="0"/>
              <w:spacing w:beforeLines="40" w:before="96"/>
              <w:rPr>
                <w:b/>
                <w:bCs/>
                <w:lang w:val="es-ES_tradnl" w:eastAsia="es-ES" w:bidi="es-ES"/>
              </w:rPr>
            </w:pPr>
            <w:r w:rsidRPr="00B92FD5">
              <w:rPr>
                <w:lang w:val="es-ES_tradnl" w:eastAsia="es-ES" w:bidi="es-ES"/>
              </w:rPr>
              <w:tab/>
            </w:r>
            <w:proofErr w:type="spellStart"/>
            <w:r w:rsidRPr="00B92FD5">
              <w:rPr>
                <w:b/>
                <w:i/>
                <w:lang w:val="es-ES_tradnl" w:eastAsia="es-ES" w:bidi="es-ES"/>
              </w:rPr>
              <w:t>Quelea</w:t>
            </w:r>
            <w:proofErr w:type="spellEnd"/>
            <w:r w:rsidRPr="00B92FD5">
              <w:rPr>
                <w:b/>
                <w:i/>
                <w:lang w:val="es-ES_tradnl" w:eastAsia="es-ES" w:bidi="es-ES"/>
              </w:rPr>
              <w:t xml:space="preserve"> </w:t>
            </w:r>
            <w:proofErr w:type="spellStart"/>
            <w:r w:rsidRPr="00B92FD5">
              <w:rPr>
                <w:b/>
                <w:i/>
                <w:lang w:val="es-ES_tradnl" w:eastAsia="es-ES" w:bidi="es-ES"/>
              </w:rPr>
              <w:t>quelea</w:t>
            </w:r>
            <w:proofErr w:type="spellEnd"/>
            <w:r w:rsidRPr="00B92FD5">
              <w:rPr>
                <w:b/>
                <w:i/>
                <w:lang w:val="es-ES_tradnl" w:eastAsia="es-ES" w:bidi="es-ES"/>
              </w:rPr>
              <w:t xml:space="preserve"> </w:t>
            </w:r>
            <w:r w:rsidRPr="00B92FD5">
              <w:rPr>
                <w:b/>
                <w:lang w:val="es-ES_tradnl" w:eastAsia="es-ES" w:bidi="es-ES"/>
              </w:rPr>
              <w:t xml:space="preserve">o </w:t>
            </w:r>
            <w:proofErr w:type="spellStart"/>
            <w:r w:rsidRPr="00B92FD5">
              <w:rPr>
                <w:b/>
                <w:lang w:val="es-ES_tradnl" w:eastAsia="es-ES" w:bidi="es-ES"/>
              </w:rPr>
              <w:t>quelea</w:t>
            </w:r>
            <w:proofErr w:type="spellEnd"/>
            <w:r w:rsidRPr="00B92FD5">
              <w:rPr>
                <w:b/>
                <w:lang w:val="es-ES_tradnl" w:eastAsia="es-ES" w:bidi="es-ES"/>
              </w:rPr>
              <w:t xml:space="preserve"> común</w:t>
            </w:r>
            <w:r w:rsidRPr="00B92FD5">
              <w:rPr>
                <w:lang w:val="es-ES_tradnl" w:eastAsia="es-ES" w:bidi="es-ES"/>
              </w:rPr>
              <w:t>.........................................................................</w:t>
            </w:r>
          </w:p>
          <w:p w14:paraId="33C4D6C7" w14:textId="77777777" w:rsidR="00114789" w:rsidRPr="00B92FD5" w:rsidRDefault="00114789" w:rsidP="00A642F9">
            <w:pPr>
              <w:autoSpaceDE w:val="0"/>
              <w:autoSpaceDN w:val="0"/>
              <w:adjustRightInd w:val="0"/>
              <w:spacing w:beforeLines="40" w:before="96"/>
              <w:ind w:left="284" w:hanging="284"/>
              <w:rPr>
                <w:lang w:val="es-ES_tradnl" w:eastAsia="es-ES" w:bidi="es-ES"/>
              </w:rPr>
            </w:pPr>
            <w:r w:rsidRPr="00B92FD5">
              <w:rPr>
                <w:lang w:val="es-ES_tradnl" w:eastAsia="es-ES" w:bidi="es-ES"/>
              </w:rPr>
              <w:tab/>
              <w:t xml:space="preserve">c) Método de aplicación: </w:t>
            </w:r>
            <w:r w:rsidRPr="00B92FD5">
              <w:rPr>
                <w:i/>
                <w:lang w:val="es-ES_tradnl" w:eastAsia="es-ES" w:bidi="es-ES"/>
              </w:rPr>
              <w:t>(¿Cómo ha sido utilizado el producto?, por ej., a mano, con cubo y pincel, inyección en el suelo, rociado (mochila, montado en un tractor, etc.), riego por goteo, aéreo (helicóptero, avión, etc.)):</w:t>
            </w:r>
          </w:p>
          <w:p w14:paraId="217059BA" w14:textId="77777777" w:rsidR="00114789" w:rsidRPr="00B92FD5" w:rsidRDefault="00114789" w:rsidP="00A642F9">
            <w:pPr>
              <w:autoSpaceDE w:val="0"/>
              <w:autoSpaceDN w:val="0"/>
              <w:adjustRightInd w:val="0"/>
              <w:spacing w:beforeLines="40" w:before="96"/>
              <w:rPr>
                <w:b/>
                <w:bCs/>
                <w:lang w:val="es-ES_tradnl" w:eastAsia="es-ES" w:bidi="es-ES"/>
              </w:rPr>
            </w:pPr>
            <w:r w:rsidRPr="00B92FD5">
              <w:rPr>
                <w:b/>
                <w:lang w:val="es-ES_tradnl" w:eastAsia="es-ES" w:bidi="es-ES"/>
              </w:rPr>
              <w:tab/>
              <w:t>Rociadores de mochila motorizados</w:t>
            </w:r>
          </w:p>
          <w:p w14:paraId="6E2EF6BB"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lang w:val="es-ES_tradnl" w:eastAsia="es-ES" w:bidi="es-ES"/>
              </w:rPr>
              <w:tab/>
              <w:t>d) Dosis utilizada / concentración (</w:t>
            </w:r>
            <w:r w:rsidRPr="00B92FD5">
              <w:rPr>
                <w:i/>
                <w:lang w:val="es-ES_tradnl" w:eastAsia="es-ES" w:bidi="es-ES"/>
              </w:rPr>
              <w:t>o cantidad de plaguicida utilizado</w:t>
            </w:r>
            <w:r w:rsidRPr="00B92FD5">
              <w:rPr>
                <w:lang w:val="es-ES_tradnl" w:eastAsia="es-ES" w:bidi="es-ES"/>
              </w:rPr>
              <w:t>)</w:t>
            </w:r>
            <w:r w:rsidRPr="00B92FD5">
              <w:rPr>
                <w:i/>
                <w:lang w:val="es-ES_tradnl" w:eastAsia="es-ES" w:bidi="es-ES"/>
              </w:rPr>
              <w:t xml:space="preserve"> </w:t>
            </w:r>
          </w:p>
          <w:p w14:paraId="1ABC4CB0" w14:textId="77777777" w:rsidR="00114789" w:rsidRPr="00B92FD5" w:rsidRDefault="00114789" w:rsidP="00A642F9">
            <w:pPr>
              <w:autoSpaceDE w:val="0"/>
              <w:autoSpaceDN w:val="0"/>
              <w:adjustRightInd w:val="0"/>
              <w:spacing w:before="200"/>
              <w:rPr>
                <w:bCs/>
                <w:lang w:val="es-ES_tradnl" w:eastAsia="es-ES" w:bidi="es-ES"/>
              </w:rPr>
            </w:pPr>
            <w:r w:rsidRPr="00B92FD5">
              <w:rPr>
                <w:b/>
                <w:lang w:val="es-ES_tradnl" w:eastAsia="es-ES" w:bidi="es-ES"/>
              </w:rPr>
              <w:tab/>
              <w:t>2 litros/ha............</w:t>
            </w:r>
            <w:r w:rsidRPr="00B92FD5">
              <w:rPr>
                <w:lang w:val="es-ES_tradnl" w:eastAsia="es-ES" w:bidi="es-ES"/>
              </w:rPr>
              <w:t xml:space="preserve"> .................................................................................................</w:t>
            </w:r>
          </w:p>
          <w:p w14:paraId="44D6AD04" w14:textId="77777777" w:rsidR="00114789" w:rsidRPr="00B92FD5" w:rsidRDefault="00114789" w:rsidP="00A642F9">
            <w:pPr>
              <w:autoSpaceDE w:val="0"/>
              <w:autoSpaceDN w:val="0"/>
              <w:adjustRightInd w:val="0"/>
              <w:spacing w:before="200"/>
              <w:rPr>
                <w:lang w:val="es-ES_tradnl" w:eastAsia="es-ES" w:bidi="es-ES"/>
              </w:rPr>
            </w:pPr>
            <w:r w:rsidRPr="00B92FD5">
              <w:rPr>
                <w:lang w:val="es-ES_tradnl" w:eastAsia="es-ES" w:bidi="es-ES"/>
              </w:rPr>
              <w:tab/>
              <w:t>e) Duración del período de exposición:</w:t>
            </w:r>
          </w:p>
          <w:p w14:paraId="7AB84B51" w14:textId="77777777" w:rsidR="00114789" w:rsidRPr="00B92FD5" w:rsidRDefault="00114789" w:rsidP="00A642F9">
            <w:pPr>
              <w:autoSpaceDE w:val="0"/>
              <w:autoSpaceDN w:val="0"/>
              <w:adjustRightInd w:val="0"/>
              <w:spacing w:before="200"/>
              <w:rPr>
                <w:lang w:val="es-ES_tradnl" w:eastAsia="es-ES" w:bidi="es-ES"/>
              </w:rPr>
            </w:pPr>
            <w:r w:rsidRPr="00B92FD5">
              <w:rPr>
                <w:lang w:val="es-ES_tradnl" w:eastAsia="es-ES" w:bidi="es-ES"/>
              </w:rPr>
              <w:tab/>
            </w:r>
            <w:r w:rsidRPr="00B92FD5">
              <w:rPr>
                <w:b/>
                <w:sz w:val="24"/>
                <w:lang w:val="es-ES_tradnl" w:eastAsia="es-ES" w:bidi="es-ES"/>
              </w:rPr>
              <w:t>X</w:t>
            </w:r>
            <w:r w:rsidRPr="00B92FD5">
              <w:rPr>
                <w:rFonts w:ascii="Wingdings-Regular"/>
                <w:lang w:val="es-ES_tradnl" w:eastAsia="es-ES" w:bidi="es-ES"/>
              </w:rPr>
              <w:t xml:space="preserve"> </w:t>
            </w:r>
            <w:r w:rsidRPr="00B92FD5">
              <w:rPr>
                <w:lang w:val="es-ES_tradnl" w:eastAsia="es-ES" w:bidi="es-ES"/>
              </w:rPr>
              <w:t xml:space="preserve">horas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½ día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día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otro (especificar): </w:t>
            </w:r>
          </w:p>
          <w:p w14:paraId="0B2E4C9A" w14:textId="77777777" w:rsidR="00114789" w:rsidRPr="00B92FD5" w:rsidRDefault="00114789" w:rsidP="00A642F9">
            <w:pPr>
              <w:autoSpaceDE w:val="0"/>
              <w:autoSpaceDN w:val="0"/>
              <w:adjustRightInd w:val="0"/>
              <w:spacing w:before="200"/>
              <w:rPr>
                <w:b/>
                <w:bCs/>
                <w:lang w:val="es-ES_tradnl" w:eastAsia="es-ES" w:bidi="es-ES"/>
              </w:rPr>
            </w:pPr>
            <w:r w:rsidRPr="00B92FD5">
              <w:rPr>
                <w:b/>
                <w:lang w:val="es-ES_tradnl" w:eastAsia="es-ES" w:bidi="es-ES"/>
              </w:rPr>
              <w:t xml:space="preserve">13. Si se usó más de una formulación plaguicida al mismo tiempo, sírvase responder los puntos i) a </w:t>
            </w:r>
            <w:proofErr w:type="spellStart"/>
            <w:r w:rsidRPr="00B92FD5">
              <w:rPr>
                <w:b/>
                <w:lang w:val="es-ES_tradnl" w:eastAsia="es-ES" w:bidi="es-ES"/>
              </w:rPr>
              <w:t>iv</w:t>
            </w:r>
            <w:proofErr w:type="spellEnd"/>
            <w:r w:rsidRPr="00B92FD5">
              <w:rPr>
                <w:b/>
                <w:lang w:val="es-ES_tradnl" w:eastAsia="es-ES" w:bidi="es-ES"/>
              </w:rPr>
              <w:t xml:space="preserve">) para cada formulación. </w:t>
            </w:r>
            <w:r w:rsidRPr="00B92FD5">
              <w:rPr>
                <w:b/>
                <w:i/>
                <w:lang w:val="es-ES_tradnl" w:eastAsia="es-ES" w:bidi="es-ES"/>
              </w:rPr>
              <w:t>(Véase también la parte I: identidad del producto)</w:t>
            </w:r>
          </w:p>
          <w:p w14:paraId="0A3D7243" w14:textId="77777777" w:rsidR="00114789" w:rsidRPr="00B92FD5" w:rsidRDefault="00114789" w:rsidP="00A642F9">
            <w:pPr>
              <w:autoSpaceDE w:val="0"/>
              <w:autoSpaceDN w:val="0"/>
              <w:adjustRightInd w:val="0"/>
              <w:spacing w:before="200"/>
              <w:rPr>
                <w:b/>
                <w:bCs/>
                <w:lang w:val="es-ES_tradnl" w:eastAsia="es-ES" w:bidi="es-ES"/>
              </w:rPr>
            </w:pPr>
            <w:r w:rsidRPr="00B92FD5">
              <w:rPr>
                <w:lang w:val="es-ES_tradnl" w:eastAsia="es-ES" w:bidi="es-ES"/>
              </w:rPr>
              <w:tab/>
              <w:t>i) ¿El plaguicida estaba en su envase original?</w:t>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no</w:t>
            </w:r>
            <w:r w:rsidRPr="00B92FD5">
              <w:rPr>
                <w:lang w:val="es-ES_tradnl" w:eastAsia="es-ES" w:bidi="es-ES"/>
              </w:rPr>
              <w:tab/>
            </w:r>
            <w:r w:rsidRPr="00B92FD5">
              <w:rPr>
                <w:lang w:val="es-ES_tradnl" w:eastAsia="es-ES" w:bidi="es-ES"/>
              </w:rPr>
              <w:tab/>
            </w:r>
            <w:r w:rsidRPr="00B92FD5">
              <w:rPr>
                <w:lang w:val="es-ES_tradnl" w:eastAsia="es-ES" w:bidi="es-ES"/>
              </w:rPr>
              <w:tab/>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sí</w:t>
            </w:r>
          </w:p>
          <w:p w14:paraId="72551E4C" w14:textId="77777777" w:rsidR="00114789" w:rsidRPr="00B92FD5" w:rsidRDefault="00114789" w:rsidP="00A642F9">
            <w:pPr>
              <w:autoSpaceDE w:val="0"/>
              <w:autoSpaceDN w:val="0"/>
              <w:adjustRightInd w:val="0"/>
              <w:spacing w:before="200"/>
              <w:rPr>
                <w:b/>
                <w:bCs/>
                <w:lang w:val="es-ES_tradnl" w:eastAsia="es-ES" w:bidi="es-ES"/>
              </w:rPr>
            </w:pPr>
            <w:r w:rsidRPr="00B92FD5">
              <w:rPr>
                <w:lang w:val="es-ES_tradnl" w:eastAsia="es-ES" w:bidi="es-ES"/>
              </w:rPr>
              <w:tab/>
            </w:r>
            <w:proofErr w:type="spellStart"/>
            <w:r w:rsidRPr="00B92FD5">
              <w:rPr>
                <w:lang w:val="es-ES_tradnl" w:eastAsia="es-ES" w:bidi="es-ES"/>
              </w:rPr>
              <w:t>ii</w:t>
            </w:r>
            <w:proofErr w:type="spellEnd"/>
            <w:r w:rsidRPr="00B92FD5">
              <w:rPr>
                <w:lang w:val="es-ES_tradnl" w:eastAsia="es-ES" w:bidi="es-ES"/>
              </w:rPr>
              <w:t>) ¿Tenía etiqueta?</w:t>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no </w:t>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sí</w:t>
            </w:r>
          </w:p>
          <w:p w14:paraId="46783F06" w14:textId="77777777" w:rsidR="00114789" w:rsidRPr="00B92FD5" w:rsidRDefault="00114789" w:rsidP="00A642F9">
            <w:pPr>
              <w:autoSpaceDE w:val="0"/>
              <w:autoSpaceDN w:val="0"/>
              <w:adjustRightInd w:val="0"/>
              <w:spacing w:before="200"/>
              <w:rPr>
                <w:lang w:val="es-ES_tradnl" w:eastAsia="es-ES" w:bidi="es-ES"/>
              </w:rPr>
            </w:pPr>
            <w:r w:rsidRPr="00B92FD5">
              <w:rPr>
                <w:lang w:val="es-ES_tradnl" w:eastAsia="es-ES" w:bidi="es-ES"/>
              </w:rPr>
              <w:tab/>
              <w:t xml:space="preserve">En caso afirmativo, ¿el individuo expuesto era capaz de leer y comprender la etiqueta?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no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sí</w:t>
            </w:r>
          </w:p>
          <w:p w14:paraId="0E1694F0" w14:textId="77777777" w:rsidR="00114789" w:rsidRPr="00B92FD5" w:rsidRDefault="00114789" w:rsidP="00A642F9">
            <w:pPr>
              <w:autoSpaceDE w:val="0"/>
              <w:autoSpaceDN w:val="0"/>
              <w:adjustRightInd w:val="0"/>
              <w:spacing w:before="200"/>
              <w:rPr>
                <w:b/>
                <w:bCs/>
                <w:lang w:val="es-ES_tradnl" w:eastAsia="es-ES" w:bidi="es-ES"/>
              </w:rPr>
            </w:pPr>
            <w:r w:rsidRPr="00B92FD5">
              <w:rPr>
                <w:b/>
                <w:lang w:val="es-ES_tradnl" w:eastAsia="es-ES" w:bidi="es-ES"/>
              </w:rPr>
              <w:tab/>
            </w:r>
            <w:proofErr w:type="spellStart"/>
            <w:r w:rsidRPr="00B92FD5">
              <w:rPr>
                <w:lang w:val="es-ES_tradnl" w:eastAsia="es-ES" w:bidi="es-ES"/>
              </w:rPr>
              <w:t>iii</w:t>
            </w:r>
            <w:proofErr w:type="spellEnd"/>
            <w:r w:rsidRPr="00B92FD5">
              <w:rPr>
                <w:lang w:val="es-ES_tradnl" w:eastAsia="es-ES" w:bidi="es-ES"/>
              </w:rPr>
              <w:t xml:space="preserve">) ¿La etiqueta incluye la utilización notificada del producto?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no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sí</w:t>
            </w:r>
          </w:p>
          <w:p w14:paraId="135C60CE" w14:textId="77777777" w:rsidR="00114789" w:rsidRPr="00B92FD5" w:rsidRDefault="00114789" w:rsidP="00A642F9">
            <w:pPr>
              <w:autoSpaceDE w:val="0"/>
              <w:autoSpaceDN w:val="0"/>
              <w:adjustRightInd w:val="0"/>
              <w:spacing w:before="200"/>
              <w:ind w:left="284" w:hanging="284"/>
              <w:rPr>
                <w:lang w:val="es-ES_tradnl" w:eastAsia="es-ES" w:bidi="es-ES"/>
              </w:rPr>
            </w:pPr>
            <w:r w:rsidRPr="00B92FD5">
              <w:rPr>
                <w:lang w:val="es-ES_tradnl" w:eastAsia="es-ES" w:bidi="es-ES"/>
              </w:rPr>
              <w:tab/>
              <w:t xml:space="preserve">En caso negativo, describa en qué aspectos el uso que se notificó del producto es diferente del uso recomendado en la etiqueta </w:t>
            </w:r>
          </w:p>
          <w:p w14:paraId="59FA795B" w14:textId="77777777" w:rsidR="00114789" w:rsidRPr="00B92FD5" w:rsidRDefault="00114789" w:rsidP="00A642F9">
            <w:pPr>
              <w:autoSpaceDE w:val="0"/>
              <w:autoSpaceDN w:val="0"/>
              <w:adjustRightInd w:val="0"/>
              <w:spacing w:before="200"/>
              <w:rPr>
                <w:lang w:val="es-ES_tradnl" w:eastAsia="es-ES" w:bidi="es-ES"/>
              </w:rPr>
            </w:pPr>
            <w:r w:rsidRPr="00B92FD5">
              <w:rPr>
                <w:i/>
                <w:lang w:val="es-ES_tradnl" w:eastAsia="es-ES" w:bidi="es-ES"/>
              </w:rPr>
              <w:tab/>
              <w:t>(Utilizar una hoja aparte si es necesario)</w:t>
            </w:r>
            <w:r w:rsidRPr="00B92FD5">
              <w:rPr>
                <w:lang w:val="es-ES_tradnl" w:eastAsia="es-ES" w:bidi="es-ES"/>
              </w:rPr>
              <w:t>: ................................................................................</w:t>
            </w:r>
          </w:p>
          <w:p w14:paraId="790E6C93" w14:textId="77777777" w:rsidR="00114789" w:rsidRPr="00B92FD5" w:rsidRDefault="00114789" w:rsidP="00A642F9">
            <w:pPr>
              <w:autoSpaceDE w:val="0"/>
              <w:autoSpaceDN w:val="0"/>
              <w:adjustRightInd w:val="0"/>
              <w:spacing w:before="200"/>
              <w:rPr>
                <w:b/>
                <w:bCs/>
                <w:lang w:val="es-ES_tradnl" w:eastAsia="es-ES" w:bidi="es-ES"/>
              </w:rPr>
            </w:pPr>
            <w:r w:rsidRPr="00B92FD5">
              <w:rPr>
                <w:lang w:val="es-ES_tradnl" w:eastAsia="es-ES" w:bidi="es-ES"/>
              </w:rPr>
              <w:tab/>
            </w:r>
            <w:proofErr w:type="spellStart"/>
            <w:r w:rsidRPr="00B92FD5">
              <w:rPr>
                <w:lang w:val="es-ES_tradnl" w:eastAsia="es-ES" w:bidi="es-ES"/>
              </w:rPr>
              <w:t>iv</w:t>
            </w:r>
            <w:proofErr w:type="spellEnd"/>
            <w:r w:rsidRPr="00B92FD5">
              <w:rPr>
                <w:lang w:val="es-ES_tradnl" w:eastAsia="es-ES" w:bidi="es-ES"/>
              </w:rPr>
              <w:t xml:space="preserve">) ¿El incidente descrito es típico de cómo se usa generalmente la formulación?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no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sí</w:t>
            </w:r>
          </w:p>
          <w:p w14:paraId="39683F69" w14:textId="77777777" w:rsidR="00114789" w:rsidRPr="00B92FD5" w:rsidRDefault="00114789" w:rsidP="00A642F9">
            <w:pPr>
              <w:autoSpaceDE w:val="0"/>
              <w:autoSpaceDN w:val="0"/>
              <w:adjustRightInd w:val="0"/>
              <w:spacing w:before="200"/>
              <w:rPr>
                <w:lang w:val="es-ES_tradnl" w:eastAsia="es-ES" w:bidi="es-ES"/>
              </w:rPr>
            </w:pPr>
            <w:r w:rsidRPr="00B92FD5">
              <w:rPr>
                <w:b/>
                <w:lang w:val="es-ES_tradnl" w:eastAsia="es-ES" w:bidi="es-ES"/>
              </w:rPr>
              <w:t>14. Condiciones climáticas en que ocurrió el incidente (por ej., temperatura, humedad relativa):</w:t>
            </w:r>
          </w:p>
          <w:p w14:paraId="6F556A4C" w14:textId="77777777" w:rsidR="00114789" w:rsidRPr="00B92FD5" w:rsidRDefault="00114789" w:rsidP="00A642F9">
            <w:pPr>
              <w:autoSpaceDE w:val="0"/>
              <w:autoSpaceDN w:val="0"/>
              <w:adjustRightInd w:val="0"/>
              <w:spacing w:before="200"/>
              <w:rPr>
                <w:b/>
                <w:bCs/>
                <w:lang w:val="es-ES_tradnl" w:eastAsia="es-ES" w:bidi="es-ES"/>
              </w:rPr>
            </w:pPr>
            <w:r w:rsidRPr="00B92FD5">
              <w:rPr>
                <w:b/>
                <w:lang w:val="es-ES_tradnl" w:eastAsia="es-ES" w:bidi="es-ES"/>
              </w:rPr>
              <w:tab/>
            </w:r>
            <w:r w:rsidRPr="00B92FD5">
              <w:rPr>
                <w:lang w:val="es-ES_tradnl" w:eastAsia="es-ES" w:bidi="es-ES"/>
              </w:rPr>
              <w:t>Inicio de la estación lluviosa</w:t>
            </w:r>
            <w:r w:rsidRPr="00B92FD5">
              <w:rPr>
                <w:b/>
                <w:lang w:val="es-ES_tradnl" w:eastAsia="es-ES" w:bidi="es-ES"/>
              </w:rPr>
              <w:t xml:space="preserve"> </w:t>
            </w:r>
          </w:p>
          <w:p w14:paraId="3ADBC691" w14:textId="77777777" w:rsidR="00114789" w:rsidRPr="00B92FD5" w:rsidRDefault="00114789" w:rsidP="00A642F9">
            <w:pPr>
              <w:autoSpaceDE w:val="0"/>
              <w:autoSpaceDN w:val="0"/>
              <w:adjustRightInd w:val="0"/>
              <w:spacing w:before="200"/>
              <w:rPr>
                <w:lang w:val="es-ES_tradnl" w:eastAsia="es-ES" w:bidi="es-ES"/>
              </w:rPr>
            </w:pPr>
            <w:r w:rsidRPr="00B92FD5">
              <w:rPr>
                <w:b/>
                <w:lang w:val="es-ES_tradnl" w:eastAsia="es-ES" w:bidi="es-ES"/>
              </w:rPr>
              <w:t>15. ¿Otros individuos se vieron afectados en el mismo incidente?</w:t>
            </w:r>
            <w:r w:rsidRPr="00B92FD5">
              <w:rPr>
                <w:lang w:val="es-ES_tradnl" w:eastAsia="es-ES" w:bidi="es-ES"/>
              </w:rPr>
              <w:t xml:space="preserve"> </w:t>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no</w:t>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sí</w:t>
            </w:r>
          </w:p>
          <w:p w14:paraId="1C5D8451" w14:textId="77777777" w:rsidR="00114789" w:rsidRPr="00B92FD5" w:rsidRDefault="00114789" w:rsidP="00A642F9">
            <w:pPr>
              <w:autoSpaceDE w:val="0"/>
              <w:autoSpaceDN w:val="0"/>
              <w:adjustRightInd w:val="0"/>
              <w:spacing w:before="200"/>
              <w:rPr>
                <w:b/>
                <w:bCs/>
                <w:lang w:val="es-ES_tradnl" w:eastAsia="es-ES" w:bidi="es-ES"/>
              </w:rPr>
            </w:pPr>
            <w:r w:rsidRPr="00B92FD5">
              <w:rPr>
                <w:b/>
                <w:lang w:val="es-ES_tradnl" w:eastAsia="es-ES" w:bidi="es-ES"/>
              </w:rPr>
              <w:t>16. Incluir cualquier otro detalle que pueda ser útil para describir el incidente y la forma en que se usó la formulación, en particular cómo el uso descrito refleja las pautas de uso habituales o reconocidas de esta formulación (</w:t>
            </w:r>
            <w:r w:rsidRPr="00B92FD5">
              <w:rPr>
                <w:b/>
                <w:i/>
                <w:lang w:val="es-ES_tradnl" w:eastAsia="es-ES" w:bidi="es-ES"/>
              </w:rPr>
              <w:t>se pueden agregar hojas en caso de que sea necesario</w:t>
            </w:r>
            <w:r w:rsidRPr="00B92FD5">
              <w:rPr>
                <w:b/>
                <w:lang w:val="es-ES_tradnl" w:eastAsia="es-ES" w:bidi="es-ES"/>
              </w:rPr>
              <w:t>)</w:t>
            </w:r>
            <w:r w:rsidRPr="00B92FD5">
              <w:rPr>
                <w:i/>
                <w:lang w:val="es-ES_tradnl" w:eastAsia="es-ES" w:bidi="es-ES"/>
              </w:rPr>
              <w:t xml:space="preserve"> </w:t>
            </w:r>
          </w:p>
        </w:tc>
      </w:tr>
      <w:tr w:rsidR="00114789" w:rsidRPr="00ED5AB4" w14:paraId="4F14FEF6" w14:textId="77777777" w:rsidTr="00A642F9">
        <w:tc>
          <w:tcPr>
            <w:tcW w:w="9576" w:type="dxa"/>
            <w:tcBorders>
              <w:top w:val="double" w:sz="4" w:space="0" w:color="auto"/>
              <w:left w:val="double" w:sz="4" w:space="0" w:color="auto"/>
              <w:bottom w:val="nil"/>
              <w:right w:val="double" w:sz="4" w:space="0" w:color="auto"/>
            </w:tcBorders>
            <w:shd w:val="clear" w:color="auto" w:fill="D9D9D9"/>
          </w:tcPr>
          <w:p w14:paraId="6FB167E3" w14:textId="77777777" w:rsidR="00114789" w:rsidRPr="00B92FD5" w:rsidRDefault="00114789" w:rsidP="00A642F9">
            <w:pPr>
              <w:jc w:val="center"/>
              <w:rPr>
                <w:b/>
                <w:szCs w:val="24"/>
                <w:lang w:val="es-ES_tradnl" w:eastAsia="es-ES" w:bidi="es-ES"/>
              </w:rPr>
            </w:pPr>
          </w:p>
          <w:p w14:paraId="03EB6D0C" w14:textId="77777777" w:rsidR="00114789" w:rsidRPr="00B92FD5" w:rsidRDefault="00114789" w:rsidP="00A642F9">
            <w:pPr>
              <w:jc w:val="center"/>
              <w:rPr>
                <w:b/>
                <w:szCs w:val="24"/>
                <w:lang w:val="es-ES_tradnl" w:eastAsia="es-ES" w:bidi="es-ES"/>
              </w:rPr>
            </w:pPr>
            <w:r w:rsidRPr="00B92FD5">
              <w:rPr>
                <w:b/>
                <w:lang w:val="es-ES_tradnl" w:eastAsia="es-ES" w:bidi="es-ES"/>
              </w:rPr>
              <w:t>III. Descripción de los efectos adversos:</w:t>
            </w:r>
          </w:p>
          <w:p w14:paraId="79C32951" w14:textId="77777777" w:rsidR="00114789" w:rsidRPr="00B92FD5" w:rsidRDefault="00114789" w:rsidP="00A642F9">
            <w:pPr>
              <w:jc w:val="center"/>
              <w:rPr>
                <w:b/>
                <w:szCs w:val="24"/>
                <w:lang w:val="es-ES_tradnl" w:eastAsia="es-ES" w:bidi="es-ES"/>
              </w:rPr>
            </w:pPr>
          </w:p>
        </w:tc>
      </w:tr>
      <w:tr w:rsidR="00114789" w:rsidRPr="00B92FD5" w14:paraId="441BA5FA" w14:textId="77777777" w:rsidTr="00A642F9">
        <w:tc>
          <w:tcPr>
            <w:tcW w:w="9576" w:type="dxa"/>
            <w:tcBorders>
              <w:top w:val="single" w:sz="6" w:space="0" w:color="auto"/>
              <w:left w:val="double" w:sz="4" w:space="0" w:color="auto"/>
              <w:bottom w:val="single" w:sz="6" w:space="0" w:color="auto"/>
              <w:right w:val="double" w:sz="4" w:space="0" w:color="auto"/>
            </w:tcBorders>
          </w:tcPr>
          <w:p w14:paraId="73860AFD" w14:textId="77777777" w:rsidR="00114789" w:rsidRPr="00B92FD5" w:rsidRDefault="00114789" w:rsidP="00A642F9">
            <w:pPr>
              <w:rPr>
                <w:lang w:val="es-ES_tradnl" w:eastAsia="es-ES" w:bidi="es-ES"/>
              </w:rPr>
            </w:pPr>
          </w:p>
          <w:p w14:paraId="78609420" w14:textId="77777777" w:rsidR="00114789" w:rsidRPr="00B92FD5" w:rsidRDefault="00114789" w:rsidP="00A642F9">
            <w:pPr>
              <w:autoSpaceDE w:val="0"/>
              <w:autoSpaceDN w:val="0"/>
              <w:adjustRightInd w:val="0"/>
              <w:spacing w:beforeLines="40" w:before="96"/>
              <w:rPr>
                <w:b/>
                <w:bCs/>
                <w:lang w:val="es-ES_tradnl" w:eastAsia="es-ES" w:bidi="es-ES"/>
              </w:rPr>
            </w:pPr>
            <w:r w:rsidRPr="00B92FD5">
              <w:rPr>
                <w:b/>
                <w:lang w:val="es-ES_tradnl" w:eastAsia="es-ES" w:bidi="es-ES"/>
              </w:rPr>
              <w:t>17. Reacción del individuo (marque una o más):</w:t>
            </w:r>
          </w:p>
          <w:p w14:paraId="2C1F9885" w14:textId="77777777" w:rsidR="00114789" w:rsidRPr="00B92FD5" w:rsidRDefault="00114789" w:rsidP="00A642F9">
            <w:pPr>
              <w:autoSpaceDE w:val="0"/>
              <w:autoSpaceDN w:val="0"/>
              <w:adjustRightInd w:val="0"/>
              <w:spacing w:beforeLines="40" w:before="96"/>
              <w:rPr>
                <w:b/>
                <w:bCs/>
                <w:i/>
                <w:iCs/>
                <w:lang w:val="es-ES_tradnl" w:eastAsia="es-ES" w:bidi="es-ES"/>
              </w:rPr>
            </w:pPr>
            <w:r w:rsidRPr="00B92FD5">
              <w:rPr>
                <w:rFonts w:ascii="Arial Unicode MS" w:hAnsi="Arial Unicode MS"/>
                <w:lang w:val="es-ES_tradnl" w:eastAsia="es-ES" w:bidi="es-ES"/>
              </w:rPr>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mareos </w:t>
            </w:r>
            <w:r w:rsidRPr="00B92FD5">
              <w:rPr>
                <w:i/>
                <w:lang w:val="es-ES_tradnl" w:eastAsia="es-ES" w:bidi="es-ES"/>
              </w:rPr>
              <w:tab/>
            </w:r>
            <w:r w:rsidRPr="00B92FD5">
              <w:rPr>
                <w:i/>
                <w:lang w:val="es-ES_tradnl" w:eastAsia="es-ES" w:bidi="es-ES"/>
              </w:rPr>
              <w:tab/>
            </w:r>
            <w:r w:rsidRPr="00B92FD5">
              <w:rPr>
                <w:i/>
                <w:lang w:val="es-ES_tradnl" w:eastAsia="es-ES" w:bidi="es-ES"/>
              </w:rPr>
              <w:tab/>
            </w:r>
            <w:r w:rsidRPr="00B92FD5">
              <w:rPr>
                <w:rFonts w:ascii="Courier New" w:hAnsi="Courier New"/>
                <w:lang w:val="es-ES_tradnl" w:eastAsia="es-ES" w:bidi="es-ES"/>
              </w:rPr>
              <w:t>□</w:t>
            </w:r>
            <w:r w:rsidRPr="00B92FD5">
              <w:rPr>
                <w:b/>
                <w:lang w:val="es-ES_tradnl" w:eastAsia="es-ES" w:bidi="es-ES"/>
              </w:rPr>
              <w:t xml:space="preserve"> </w:t>
            </w:r>
            <w:r w:rsidRPr="00B92FD5">
              <w:rPr>
                <w:i/>
                <w:lang w:val="es-ES_tradnl" w:eastAsia="es-ES" w:bidi="es-ES"/>
              </w:rPr>
              <w:t>cefalea</w:t>
            </w:r>
            <w:r w:rsidRPr="00B92FD5">
              <w:rPr>
                <w:b/>
                <w:i/>
                <w:lang w:val="es-ES_tradnl" w:eastAsia="es-ES" w:bidi="es-ES"/>
              </w:rPr>
              <w:t xml:space="preserve"> </w:t>
            </w:r>
            <w:r w:rsidRPr="00B92FD5">
              <w:rPr>
                <w:b/>
                <w:i/>
                <w:lang w:val="es-ES_tradnl" w:eastAsia="es-ES" w:bidi="es-ES"/>
              </w:rPr>
              <w:tab/>
            </w:r>
            <w:r w:rsidRPr="00B92FD5">
              <w:rPr>
                <w:b/>
                <w:i/>
                <w:lang w:val="es-ES_tradnl" w:eastAsia="es-ES" w:bidi="es-ES"/>
              </w:rPr>
              <w:tab/>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visión borrosa </w:t>
            </w:r>
            <w:r w:rsidRPr="00B92FD5">
              <w:rPr>
                <w:i/>
                <w:lang w:val="es-ES_tradnl" w:eastAsia="es-ES" w:bidi="es-ES"/>
              </w:rPr>
              <w:tab/>
            </w:r>
            <w:r w:rsidRPr="00B92FD5">
              <w:rPr>
                <w:rFonts w:ascii="Courier New" w:hAnsi="Courier New"/>
                <w:lang w:val="es-ES_tradnl" w:eastAsia="es-ES" w:bidi="es-ES"/>
              </w:rPr>
              <w:t>□</w:t>
            </w:r>
            <w:r w:rsidRPr="00B92FD5">
              <w:rPr>
                <w:b/>
                <w:lang w:val="es-ES_tradnl" w:eastAsia="es-ES" w:bidi="es-ES"/>
              </w:rPr>
              <w:t xml:space="preserve"> </w:t>
            </w:r>
            <w:r w:rsidRPr="00B92FD5">
              <w:rPr>
                <w:i/>
                <w:lang w:val="es-ES_tradnl" w:eastAsia="es-ES" w:bidi="es-ES"/>
              </w:rPr>
              <w:t>sudoración excesiva</w:t>
            </w:r>
          </w:p>
          <w:p w14:paraId="532AFAC2"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rFonts w:ascii="Arial Unicode MS" w:hAnsi="Arial Unicode MS"/>
                <w:lang w:val="es-ES_tradnl" w:eastAsia="es-ES" w:bidi="es-ES"/>
              </w:rPr>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temblor de las manos</w:t>
            </w:r>
            <w:r w:rsidRPr="00B92FD5">
              <w:rPr>
                <w:i/>
                <w:lang w:val="es-ES_tradnl" w:eastAsia="es-ES" w:bidi="es-ES"/>
              </w:rPr>
              <w:tab/>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convulsión </w:t>
            </w:r>
            <w:r w:rsidRPr="00B92FD5">
              <w:rPr>
                <w:i/>
                <w:lang w:val="es-ES_tradnl" w:eastAsia="es-ES" w:bidi="es-ES"/>
              </w:rPr>
              <w:tab/>
            </w:r>
            <w:r w:rsidRPr="00B92FD5">
              <w:rPr>
                <w:i/>
                <w:lang w:val="es-ES_tradnl" w:eastAsia="es-ES" w:bidi="es-ES"/>
              </w:rPr>
              <w:tab/>
            </w:r>
            <w:r w:rsidRPr="00B92FD5">
              <w:rPr>
                <w:b/>
                <w:lang w:val="es-ES_tradnl" w:eastAsia="es-ES" w:bidi="es-ES"/>
              </w:rPr>
              <w:t>X</w:t>
            </w:r>
            <w:r w:rsidRPr="00B92FD5">
              <w:rPr>
                <w:i/>
                <w:lang w:val="es-ES_tradnl" w:eastAsia="es-ES" w:bidi="es-ES"/>
              </w:rPr>
              <w:t xml:space="preserve"> tambaleo</w:t>
            </w:r>
            <w:r w:rsidRPr="00B92FD5">
              <w:rPr>
                <w:i/>
                <w:lang w:val="es-ES_tradnl" w:eastAsia="es-ES" w:bidi="es-ES"/>
              </w:rPr>
              <w:tab/>
            </w:r>
            <w:r w:rsidRPr="00B92FD5">
              <w:rPr>
                <w:i/>
                <w:lang w:val="es-ES_tradnl" w:eastAsia="es-ES" w:bidi="es-ES"/>
              </w:rPr>
              <w:tab/>
              <w:t xml:space="preserve">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lang w:val="es-ES_tradnl" w:eastAsia="es-ES" w:bidi="es-ES"/>
              </w:rPr>
              <w:t xml:space="preserve">contracción de las </w:t>
            </w:r>
            <w:r w:rsidRPr="00B92FD5">
              <w:rPr>
                <w:i/>
                <w:lang w:val="es-ES_tradnl" w:eastAsia="es-ES" w:bidi="es-ES"/>
              </w:rPr>
              <w:t>pupilas/miosis</w:t>
            </w:r>
          </w:p>
          <w:p w14:paraId="32E2D984"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rFonts w:ascii="Arial Unicode MS" w:hAnsi="Arial Unicode MS"/>
                <w:lang w:val="es-ES_tradnl" w:eastAsia="es-ES" w:bidi="es-ES"/>
              </w:rPr>
              <w:t xml:space="preserve">      </w:t>
            </w:r>
            <w:r w:rsidRPr="00B92FD5">
              <w:rPr>
                <w:b/>
                <w:lang w:val="es-ES_tradnl" w:eastAsia="es-ES" w:bidi="es-ES"/>
              </w:rPr>
              <w:t>X</w:t>
            </w:r>
            <w:r w:rsidRPr="00B92FD5">
              <w:rPr>
                <w:i/>
                <w:lang w:val="es-ES_tradnl" w:eastAsia="es-ES" w:bidi="es-ES"/>
              </w:rPr>
              <w:t xml:space="preserve"> salivación excesiva </w:t>
            </w:r>
            <w:r w:rsidRPr="00B92FD5">
              <w:rPr>
                <w:i/>
                <w:lang w:val="es-ES_tradnl" w:eastAsia="es-ES" w:bidi="es-ES"/>
              </w:rPr>
              <w:tab/>
            </w:r>
            <w:r w:rsidRPr="00B92FD5">
              <w:rPr>
                <w:i/>
                <w:lang w:val="es-ES_tradnl" w:eastAsia="es-ES" w:bidi="es-ES"/>
              </w:rPr>
              <w:tab/>
            </w:r>
            <w:r w:rsidRPr="00B92FD5">
              <w:rPr>
                <w:b/>
                <w:lang w:val="es-ES_tradnl" w:eastAsia="es-ES" w:bidi="es-ES"/>
              </w:rPr>
              <w:t>X</w:t>
            </w:r>
            <w:r w:rsidRPr="00B92FD5">
              <w:rPr>
                <w:rFonts w:ascii="Wingdings-Regular"/>
                <w:lang w:val="es-ES_tradnl" w:eastAsia="es-ES" w:bidi="es-ES"/>
              </w:rPr>
              <w:t xml:space="preserve"> </w:t>
            </w:r>
            <w:r w:rsidRPr="00B92FD5">
              <w:rPr>
                <w:i/>
                <w:lang w:val="es-ES_tradnl" w:eastAsia="es-ES" w:bidi="es-ES"/>
              </w:rPr>
              <w:t>náuseas/vómitos</w:t>
            </w:r>
            <w:r w:rsidRPr="00B92FD5">
              <w:rPr>
                <w:i/>
                <w:lang w:val="es-ES_tradnl" w:eastAsia="es-ES" w:bidi="es-ES"/>
              </w:rPr>
              <w:tab/>
            </w:r>
            <w:r w:rsidRPr="00B92FD5">
              <w:rPr>
                <w:b/>
                <w:lang w:val="es-ES_tradnl" w:eastAsia="es-ES" w:bidi="es-ES"/>
              </w:rPr>
              <w:t xml:space="preserve">X </w:t>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muerte</w:t>
            </w:r>
          </w:p>
          <w:p w14:paraId="43BF6C27"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b/>
                <w:lang w:val="es-ES_tradnl" w:eastAsia="es-ES" w:bidi="es-ES"/>
              </w:rPr>
              <w:t xml:space="preserve">      X</w:t>
            </w:r>
            <w:r w:rsidRPr="00B92FD5">
              <w:rPr>
                <w:lang w:val="es-ES_tradnl" w:eastAsia="es-ES" w:bidi="es-ES"/>
              </w:rPr>
              <w:t xml:space="preserve"> </w:t>
            </w:r>
            <w:r w:rsidRPr="00B92FD5">
              <w:rPr>
                <w:b/>
                <w:i/>
                <w:lang w:val="es-ES_tradnl" w:eastAsia="es-ES" w:bidi="es-ES"/>
              </w:rPr>
              <w:t>otro</w:t>
            </w:r>
            <w:r w:rsidRPr="00B92FD5">
              <w:rPr>
                <w:i/>
                <w:lang w:val="es-ES_tradnl" w:eastAsia="es-ES" w:bidi="es-ES"/>
              </w:rPr>
              <w:t xml:space="preserve"> (sírvase especificar) </w:t>
            </w:r>
            <w:r w:rsidRPr="00B92FD5">
              <w:rPr>
                <w:lang w:val="es-ES_tradnl" w:eastAsia="es-ES" w:bidi="es-ES"/>
              </w:rPr>
              <w:t>La muerte ocurrió a 200 km del lugar del tratamiento (</w:t>
            </w:r>
            <w:proofErr w:type="spellStart"/>
            <w:r w:rsidRPr="00B92FD5">
              <w:rPr>
                <w:lang w:val="es-ES_tradnl" w:eastAsia="es-ES" w:bidi="es-ES"/>
              </w:rPr>
              <w:t>N'Djamena</w:t>
            </w:r>
            <w:proofErr w:type="spellEnd"/>
            <w:r w:rsidRPr="00B92FD5">
              <w:rPr>
                <w:lang w:val="es-ES_tradnl" w:eastAsia="es-ES" w:bidi="es-ES"/>
              </w:rPr>
              <w:t>)</w:t>
            </w:r>
          </w:p>
          <w:p w14:paraId="21A4EDC9" w14:textId="77777777" w:rsidR="00114789" w:rsidRPr="00B92FD5" w:rsidRDefault="00114789" w:rsidP="00A642F9">
            <w:pPr>
              <w:autoSpaceDE w:val="0"/>
              <w:autoSpaceDN w:val="0"/>
              <w:adjustRightInd w:val="0"/>
              <w:spacing w:beforeLines="40" w:before="96"/>
              <w:rPr>
                <w:lang w:val="es-ES_tradnl" w:eastAsia="es-ES" w:bidi="es-ES"/>
              </w:rPr>
            </w:pPr>
            <w:r w:rsidRPr="00B92FD5">
              <w:rPr>
                <w:b/>
                <w:lang w:val="es-ES_tradnl" w:eastAsia="es-ES" w:bidi="es-ES"/>
              </w:rPr>
              <w:t>18. Vía de exposición (</w:t>
            </w:r>
            <w:r w:rsidRPr="00B92FD5">
              <w:rPr>
                <w:b/>
                <w:i/>
                <w:lang w:val="es-ES_tradnl" w:eastAsia="es-ES" w:bidi="es-ES"/>
              </w:rPr>
              <w:t>marque la vía principal o más de una, si procede</w:t>
            </w:r>
            <w:r w:rsidRPr="00B92FD5">
              <w:rPr>
                <w:b/>
                <w:lang w:val="es-ES_tradnl" w:eastAsia="es-ES" w:bidi="es-ES"/>
              </w:rPr>
              <w:t>)</w:t>
            </w:r>
          </w:p>
          <w:p w14:paraId="4F42F4C9" w14:textId="77777777" w:rsidR="00114789" w:rsidRPr="00B92FD5" w:rsidRDefault="00114789" w:rsidP="00A642F9">
            <w:pPr>
              <w:autoSpaceDE w:val="0"/>
              <w:autoSpaceDN w:val="0"/>
              <w:adjustRightInd w:val="0"/>
              <w:spacing w:beforeLines="40" w:before="96"/>
              <w:rPr>
                <w:b/>
                <w:bCs/>
                <w:i/>
                <w:iCs/>
                <w:lang w:val="es-ES_tradnl" w:eastAsia="es-ES" w:bidi="es-ES"/>
              </w:rPr>
            </w:pPr>
            <w:r w:rsidRPr="00B92FD5">
              <w:rPr>
                <w:rFonts w:ascii="Arial Unicode MS" w:hAnsi="Arial Unicode MS"/>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boca </w:t>
            </w:r>
            <w:r w:rsidRPr="00B92FD5">
              <w:rPr>
                <w:i/>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lang w:val="es-ES_tradnl" w:eastAsia="es-ES" w:bidi="es-ES"/>
              </w:rPr>
              <w:t xml:space="preserve"> </w:t>
            </w:r>
            <w:r w:rsidRPr="00B92FD5">
              <w:rPr>
                <w:i/>
                <w:lang w:val="es-ES_tradnl" w:eastAsia="es-ES" w:bidi="es-ES"/>
              </w:rPr>
              <w:t>piel</w:t>
            </w:r>
            <w:r w:rsidRPr="00B92FD5">
              <w:rPr>
                <w:i/>
                <w:lang w:val="es-ES_tradnl" w:eastAsia="es-ES" w:bidi="es-ES"/>
              </w:rPr>
              <w:tab/>
            </w:r>
            <w:r w:rsidRPr="00B92FD5">
              <w:rPr>
                <w:i/>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lang w:val="es-ES_tradnl" w:eastAsia="es-ES" w:bidi="es-ES"/>
              </w:rPr>
              <w:t xml:space="preserve"> </w:t>
            </w:r>
            <w:r w:rsidRPr="00B92FD5">
              <w:rPr>
                <w:i/>
                <w:lang w:val="es-ES_tradnl" w:eastAsia="es-ES" w:bidi="es-ES"/>
              </w:rPr>
              <w:t>ojos</w:t>
            </w:r>
            <w:r w:rsidRPr="00B92FD5">
              <w:rPr>
                <w:b/>
                <w:i/>
                <w:lang w:val="es-ES_tradnl" w:eastAsia="es-ES" w:bidi="es-ES"/>
              </w:rPr>
              <w:t xml:space="preserve"> </w:t>
            </w:r>
            <w:r w:rsidRPr="00B92FD5">
              <w:rPr>
                <w:b/>
                <w:i/>
                <w:lang w:val="es-ES_tradnl" w:eastAsia="es-ES" w:bidi="es-ES"/>
              </w:rPr>
              <w:tab/>
            </w:r>
            <w:r w:rsidRPr="00B92FD5">
              <w:rPr>
                <w:b/>
                <w:i/>
                <w:lang w:val="es-ES_tradnl" w:eastAsia="es-ES" w:bidi="es-ES"/>
              </w:rPr>
              <w:tab/>
            </w:r>
            <w:r w:rsidRPr="00B92FD5">
              <w:rPr>
                <w:b/>
                <w:i/>
                <w:lang w:val="es-ES_tradnl" w:eastAsia="es-ES" w:bidi="es-ES"/>
              </w:rPr>
              <w:tab/>
            </w:r>
            <w:r w:rsidRPr="00B92FD5">
              <w:rPr>
                <w:b/>
                <w:i/>
                <w:lang w:val="es-ES_tradnl" w:eastAsia="es-ES" w:bidi="es-ES"/>
              </w:rPr>
              <w:tab/>
            </w:r>
            <w:r w:rsidRPr="00B92FD5">
              <w:rPr>
                <w:b/>
                <w:lang w:val="es-ES_tradnl" w:eastAsia="es-ES" w:bidi="es-ES"/>
              </w:rPr>
              <w:t xml:space="preserve">X </w:t>
            </w:r>
            <w:r w:rsidRPr="00B92FD5">
              <w:rPr>
                <w:i/>
                <w:lang w:val="es-ES_tradnl" w:eastAsia="es-ES" w:bidi="es-ES"/>
              </w:rPr>
              <w:t>inhalación</w:t>
            </w:r>
          </w:p>
          <w:p w14:paraId="56B5A8C5" w14:textId="77777777" w:rsidR="00114789" w:rsidRPr="00B92FD5" w:rsidRDefault="00114789" w:rsidP="00A642F9">
            <w:pPr>
              <w:autoSpaceDE w:val="0"/>
              <w:autoSpaceDN w:val="0"/>
              <w:adjustRightInd w:val="0"/>
              <w:spacing w:beforeLines="40" w:before="96"/>
              <w:rPr>
                <w:i/>
                <w:iCs/>
                <w:lang w:val="es-ES_tradnl" w:eastAsia="es-ES" w:bidi="es-ES"/>
              </w:rPr>
            </w:pPr>
            <w:r w:rsidRPr="00B92FD5">
              <w:rPr>
                <w:rFonts w:ascii="Arial Unicode MS" w:hAnsi="Arial Unicode MS"/>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otro, sírvase especificar:</w:t>
            </w:r>
          </w:p>
          <w:p w14:paraId="12188109" w14:textId="77777777" w:rsidR="00114789" w:rsidRPr="00B92FD5" w:rsidRDefault="00114789" w:rsidP="00A642F9">
            <w:pPr>
              <w:autoSpaceDE w:val="0"/>
              <w:autoSpaceDN w:val="0"/>
              <w:adjustRightInd w:val="0"/>
              <w:spacing w:beforeLines="40" w:before="96"/>
              <w:rPr>
                <w:lang w:val="es-ES_tradnl" w:eastAsia="es-ES" w:bidi="es-ES"/>
              </w:rPr>
            </w:pPr>
            <w:r w:rsidRPr="00B92FD5">
              <w:rPr>
                <w:b/>
                <w:lang w:val="es-ES_tradnl" w:eastAsia="es-ES" w:bidi="es-ES"/>
              </w:rPr>
              <w:t>19. ¿Cuánto tiempo pasó después del último uso de la formulación hasta que se observaron los efectos adversos?</w:t>
            </w:r>
          </w:p>
          <w:p w14:paraId="511AE639" w14:textId="77777777" w:rsidR="00114789" w:rsidRPr="00B92FD5" w:rsidRDefault="00114789" w:rsidP="00A642F9">
            <w:pPr>
              <w:autoSpaceDE w:val="0"/>
              <w:autoSpaceDN w:val="0"/>
              <w:adjustRightInd w:val="0"/>
              <w:spacing w:beforeLines="40" w:before="96"/>
              <w:rPr>
                <w:lang w:val="es-ES_tradnl" w:eastAsia="es-ES" w:bidi="es-ES"/>
              </w:rPr>
            </w:pPr>
            <w:r w:rsidRPr="00B92FD5">
              <w:rPr>
                <w:b/>
                <w:lang w:val="es-ES_tradnl" w:eastAsia="es-ES" w:bidi="es-ES"/>
              </w:rPr>
              <w:tab/>
            </w:r>
            <w:r w:rsidRPr="00B92FD5">
              <w:rPr>
                <w:lang w:val="es-ES_tradnl" w:eastAsia="es-ES" w:bidi="es-ES"/>
              </w:rPr>
              <w:t>1 hora......................................................................................................................................................</w:t>
            </w:r>
          </w:p>
          <w:p w14:paraId="0FFEFC24" w14:textId="77777777" w:rsidR="00114789" w:rsidRPr="00B92FD5" w:rsidRDefault="00114789" w:rsidP="00A642F9">
            <w:pPr>
              <w:rPr>
                <w:i/>
                <w:lang w:val="es-ES_tradnl" w:eastAsia="es-ES" w:bidi="es-ES"/>
              </w:rPr>
            </w:pPr>
          </w:p>
        </w:tc>
      </w:tr>
      <w:tr w:rsidR="00114789" w:rsidRPr="00B92FD5" w14:paraId="73317249" w14:textId="77777777" w:rsidTr="00A642F9">
        <w:tc>
          <w:tcPr>
            <w:tcW w:w="9576" w:type="dxa"/>
            <w:tcBorders>
              <w:top w:val="double" w:sz="4" w:space="0" w:color="auto"/>
              <w:left w:val="double" w:sz="4" w:space="0" w:color="auto"/>
              <w:bottom w:val="nil"/>
              <w:right w:val="double" w:sz="4" w:space="0" w:color="auto"/>
            </w:tcBorders>
            <w:shd w:val="clear" w:color="auto" w:fill="D9D9D9"/>
          </w:tcPr>
          <w:p w14:paraId="73BB4ACC" w14:textId="77777777" w:rsidR="00114789" w:rsidRPr="00B92FD5" w:rsidRDefault="00114789" w:rsidP="00A642F9">
            <w:pPr>
              <w:spacing w:before="120" w:after="120"/>
              <w:jc w:val="center"/>
              <w:rPr>
                <w:b/>
                <w:szCs w:val="24"/>
                <w:lang w:val="es-ES_tradnl" w:eastAsia="es-ES" w:bidi="es-ES"/>
              </w:rPr>
            </w:pPr>
            <w:r w:rsidRPr="00B92FD5">
              <w:rPr>
                <w:b/>
                <w:lang w:val="es-ES_tradnl" w:eastAsia="es-ES" w:bidi="es-ES"/>
              </w:rPr>
              <w:t>IV. Gestión:</w:t>
            </w:r>
          </w:p>
        </w:tc>
      </w:tr>
      <w:tr w:rsidR="00114789" w:rsidRPr="00B92FD5" w14:paraId="54E68349" w14:textId="77777777" w:rsidTr="00A642F9">
        <w:tc>
          <w:tcPr>
            <w:tcW w:w="9576" w:type="dxa"/>
            <w:tcBorders>
              <w:left w:val="double" w:sz="4" w:space="0" w:color="auto"/>
              <w:right w:val="double" w:sz="4" w:space="0" w:color="auto"/>
            </w:tcBorders>
          </w:tcPr>
          <w:p w14:paraId="4AFA563A" w14:textId="77777777" w:rsidR="00114789" w:rsidRPr="00B92FD5" w:rsidRDefault="00114789" w:rsidP="00A642F9">
            <w:pPr>
              <w:ind w:hanging="7200"/>
              <w:rPr>
                <w:lang w:val="es-ES_tradnl" w:eastAsia="es-ES" w:bidi="es-ES"/>
              </w:rPr>
            </w:pPr>
          </w:p>
          <w:p w14:paraId="00CAC4B8" w14:textId="77777777" w:rsidR="00114789" w:rsidRPr="00B92FD5" w:rsidRDefault="00114789" w:rsidP="00A642F9">
            <w:pPr>
              <w:autoSpaceDE w:val="0"/>
              <w:autoSpaceDN w:val="0"/>
              <w:adjustRightInd w:val="0"/>
              <w:spacing w:before="40"/>
              <w:rPr>
                <w:b/>
                <w:bCs/>
                <w:lang w:val="es-ES_tradnl" w:eastAsia="es-ES" w:bidi="es-ES"/>
              </w:rPr>
            </w:pPr>
            <w:r w:rsidRPr="00B92FD5">
              <w:rPr>
                <w:b/>
                <w:lang w:val="es-ES_tradnl" w:eastAsia="es-ES" w:bidi="es-ES"/>
              </w:rPr>
              <w:t>20. Tratamiento administrado:</w:t>
            </w:r>
            <w:r w:rsidRPr="00B92FD5">
              <w:rPr>
                <w:lang w:val="es-ES_tradnl" w:eastAsia="es-ES" w:bidi="es-ES"/>
              </w:rPr>
              <w:tab/>
              <w:t>□ No</w:t>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b/>
                <w:lang w:val="es-ES_tradnl" w:eastAsia="es-ES" w:bidi="es-ES"/>
              </w:rPr>
              <w:t>X</w:t>
            </w:r>
            <w:r w:rsidRPr="00B92FD5">
              <w:rPr>
                <w:lang w:val="es-ES_tradnl" w:eastAsia="es-ES" w:bidi="es-ES"/>
              </w:rPr>
              <w:t xml:space="preserve"> Sí</w:t>
            </w:r>
            <w:r w:rsidRPr="00B92FD5">
              <w:rPr>
                <w:b/>
                <w:lang w:val="es-ES_tradnl" w:eastAsia="es-ES" w:bidi="es-ES"/>
              </w:rPr>
              <w:tab/>
            </w:r>
            <w:r w:rsidRPr="00B92FD5">
              <w:rPr>
                <w:b/>
                <w:lang w:val="es-ES_tradnl" w:eastAsia="es-ES" w:bidi="es-ES"/>
              </w:rPr>
              <w:tab/>
            </w:r>
            <w:r w:rsidRPr="00B92FD5">
              <w:rPr>
                <w:b/>
                <w:lang w:val="es-ES_tradnl" w:eastAsia="es-ES" w:bidi="es-ES"/>
              </w:rPr>
              <w:tab/>
            </w:r>
            <w:r w:rsidRPr="00B92FD5">
              <w:rPr>
                <w:lang w:val="es-ES_tradnl" w:eastAsia="es-ES" w:bidi="es-ES"/>
              </w:rPr>
              <w:t>□ Desconocido</w:t>
            </w:r>
            <w:r w:rsidRPr="00B92FD5">
              <w:rPr>
                <w:b/>
                <w:lang w:val="es-ES_tradnl" w:eastAsia="es-ES" w:bidi="es-ES"/>
              </w:rPr>
              <w:t xml:space="preserve"> </w:t>
            </w:r>
          </w:p>
          <w:p w14:paraId="7DE96B8E" w14:textId="77777777" w:rsidR="00114789" w:rsidRPr="00B92FD5" w:rsidRDefault="00114789" w:rsidP="00A642F9">
            <w:pPr>
              <w:autoSpaceDE w:val="0"/>
              <w:autoSpaceDN w:val="0"/>
              <w:adjustRightInd w:val="0"/>
              <w:spacing w:before="40"/>
              <w:rPr>
                <w:lang w:val="es-ES_tradnl" w:eastAsia="es-ES" w:bidi="es-ES"/>
              </w:rPr>
            </w:pPr>
            <w:r w:rsidRPr="00B92FD5">
              <w:rPr>
                <w:lang w:val="es-ES_tradnl" w:eastAsia="es-ES" w:bidi="es-ES"/>
              </w:rPr>
              <w:tab/>
            </w:r>
            <w:r w:rsidRPr="00B92FD5">
              <w:rPr>
                <w:b/>
                <w:lang w:val="es-ES_tradnl" w:eastAsia="es-ES" w:bidi="es-ES"/>
              </w:rPr>
              <w:t>Hospitalización</w:t>
            </w:r>
            <w:r w:rsidRPr="00B92FD5">
              <w:rPr>
                <w:lang w:val="es-ES_tradnl" w:eastAsia="es-ES" w:bidi="es-ES"/>
              </w:rPr>
              <w:t xml:space="preserve"> </w:t>
            </w:r>
            <w:r w:rsidRPr="00B92FD5">
              <w:rPr>
                <w:lang w:val="es-ES_tradnl" w:eastAsia="es-ES" w:bidi="es-ES"/>
              </w:rPr>
              <w:tab/>
            </w:r>
            <w:r w:rsidRPr="00B92FD5">
              <w:rPr>
                <w:lang w:val="es-ES_tradnl" w:eastAsia="es-ES" w:bidi="es-ES"/>
              </w:rPr>
              <w:tab/>
              <w:t>□ No</w:t>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b/>
                <w:lang w:val="es-ES_tradnl" w:eastAsia="es-ES" w:bidi="es-ES"/>
              </w:rPr>
              <w:t>X</w:t>
            </w:r>
            <w:r w:rsidRPr="00B92FD5">
              <w:rPr>
                <w:lang w:val="es-ES_tradnl" w:eastAsia="es-ES" w:bidi="es-ES"/>
              </w:rPr>
              <w:t xml:space="preserve"> Sí</w:t>
            </w:r>
            <w:r w:rsidRPr="00B92FD5">
              <w:rPr>
                <w:b/>
                <w:lang w:val="es-ES_tradnl" w:eastAsia="es-ES" w:bidi="es-ES"/>
              </w:rPr>
              <w:tab/>
            </w:r>
            <w:r w:rsidRPr="00B92FD5">
              <w:rPr>
                <w:b/>
                <w:lang w:val="es-ES_tradnl" w:eastAsia="es-ES" w:bidi="es-ES"/>
              </w:rPr>
              <w:tab/>
            </w:r>
            <w:r w:rsidRPr="00B92FD5">
              <w:rPr>
                <w:b/>
                <w:lang w:val="es-ES_tradnl" w:eastAsia="es-ES" w:bidi="es-ES"/>
              </w:rPr>
              <w:tab/>
            </w:r>
            <w:r w:rsidRPr="00B92FD5">
              <w:rPr>
                <w:lang w:val="es-ES_tradnl" w:eastAsia="es-ES" w:bidi="es-ES"/>
              </w:rPr>
              <w:t>□ Desconocido</w:t>
            </w:r>
          </w:p>
          <w:p w14:paraId="7ED026F0" w14:textId="77777777" w:rsidR="00114789" w:rsidRPr="00B92FD5" w:rsidRDefault="00114789" w:rsidP="00A642F9">
            <w:pPr>
              <w:autoSpaceDE w:val="0"/>
              <w:autoSpaceDN w:val="0"/>
              <w:adjustRightInd w:val="0"/>
              <w:spacing w:before="40"/>
              <w:rPr>
                <w:b/>
                <w:spacing w:val="-4"/>
                <w:lang w:val="es-ES_tradnl" w:eastAsia="es-ES" w:bidi="es-ES"/>
              </w:rPr>
            </w:pPr>
            <w:r w:rsidRPr="00B92FD5">
              <w:rPr>
                <w:b/>
                <w:lang w:val="es-ES_tradnl" w:eastAsia="es-ES" w:bidi="es-ES"/>
              </w:rPr>
              <w:t xml:space="preserve">21. </w:t>
            </w:r>
            <w:r w:rsidRPr="00B92FD5">
              <w:rPr>
                <w:b/>
                <w:spacing w:val="-4"/>
                <w:lang w:val="es-ES_tradnl" w:eastAsia="es-ES" w:bidi="es-ES"/>
              </w:rPr>
              <w:t>Incluya cualquier otro detalle o información sobre el tratamiento, incluidos intervención médica / primeros auxilios / hospitalización / prácticas locales, etc. (</w:t>
            </w:r>
            <w:r w:rsidRPr="00B92FD5">
              <w:rPr>
                <w:b/>
                <w:i/>
                <w:spacing w:val="-4"/>
                <w:lang w:val="es-ES_tradnl" w:eastAsia="es-ES" w:bidi="es-ES"/>
              </w:rPr>
              <w:t>se pueden agregar hojas en caso de que sea necesario</w:t>
            </w:r>
            <w:r w:rsidRPr="00B92FD5">
              <w:rPr>
                <w:b/>
                <w:spacing w:val="-4"/>
                <w:lang w:val="es-ES_tradnl" w:eastAsia="es-ES" w:bidi="es-ES"/>
              </w:rPr>
              <w:t>):</w:t>
            </w:r>
          </w:p>
          <w:p w14:paraId="1272B06A" w14:textId="77777777" w:rsidR="00114789" w:rsidRPr="00B92FD5" w:rsidRDefault="00114789" w:rsidP="00A642F9">
            <w:pPr>
              <w:autoSpaceDE w:val="0"/>
              <w:autoSpaceDN w:val="0"/>
              <w:adjustRightInd w:val="0"/>
              <w:spacing w:before="40" w:after="120"/>
              <w:rPr>
                <w:b/>
                <w:bCs/>
                <w:lang w:val="es-ES_tradnl" w:eastAsia="es-ES" w:bidi="es-ES"/>
              </w:rPr>
            </w:pPr>
            <w:r w:rsidRPr="00B92FD5">
              <w:rPr>
                <w:lang w:val="es-ES_tradnl" w:eastAsia="es-ES" w:bidi="es-ES"/>
              </w:rPr>
              <w:t>.....................</w:t>
            </w:r>
            <w:r w:rsidRPr="00B92FD5">
              <w:rPr>
                <w:b/>
                <w:lang w:val="es-ES_tradnl" w:eastAsia="es-ES" w:bidi="es-ES"/>
              </w:rPr>
              <w:t xml:space="preserve"> </w:t>
            </w:r>
            <w:r w:rsidRPr="00B92FD5">
              <w:rPr>
                <w:lang w:val="es-ES_tradnl" w:eastAsia="es-ES" w:bidi="es-ES"/>
              </w:rPr>
              <w:t>………………………………………………………………………………………..</w:t>
            </w:r>
          </w:p>
        </w:tc>
      </w:tr>
      <w:tr w:rsidR="00114789" w:rsidRPr="00B92FD5" w14:paraId="1F51CC27" w14:textId="77777777" w:rsidTr="00A642F9">
        <w:tc>
          <w:tcPr>
            <w:tcW w:w="9576" w:type="dxa"/>
            <w:tcBorders>
              <w:left w:val="double" w:sz="4" w:space="0" w:color="auto"/>
              <w:right w:val="double" w:sz="4" w:space="0" w:color="auto"/>
            </w:tcBorders>
            <w:shd w:val="clear" w:color="auto" w:fill="D9D9D9"/>
          </w:tcPr>
          <w:p w14:paraId="2A476AE0" w14:textId="77777777" w:rsidR="00114789" w:rsidRPr="00B92FD5" w:rsidRDefault="00114789" w:rsidP="00A642F9">
            <w:pPr>
              <w:jc w:val="center"/>
              <w:rPr>
                <w:b/>
                <w:szCs w:val="24"/>
                <w:lang w:val="es-ES_tradnl" w:eastAsia="es-ES" w:bidi="es-ES"/>
              </w:rPr>
            </w:pPr>
          </w:p>
          <w:p w14:paraId="10DBE7AC" w14:textId="77777777" w:rsidR="00114789" w:rsidRPr="00B92FD5" w:rsidRDefault="00114789" w:rsidP="00A642F9">
            <w:pPr>
              <w:jc w:val="center"/>
              <w:rPr>
                <w:b/>
                <w:szCs w:val="24"/>
                <w:lang w:val="es-ES_tradnl" w:eastAsia="es-ES" w:bidi="es-ES"/>
              </w:rPr>
            </w:pPr>
            <w:r w:rsidRPr="00B92FD5">
              <w:rPr>
                <w:b/>
                <w:lang w:val="es-ES_tradnl" w:eastAsia="es-ES" w:bidi="es-ES"/>
              </w:rPr>
              <w:t>V. Información / comunicaciones:</w:t>
            </w:r>
          </w:p>
          <w:p w14:paraId="5F537239" w14:textId="77777777" w:rsidR="00114789" w:rsidRPr="00B92FD5" w:rsidRDefault="00114789" w:rsidP="00A642F9">
            <w:pPr>
              <w:ind w:hanging="7200"/>
              <w:rPr>
                <w:lang w:val="es-ES_tradnl" w:eastAsia="es-ES" w:bidi="es-ES"/>
              </w:rPr>
            </w:pPr>
          </w:p>
        </w:tc>
      </w:tr>
      <w:tr w:rsidR="00114789" w:rsidRPr="00ED5AB4" w14:paraId="40C88C49" w14:textId="77777777" w:rsidTr="00A642F9">
        <w:tc>
          <w:tcPr>
            <w:tcW w:w="9576" w:type="dxa"/>
            <w:tcBorders>
              <w:left w:val="double" w:sz="4" w:space="0" w:color="auto"/>
              <w:bottom w:val="double" w:sz="4" w:space="0" w:color="auto"/>
              <w:right w:val="double" w:sz="4" w:space="0" w:color="auto"/>
            </w:tcBorders>
          </w:tcPr>
          <w:p w14:paraId="2011A6AC" w14:textId="77777777" w:rsidR="00114789" w:rsidRPr="00B92FD5" w:rsidRDefault="00114789" w:rsidP="00A642F9">
            <w:pPr>
              <w:autoSpaceDE w:val="0"/>
              <w:autoSpaceDN w:val="0"/>
              <w:adjustRightInd w:val="0"/>
              <w:spacing w:beforeLines="40" w:before="96" w:after="120"/>
              <w:rPr>
                <w:lang w:val="es-ES_tradnl" w:eastAsia="es-ES" w:bidi="es-ES"/>
              </w:rPr>
            </w:pPr>
            <w:r w:rsidRPr="00B92FD5">
              <w:rPr>
                <w:b/>
                <w:lang w:val="es-ES_tradnl" w:eastAsia="es-ES" w:bidi="es-ES"/>
              </w:rPr>
              <w:t>22. Fecha de recolección de datos / consulta:</w:t>
            </w:r>
            <w:r w:rsidRPr="00B92FD5">
              <w:rPr>
                <w:lang w:val="es-ES_tradnl" w:eastAsia="es-ES" w:bidi="es-ES"/>
              </w:rPr>
              <w:t xml:space="preserve"> 27 de noviembre de 2011</w:t>
            </w:r>
          </w:p>
          <w:p w14:paraId="6033D84B" w14:textId="77777777" w:rsidR="00114789" w:rsidRPr="00B92FD5" w:rsidRDefault="00114789" w:rsidP="00A642F9">
            <w:pPr>
              <w:autoSpaceDE w:val="0"/>
              <w:autoSpaceDN w:val="0"/>
              <w:adjustRightInd w:val="0"/>
              <w:spacing w:beforeLines="40" w:before="96" w:after="20"/>
              <w:rPr>
                <w:bCs/>
                <w:lang w:val="es-ES_tradnl" w:eastAsia="es-ES" w:bidi="es-ES"/>
              </w:rPr>
            </w:pPr>
            <w:r w:rsidRPr="00B92FD5">
              <w:rPr>
                <w:b/>
                <w:lang w:val="es-ES_tradnl" w:eastAsia="es-ES" w:bidi="es-ES"/>
              </w:rPr>
              <w:t>23. Nombre y dirección del investigador / recolector de datos:</w:t>
            </w:r>
            <w:r w:rsidRPr="00B92FD5">
              <w:rPr>
                <w:lang w:val="es-ES_tradnl" w:eastAsia="es-ES" w:bidi="es-ES"/>
              </w:rPr>
              <w:t xml:space="preserve"> DJEKADOM RIABE SAMUEL</w:t>
            </w:r>
          </w:p>
          <w:p w14:paraId="3FFD9DD9" w14:textId="77777777" w:rsidR="00114789" w:rsidRPr="00B92FD5" w:rsidRDefault="00114789" w:rsidP="00A642F9">
            <w:pPr>
              <w:autoSpaceDE w:val="0"/>
              <w:autoSpaceDN w:val="0"/>
              <w:adjustRightInd w:val="0"/>
              <w:spacing w:beforeLines="40" w:before="96" w:after="20"/>
              <w:rPr>
                <w:lang w:val="es-ES_tradnl" w:eastAsia="es-ES" w:bidi="es-ES"/>
              </w:rPr>
            </w:pPr>
            <w:r w:rsidRPr="00B92FD5">
              <w:rPr>
                <w:lang w:val="es-ES_tradnl" w:eastAsia="es-ES" w:bidi="es-ES"/>
              </w:rPr>
              <w:t xml:space="preserve">Jefe, Departamento de Vigilancia, Intervención y Logística DPVC, </w:t>
            </w:r>
            <w:proofErr w:type="spellStart"/>
            <w:r w:rsidRPr="00B92FD5">
              <w:rPr>
                <w:lang w:val="es-ES_tradnl" w:eastAsia="es-ES" w:bidi="es-ES"/>
              </w:rPr>
              <w:t>N'Djamena</w:t>
            </w:r>
            <w:proofErr w:type="spellEnd"/>
            <w:r w:rsidRPr="00B92FD5">
              <w:rPr>
                <w:lang w:val="es-ES_tradnl" w:eastAsia="es-ES" w:bidi="es-ES"/>
              </w:rPr>
              <w:t xml:space="preserve"> (CHAD)</w:t>
            </w:r>
            <w:proofErr w:type="gramStart"/>
            <w:r w:rsidRPr="00B92FD5">
              <w:rPr>
                <w:lang w:val="es-ES_tradnl" w:eastAsia="es-ES" w:bidi="es-ES"/>
              </w:rPr>
              <w:t xml:space="preserve"> ….</w:t>
            </w:r>
            <w:proofErr w:type="gramEnd"/>
            <w:r w:rsidRPr="00B92FD5">
              <w:rPr>
                <w:lang w:val="es-ES_tradnl" w:eastAsia="es-ES" w:bidi="es-ES"/>
              </w:rPr>
              <w:t>….......................................................................................................................................................</w:t>
            </w:r>
          </w:p>
          <w:p w14:paraId="7F9D572F" w14:textId="77777777" w:rsidR="00114789" w:rsidRPr="00B92FD5" w:rsidRDefault="00114789" w:rsidP="00A642F9">
            <w:pPr>
              <w:autoSpaceDE w:val="0"/>
              <w:autoSpaceDN w:val="0"/>
              <w:adjustRightInd w:val="0"/>
              <w:spacing w:beforeLines="40" w:before="96" w:after="20"/>
              <w:rPr>
                <w:b/>
                <w:bCs/>
                <w:lang w:val="es-ES_tradnl" w:eastAsia="es-ES" w:bidi="es-ES"/>
              </w:rPr>
            </w:pPr>
            <w:r w:rsidRPr="00B92FD5">
              <w:rPr>
                <w:b/>
                <w:lang w:val="es-ES_tradnl" w:eastAsia="es-ES" w:bidi="es-ES"/>
              </w:rPr>
              <w:t>24. Categoría del investigador / recolector de datos:</w:t>
            </w:r>
          </w:p>
          <w:p w14:paraId="52269F9B" w14:textId="77777777" w:rsidR="00114789" w:rsidRPr="00B92FD5" w:rsidRDefault="00114789" w:rsidP="00A642F9">
            <w:pPr>
              <w:autoSpaceDE w:val="0"/>
              <w:autoSpaceDN w:val="0"/>
              <w:adjustRightInd w:val="0"/>
              <w:spacing w:beforeLines="40" w:before="96" w:after="20"/>
              <w:rPr>
                <w:b/>
                <w:bCs/>
                <w:i/>
                <w:iCs/>
                <w:lang w:val="es-ES_tradnl" w:eastAsia="es-ES" w:bidi="es-ES"/>
              </w:rPr>
            </w:pPr>
            <w:r w:rsidRPr="00B92FD5">
              <w:rPr>
                <w:rFonts w:ascii="Arial Unicode MS" w:hAnsi="Arial Unicode MS"/>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médicos </w:t>
            </w:r>
            <w:r w:rsidRPr="00B92FD5">
              <w:rPr>
                <w:lang w:val="es-ES_tradnl" w:eastAsia="es-ES" w:bidi="es-ES"/>
              </w:rPr>
              <w:tab/>
            </w:r>
            <w:r w:rsidRPr="00B92FD5">
              <w:rPr>
                <w:lang w:val="es-ES_tradnl" w:eastAsia="es-ES" w:bidi="es-ES"/>
              </w:rPr>
              <w:tab/>
            </w:r>
            <w:r w:rsidRPr="00B92FD5">
              <w:rPr>
                <w:rFonts w:ascii="Courier New" w:hAnsi="Courier New"/>
                <w:lang w:val="es-ES_tradnl" w:eastAsia="es-ES" w:bidi="es-ES"/>
              </w:rPr>
              <w:t>□</w:t>
            </w:r>
            <w:r w:rsidRPr="00B92FD5">
              <w:rPr>
                <w:rFonts w:ascii="Wingdings-Regular"/>
                <w:lang w:val="es-ES_tradnl" w:eastAsia="es-ES" w:bidi="es-ES"/>
              </w:rPr>
              <w:t xml:space="preserve"> </w:t>
            </w:r>
            <w:r w:rsidRPr="00B92FD5">
              <w:rPr>
                <w:i/>
                <w:lang w:val="es-ES_tradnl" w:eastAsia="es-ES" w:bidi="es-ES"/>
              </w:rPr>
              <w:t xml:space="preserve">paramédicos </w:t>
            </w:r>
            <w:r w:rsidRPr="00B92FD5">
              <w:rPr>
                <w:lang w:val="es-ES_tradnl" w:eastAsia="es-ES" w:bidi="es-ES"/>
              </w:rPr>
              <w:tab/>
            </w:r>
            <w:r w:rsidRPr="00B92FD5">
              <w:rPr>
                <w:lang w:val="es-ES_tradnl" w:eastAsia="es-ES" w:bidi="es-ES"/>
              </w:rPr>
              <w:tab/>
            </w:r>
            <w:r w:rsidRPr="00B92FD5">
              <w:rPr>
                <w:b/>
                <w:lang w:val="es-ES_tradnl" w:eastAsia="es-ES" w:bidi="es-ES"/>
              </w:rPr>
              <w:t xml:space="preserve">X </w:t>
            </w:r>
            <w:r w:rsidRPr="00B92FD5">
              <w:rPr>
                <w:i/>
                <w:lang w:val="es-ES_tradnl" w:eastAsia="es-ES" w:bidi="es-ES"/>
              </w:rPr>
              <w:t xml:space="preserve">no médicos </w:t>
            </w:r>
          </w:p>
          <w:p w14:paraId="2EC5EF20" w14:textId="77777777" w:rsidR="00114789" w:rsidRPr="00B92FD5" w:rsidRDefault="00114789" w:rsidP="00A642F9">
            <w:pPr>
              <w:autoSpaceDE w:val="0"/>
              <w:autoSpaceDN w:val="0"/>
              <w:adjustRightInd w:val="0"/>
              <w:spacing w:beforeLines="40" w:before="96" w:after="20"/>
              <w:ind w:left="284" w:hanging="284"/>
              <w:rPr>
                <w:lang w:val="es-ES_tradnl" w:eastAsia="es-ES" w:bidi="es-ES"/>
              </w:rPr>
            </w:pPr>
            <w:r w:rsidRPr="00B92FD5">
              <w:rPr>
                <w:lang w:val="es-ES_tradnl" w:eastAsia="es-ES" w:bidi="es-ES"/>
              </w:rPr>
              <w:tab/>
              <w:t>Si marcó no médicos, sírvase especificar la categoría (</w:t>
            </w:r>
            <w:r w:rsidRPr="00B92FD5">
              <w:rPr>
                <w:i/>
                <w:lang w:val="es-ES_tradnl" w:eastAsia="es-ES" w:bidi="es-ES"/>
              </w:rPr>
              <w:t>aplicador, encargado de la formulación, vendedor, divulgador, gerente, etc.):</w:t>
            </w:r>
            <w:r w:rsidRPr="00B92FD5">
              <w:rPr>
                <w:lang w:val="es-ES_tradnl" w:eastAsia="es-ES" w:bidi="es-ES"/>
              </w:rPr>
              <w:t xml:space="preserve">  Supervisor</w:t>
            </w:r>
          </w:p>
          <w:p w14:paraId="7A737517" w14:textId="77777777" w:rsidR="00114789" w:rsidRPr="00B92FD5" w:rsidRDefault="00114789" w:rsidP="00A642F9">
            <w:pPr>
              <w:autoSpaceDE w:val="0"/>
              <w:autoSpaceDN w:val="0"/>
              <w:adjustRightInd w:val="0"/>
              <w:spacing w:beforeLines="40" w:before="96" w:after="20"/>
              <w:rPr>
                <w:lang w:val="es-ES_tradnl" w:eastAsia="es-ES" w:bidi="es-ES"/>
              </w:rPr>
            </w:pPr>
            <w:r w:rsidRPr="00B92FD5">
              <w:rPr>
                <w:b/>
                <w:lang w:val="es-ES_tradnl" w:eastAsia="es-ES" w:bidi="es-ES"/>
              </w:rPr>
              <w:t xml:space="preserve">25. Contacto en caso de que se necesite más información: </w:t>
            </w:r>
            <w:r w:rsidRPr="00B92FD5">
              <w:rPr>
                <w:lang w:val="es-ES_tradnl" w:eastAsia="es-ES" w:bidi="es-ES"/>
              </w:rPr>
              <w:t xml:space="preserve">    Tel: .....................................................</w:t>
            </w:r>
          </w:p>
          <w:p w14:paraId="3A5FE4B9" w14:textId="77777777" w:rsidR="00114789" w:rsidRPr="00B92FD5" w:rsidRDefault="00114789" w:rsidP="00A642F9">
            <w:pPr>
              <w:autoSpaceDE w:val="0"/>
              <w:autoSpaceDN w:val="0"/>
              <w:adjustRightInd w:val="0"/>
              <w:spacing w:beforeLines="40" w:before="96" w:after="20"/>
              <w:rPr>
                <w:lang w:val="es-ES_tradnl" w:eastAsia="es-ES" w:bidi="es-ES"/>
              </w:rPr>
            </w:pPr>
            <w:r w:rsidRPr="00B92FD5">
              <w:rPr>
                <w:lang w:val="es-ES_tradnl" w:eastAsia="es-ES" w:bidi="es-ES"/>
              </w:rPr>
              <w:t xml:space="preserve">    Fax: .....................................................        Correo electrónico:</w:t>
            </w:r>
          </w:p>
          <w:p w14:paraId="0BD6604E" w14:textId="77777777" w:rsidR="00114789" w:rsidRPr="00B92FD5" w:rsidRDefault="00114789" w:rsidP="00A642F9">
            <w:pPr>
              <w:autoSpaceDE w:val="0"/>
              <w:autoSpaceDN w:val="0"/>
              <w:adjustRightInd w:val="0"/>
              <w:spacing w:beforeLines="40" w:before="96" w:after="20"/>
              <w:rPr>
                <w:b/>
                <w:bCs/>
                <w:lang w:val="es-ES_tradnl" w:eastAsia="es-ES" w:bidi="es-ES"/>
              </w:rPr>
            </w:pPr>
            <w:r w:rsidRPr="00B92FD5">
              <w:rPr>
                <w:b/>
                <w:lang w:val="es-ES_tradnl" w:eastAsia="es-ES" w:bidi="es-ES"/>
              </w:rPr>
              <w:t>26. ¿Este mismo incidente fue notificado en algún otro lugar?</w:t>
            </w:r>
            <w:r w:rsidRPr="00B92FD5">
              <w:rPr>
                <w:lang w:val="es-ES_tradnl" w:eastAsia="es-ES" w:bidi="es-ES"/>
              </w:rPr>
              <w:tab/>
            </w:r>
            <w:r w:rsidRPr="00B92FD5">
              <w:rPr>
                <w:lang w:val="es-ES_tradnl" w:eastAsia="es-ES" w:bidi="es-ES"/>
              </w:rPr>
              <w:tab/>
            </w:r>
            <w:r w:rsidRPr="00B92FD5">
              <w:rPr>
                <w:b/>
                <w:lang w:val="es-ES_tradnl" w:eastAsia="es-ES" w:bidi="es-ES"/>
              </w:rPr>
              <w:t>X</w:t>
            </w:r>
            <w:r w:rsidRPr="00B92FD5">
              <w:rPr>
                <w:rFonts w:ascii="Wingdings-Regular"/>
                <w:lang w:val="es-ES_tradnl" w:eastAsia="es-ES" w:bidi="es-ES"/>
              </w:rPr>
              <w:t xml:space="preserve"> </w:t>
            </w:r>
            <w:r w:rsidRPr="00B92FD5">
              <w:rPr>
                <w:lang w:val="es-ES_tradnl" w:eastAsia="es-ES" w:bidi="es-ES"/>
              </w:rPr>
              <w:t>No</w:t>
            </w:r>
            <w:r w:rsidRPr="00B92FD5">
              <w:rPr>
                <w:lang w:val="es-ES_tradnl" w:eastAsia="es-ES" w:bidi="es-ES"/>
              </w:rPr>
              <w:tab/>
            </w:r>
            <w:r w:rsidRPr="00B92FD5">
              <w:rPr>
                <w:lang w:val="es-ES_tradnl" w:eastAsia="es-ES" w:bidi="es-ES"/>
              </w:rPr>
              <w:tab/>
              <w:t>□</w:t>
            </w:r>
            <w:r w:rsidRPr="00B92FD5">
              <w:rPr>
                <w:b/>
                <w:lang w:val="es-ES_tradnl" w:eastAsia="es-ES" w:bidi="es-ES"/>
              </w:rPr>
              <w:t xml:space="preserve"> </w:t>
            </w:r>
            <w:r w:rsidRPr="00B92FD5">
              <w:rPr>
                <w:lang w:val="es-ES_tradnl" w:eastAsia="es-ES" w:bidi="es-ES"/>
              </w:rPr>
              <w:t>Sí</w:t>
            </w:r>
          </w:p>
          <w:p w14:paraId="3A3954AC" w14:textId="77777777" w:rsidR="00114789" w:rsidRPr="00B92FD5" w:rsidRDefault="00114789" w:rsidP="00A642F9">
            <w:pPr>
              <w:autoSpaceDE w:val="0"/>
              <w:autoSpaceDN w:val="0"/>
              <w:adjustRightInd w:val="0"/>
              <w:spacing w:beforeLines="40" w:before="96" w:after="20"/>
              <w:rPr>
                <w:b/>
                <w:bCs/>
                <w:lang w:val="es-ES_tradnl" w:eastAsia="es-ES" w:bidi="es-ES"/>
              </w:rPr>
            </w:pPr>
            <w:r w:rsidRPr="00B92FD5">
              <w:rPr>
                <w:lang w:val="es-ES_tradnl" w:eastAsia="es-ES" w:bidi="es-ES"/>
              </w:rPr>
              <w:tab/>
              <w:t>En caso afirmativo, dónde: .........................................................</w:t>
            </w:r>
          </w:p>
          <w:p w14:paraId="44721723" w14:textId="77777777" w:rsidR="00114789" w:rsidRPr="00B92FD5" w:rsidRDefault="00114789" w:rsidP="00A642F9">
            <w:pPr>
              <w:autoSpaceDE w:val="0"/>
              <w:autoSpaceDN w:val="0"/>
              <w:adjustRightInd w:val="0"/>
              <w:spacing w:before="40" w:after="20"/>
              <w:jc w:val="center"/>
              <w:rPr>
                <w:b/>
                <w:bCs/>
                <w:lang w:val="es-ES_tradnl" w:eastAsia="es-ES" w:bidi="es-ES"/>
              </w:rPr>
            </w:pPr>
            <w:r w:rsidRPr="00B92FD5">
              <w:rPr>
                <w:b/>
                <w:lang w:val="es-ES_tradnl" w:eastAsia="es-ES" w:bidi="es-ES"/>
              </w:rPr>
              <w:t>Envíe el formulario de notificación de incidentes rellenado a la Autoridad Nacional Designada.</w:t>
            </w:r>
          </w:p>
          <w:p w14:paraId="67EE6C95" w14:textId="77777777" w:rsidR="00114789" w:rsidRPr="00B92FD5" w:rsidRDefault="00114789" w:rsidP="00A642F9">
            <w:pPr>
              <w:spacing w:before="40" w:after="20"/>
              <w:jc w:val="center"/>
              <w:rPr>
                <w:b/>
                <w:lang w:val="es-ES_tradnl" w:eastAsia="es-ES" w:bidi="es-ES"/>
              </w:rPr>
            </w:pPr>
            <w:r w:rsidRPr="00B92FD5">
              <w:rPr>
                <w:b/>
                <w:lang w:val="es-ES_tradnl" w:eastAsia="es-ES" w:bidi="es-ES"/>
              </w:rPr>
              <w:t>(Nombre y dirección de la Autoridad Nacional Designada)</w:t>
            </w:r>
          </w:p>
        </w:tc>
      </w:tr>
    </w:tbl>
    <w:p w14:paraId="68BAA588" w14:textId="77777777" w:rsidR="00114789" w:rsidRPr="00B92FD5" w:rsidRDefault="00114789" w:rsidP="00114789">
      <w:pPr>
        <w:autoSpaceDE w:val="0"/>
        <w:autoSpaceDN w:val="0"/>
        <w:adjustRightInd w:val="0"/>
        <w:rPr>
          <w:b/>
          <w:sz w:val="4"/>
          <w:szCs w:val="4"/>
          <w:lang w:val="es-ES_tradnl" w:eastAsia="es-ES" w:bidi="es-ES"/>
        </w:rPr>
      </w:pPr>
      <w:r w:rsidRPr="00B92FD5">
        <w:rPr>
          <w:lang w:val="es-ES_tradnl" w:eastAsia="es-ES" w:bidi="es-ES"/>
        </w:rPr>
        <w:br w:type="page"/>
      </w:r>
    </w:p>
    <w:tbl>
      <w:tblPr>
        <w:tblW w:w="950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04"/>
      </w:tblGrid>
      <w:tr w:rsidR="00114789" w:rsidRPr="00ED5AB4" w14:paraId="0AD08A51" w14:textId="77777777" w:rsidTr="00A642F9">
        <w:trPr>
          <w:cantSplit/>
        </w:trPr>
        <w:tc>
          <w:tcPr>
            <w:tcW w:w="9504" w:type="dxa"/>
            <w:tcBorders>
              <w:top w:val="single" w:sz="6" w:space="0" w:color="808080"/>
              <w:bottom w:val="single" w:sz="6" w:space="0" w:color="808080"/>
            </w:tcBorders>
            <w:shd w:val="pct12" w:color="000000" w:fill="FFFFFF"/>
          </w:tcPr>
          <w:p w14:paraId="5B6D4A84" w14:textId="77777777" w:rsidR="00114789" w:rsidRPr="00B92FD5" w:rsidRDefault="00114789" w:rsidP="00A642F9">
            <w:pPr>
              <w:spacing w:before="40" w:after="60"/>
              <w:outlineLvl w:val="0"/>
              <w:rPr>
                <w:b/>
                <w:bCs/>
                <w:kern w:val="28"/>
                <w:szCs w:val="24"/>
                <w:lang w:val="es-ES_tradnl" w:eastAsia="es-ES" w:bidi="es-ES"/>
              </w:rPr>
            </w:pP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b/>
                <w:kern w:val="28"/>
                <w:lang w:val="es-ES_tradnl" w:eastAsia="es-ES" w:bidi="es-ES"/>
              </w:rPr>
              <w:t>Anexo III Hoja(s) de datos de seguridad sobre el ingrediente o ingredientes activos del plaguicida</w:t>
            </w:r>
          </w:p>
        </w:tc>
      </w:tr>
    </w:tbl>
    <w:p w14:paraId="7D56E92A" w14:textId="77777777" w:rsidR="00114789" w:rsidRPr="00B92FD5" w:rsidRDefault="00114789" w:rsidP="00114789">
      <w:pPr>
        <w:tabs>
          <w:tab w:val="left" w:pos="-720"/>
          <w:tab w:val="left" w:pos="0"/>
          <w:tab w:val="left" w:pos="720"/>
        </w:tabs>
        <w:suppressAutoHyphens/>
        <w:rPr>
          <w:lang w:val="es-ES_tradnl" w:eastAsia="es-ES" w:bidi="es-ES"/>
        </w:rPr>
      </w:pPr>
    </w:p>
    <w:p w14:paraId="0A3BE2C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s-ES_tradnl" w:eastAsia="es-ES" w:bidi="es-ES"/>
        </w:rPr>
      </w:pPr>
      <w:r w:rsidRPr="00B92FD5">
        <w:rPr>
          <w:lang w:val="es-ES_tradnl" w:eastAsia="es-ES" w:bidi="es-ES"/>
        </w:rPr>
        <w:t xml:space="preserve">Nota: No se encontraron hojas de datos sobre el producto </w:t>
      </w:r>
      <w:proofErr w:type="spellStart"/>
      <w:r w:rsidRPr="00B92FD5">
        <w:rPr>
          <w:lang w:val="es-ES_tradnl" w:eastAsia="es-ES" w:bidi="es-ES"/>
        </w:rPr>
        <w:t>Fentión</w:t>
      </w:r>
      <w:proofErr w:type="spellEnd"/>
      <w:r w:rsidRPr="00B92FD5">
        <w:rPr>
          <w:lang w:val="es-ES_tradnl" w:eastAsia="es-ES" w:bidi="es-ES"/>
        </w:rPr>
        <w:t xml:space="preserve"> 640 ULV.</w:t>
      </w:r>
    </w:p>
    <w:p w14:paraId="3676A83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s-ES_tradnl" w:eastAsia="es-ES" w:bidi="es-ES"/>
        </w:rPr>
      </w:pPr>
    </w:p>
    <w:p w14:paraId="011FC58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cs="Courier New"/>
          <w:noProof/>
          <w:color w:val="0000FF"/>
          <w:lang w:val="es-ES_tradnl" w:eastAsia="es-ES"/>
        </w:rPr>
        <w:drawing>
          <wp:inline distT="0" distB="0" distL="0" distR="0" wp14:anchorId="5E715C10" wp14:editId="3DE5BE75">
            <wp:extent cx="6002655" cy="617855"/>
            <wp:effectExtent l="0" t="0" r="0" b="0"/>
            <wp:docPr id="8" name="Picture 2" descr="IPCS INCHEM Hom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PCS INCHEM Hom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02655" cy="617855"/>
                    </a:xfrm>
                    <a:prstGeom prst="rect">
                      <a:avLst/>
                    </a:prstGeom>
                    <a:noFill/>
                    <a:ln>
                      <a:noFill/>
                    </a:ln>
                  </pic:spPr>
                </pic:pic>
              </a:graphicData>
            </a:graphic>
          </wp:inline>
        </w:drawing>
      </w:r>
    </w:p>
    <w:p w14:paraId="3AE9C8C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es-ES_tradnl" w:eastAsia="es-ES" w:bidi="es-ES"/>
        </w:rPr>
      </w:pPr>
    </w:p>
    <w:p w14:paraId="35C9248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ORGANIZACIÓN MUNDIAL DE LA SALUD </w:t>
      </w:r>
      <w:r w:rsidRPr="00B92FD5">
        <w:rPr>
          <w:rFonts w:ascii="Courier New" w:hAnsi="Courier New"/>
          <w:lang w:val="es-ES_tradnl" w:eastAsia="es-ES" w:bidi="es-ES"/>
        </w:rPr>
        <w:tab/>
        <w:t>ORGANIZACIÓN DE LAS NACIONES UNIDAS</w:t>
      </w:r>
    </w:p>
    <w:p w14:paraId="008A71D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PARA LA ALIMENTACIÓN Y LA AGRICULTURA</w:t>
      </w:r>
    </w:p>
    <w:p w14:paraId="5A3DD3B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ORGANISATION MONDIALE DE LA SANTE ORGANISATION POUR L'ALIMENTATION</w:t>
      </w:r>
    </w:p>
    <w:p w14:paraId="10EFFD6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ET L'AGRICULTURE</w:t>
      </w:r>
    </w:p>
    <w:p w14:paraId="61DA441E"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D7426F7" w14:textId="095755C1"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sidRPr="00B92FD5">
        <w:rPr>
          <w:rFonts w:ascii="Courier New" w:hAnsi="Courier New"/>
          <w:lang w:val="es-ES_tradnl" w:eastAsia="es-ES" w:bidi="es-ES"/>
        </w:rPr>
        <w:t xml:space="preserve">                                      </w:t>
      </w:r>
      <w:r w:rsidRPr="00B92FD5">
        <w:rPr>
          <w:rFonts w:ascii="Courier New" w:hAnsi="Courier New"/>
          <w:lang w:val="es-ES_tradnl" w:eastAsia="es-ES" w:bidi="es-ES"/>
        </w:rPr>
        <w:t xml:space="preserve">       VBC/DS/77.23</w:t>
      </w:r>
    </w:p>
    <w:p w14:paraId="3C07931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9A1DC01" w14:textId="0AFFEBF6"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sidRPr="00B92FD5">
        <w:rPr>
          <w:rFonts w:ascii="Courier New" w:hAnsi="Courier New"/>
          <w:lang w:val="es-ES_tradnl" w:eastAsia="es-ES" w:bidi="es-ES"/>
        </w:rPr>
        <w:t xml:space="preserve">                                  </w:t>
      </w:r>
      <w:r w:rsidRPr="00B92FD5">
        <w:rPr>
          <w:rFonts w:ascii="Courier New" w:hAnsi="Courier New"/>
          <w:lang w:val="es-ES_tradnl" w:eastAsia="es-ES" w:bidi="es-ES"/>
        </w:rPr>
        <w:t xml:space="preserve">        ORIGINAL: INGLÉS</w:t>
      </w:r>
    </w:p>
    <w:p w14:paraId="2181CA4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B39332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C6C053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Pr="00B92FD5">
        <w:rPr>
          <w:rFonts w:ascii="Courier New" w:hAnsi="Courier New"/>
          <w:b/>
          <w:color w:val="FF0000"/>
          <w:lang w:val="es-ES_tradnl" w:eastAsia="es-ES" w:bidi="es-ES"/>
        </w:rPr>
        <w:t>HOJAS DE DATOS SOBRE PLAGUICIDAS No. 23</w:t>
      </w:r>
    </w:p>
    <w:p w14:paraId="47118CC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751F70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Diciembre de 1976</w:t>
      </w:r>
    </w:p>
    <w:p w14:paraId="6E7D6C8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CB9535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Pr="00B92FD5">
        <w:rPr>
          <w:rFonts w:ascii="Courier New" w:hAnsi="Courier New"/>
          <w:b/>
          <w:color w:val="FF0000"/>
          <w:lang w:val="es-ES_tradnl" w:eastAsia="es-ES" w:bidi="es-ES"/>
        </w:rPr>
        <w:t>FENTIÓN</w:t>
      </w:r>
    </w:p>
    <w:p w14:paraId="4CBF9B8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DBD8EB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C18B6B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lang w:val="es-ES_tradnl" w:eastAsia="es-ES" w:bidi="es-ES"/>
        </w:rPr>
      </w:pPr>
      <w:r w:rsidRPr="00B92FD5">
        <w:rPr>
          <w:rFonts w:ascii="Courier New" w:hAnsi="Courier New"/>
          <w:lang w:val="es-ES_tradnl" w:eastAsia="es-ES" w:bidi="es-ES"/>
        </w:rPr>
        <w:tab/>
        <w:t>Cabe señalar que la publicación de la ficha de datos de un plaguicida en particular no entraña la aprobación del plaguicida por la OMS o la FAO para un uso en particular, ni la exclusión de su uso para otros fines no especificados. Aunque se cree que la información proporcionada es correcta según los datos disponibles en el momento en que se preparó la hoja, ni la OMS ni la FAO son responsables de errores u omisiones, ni de las consecuencias que pudiera traer.</w:t>
      </w:r>
    </w:p>
    <w:p w14:paraId="7B26087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lang w:val="es-ES_tradnl" w:eastAsia="es-ES" w:bidi="es-ES"/>
        </w:rPr>
      </w:pPr>
    </w:p>
    <w:tbl>
      <w:tblPr>
        <w:tblW w:w="0" w:type="auto"/>
        <w:tblLook w:val="04A0" w:firstRow="1" w:lastRow="0" w:firstColumn="1" w:lastColumn="0" w:noHBand="0" w:noVBand="1"/>
      </w:tblPr>
      <w:tblGrid>
        <w:gridCol w:w="4747"/>
        <w:gridCol w:w="4750"/>
      </w:tblGrid>
      <w:tr w:rsidR="00114789" w:rsidRPr="00ED5AB4" w14:paraId="4204A920" w14:textId="77777777" w:rsidTr="00A642F9">
        <w:tc>
          <w:tcPr>
            <w:tcW w:w="4818" w:type="dxa"/>
          </w:tcPr>
          <w:p w14:paraId="7D1F4E03" w14:textId="77777777" w:rsidR="00114789" w:rsidRPr="00B92FD5" w:rsidRDefault="00114789" w:rsidP="00A642F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La publicación de este documento no lo hace oficial. No debe ser objeto de crítica, resumido o citado en publicaciones sin el acuerdo de la Organización de las Naciones Unidas para la Alimentación y la Agricultura u la Organización Mundial de la Salud.</w:t>
            </w:r>
          </w:p>
        </w:tc>
        <w:tc>
          <w:tcPr>
            <w:tcW w:w="4818" w:type="dxa"/>
          </w:tcPr>
          <w:p w14:paraId="3500BD4E" w14:textId="77777777" w:rsidR="00114789" w:rsidRPr="00B92FD5" w:rsidRDefault="00114789" w:rsidP="00A642F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Ce </w:t>
            </w:r>
            <w:proofErr w:type="spellStart"/>
            <w:r w:rsidRPr="00B92FD5">
              <w:rPr>
                <w:rFonts w:ascii="Courier New" w:hAnsi="Courier New"/>
                <w:lang w:val="es-ES_tradnl" w:eastAsia="es-ES" w:bidi="es-ES"/>
              </w:rPr>
              <w:t>document</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ne</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constitue</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pas</w:t>
            </w:r>
            <w:proofErr w:type="spellEnd"/>
            <w:r w:rsidRPr="00B92FD5">
              <w:rPr>
                <w:rFonts w:ascii="Courier New" w:hAnsi="Courier New"/>
                <w:lang w:val="es-ES_tradnl" w:eastAsia="es-ES" w:bidi="es-ES"/>
              </w:rPr>
              <w:t xml:space="preserve"> une </w:t>
            </w:r>
            <w:proofErr w:type="spellStart"/>
            <w:r w:rsidRPr="00B92FD5">
              <w:rPr>
                <w:rFonts w:ascii="Courier New" w:hAnsi="Courier New"/>
                <w:lang w:val="es-ES_tradnl" w:eastAsia="es-ES" w:bidi="es-ES"/>
              </w:rPr>
              <w:t>publication</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Il</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ne</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doit</w:t>
            </w:r>
            <w:proofErr w:type="spellEnd"/>
            <w:r w:rsidRPr="00B92FD5">
              <w:rPr>
                <w:rFonts w:ascii="Courier New" w:hAnsi="Courier New"/>
                <w:lang w:val="es-ES_tradnl" w:eastAsia="es-ES" w:bidi="es-ES"/>
              </w:rPr>
              <w:t xml:space="preserve"> faire </w:t>
            </w:r>
            <w:proofErr w:type="spellStart"/>
            <w:r w:rsidRPr="00B92FD5">
              <w:rPr>
                <w:rFonts w:ascii="Courier New" w:hAnsi="Courier New"/>
                <w:lang w:val="es-ES_tradnl" w:eastAsia="es-ES" w:bidi="es-ES"/>
              </w:rPr>
              <w:t>d’aucun</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compte</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rendu</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ou</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résumé</w:t>
            </w:r>
            <w:proofErr w:type="spellEnd"/>
            <w:r w:rsidRPr="00B92FD5">
              <w:rPr>
                <w:rFonts w:ascii="Courier New" w:hAnsi="Courier New"/>
                <w:lang w:val="es-ES_tradnl" w:eastAsia="es-ES" w:bidi="es-ES"/>
              </w:rPr>
              <w:t xml:space="preserve"> ni </w:t>
            </w:r>
            <w:proofErr w:type="spellStart"/>
            <w:r w:rsidRPr="00B92FD5">
              <w:rPr>
                <w:rFonts w:ascii="Courier New" w:hAnsi="Courier New"/>
                <w:lang w:val="es-ES_tradnl" w:eastAsia="es-ES" w:bidi="es-ES"/>
              </w:rPr>
              <w:t>d´aucune</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citation</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sans</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l´autorisation</w:t>
            </w:r>
            <w:proofErr w:type="spellEnd"/>
            <w:r w:rsidRPr="00B92FD5">
              <w:rPr>
                <w:rFonts w:ascii="Courier New" w:hAnsi="Courier New"/>
                <w:lang w:val="es-ES_tradnl" w:eastAsia="es-ES" w:bidi="es-ES"/>
              </w:rPr>
              <w:t xml:space="preserve"> de </w:t>
            </w:r>
            <w:proofErr w:type="spellStart"/>
            <w:r w:rsidRPr="00B92FD5">
              <w:rPr>
                <w:rFonts w:ascii="Courier New" w:hAnsi="Courier New"/>
                <w:lang w:val="es-ES_tradnl" w:eastAsia="es-ES" w:bidi="es-ES"/>
              </w:rPr>
              <w:t>l’Organisation</w:t>
            </w:r>
            <w:proofErr w:type="spellEnd"/>
            <w:r w:rsidRPr="00B92FD5">
              <w:rPr>
                <w:rFonts w:ascii="Courier New" w:hAnsi="Courier New"/>
                <w:lang w:val="es-ES_tradnl" w:eastAsia="es-ES" w:bidi="es-ES"/>
              </w:rPr>
              <w:t xml:space="preserve"> des </w:t>
            </w:r>
            <w:proofErr w:type="spellStart"/>
            <w:r w:rsidRPr="00B92FD5">
              <w:rPr>
                <w:rFonts w:ascii="Courier New" w:hAnsi="Courier New"/>
                <w:lang w:val="es-ES_tradnl" w:eastAsia="es-ES" w:bidi="es-ES"/>
              </w:rPr>
              <w:t>Nations</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Unies</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pour</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l'Alimentation</w:t>
            </w:r>
            <w:proofErr w:type="spellEnd"/>
            <w:r w:rsidRPr="00B92FD5">
              <w:rPr>
                <w:rFonts w:ascii="Courier New" w:hAnsi="Courier New"/>
                <w:lang w:val="es-ES_tradnl" w:eastAsia="es-ES" w:bidi="es-ES"/>
              </w:rPr>
              <w:t xml:space="preserve"> et </w:t>
            </w:r>
            <w:proofErr w:type="spellStart"/>
            <w:r w:rsidRPr="00B92FD5">
              <w:rPr>
                <w:rFonts w:ascii="Courier New" w:hAnsi="Courier New"/>
                <w:lang w:val="es-ES_tradnl" w:eastAsia="es-ES" w:bidi="es-ES"/>
              </w:rPr>
              <w:t>l'Agriculture</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ou</w:t>
            </w:r>
            <w:proofErr w:type="spellEnd"/>
            <w:r w:rsidRPr="00B92FD5">
              <w:rPr>
                <w:rFonts w:ascii="Courier New" w:hAnsi="Courier New"/>
                <w:lang w:val="es-ES_tradnl" w:eastAsia="es-ES" w:bidi="es-ES"/>
              </w:rPr>
              <w:t xml:space="preserve"> de </w:t>
            </w:r>
            <w:proofErr w:type="spellStart"/>
            <w:r w:rsidRPr="00B92FD5">
              <w:rPr>
                <w:rFonts w:ascii="Courier New" w:hAnsi="Courier New"/>
                <w:lang w:val="es-ES_tradnl" w:eastAsia="es-ES" w:bidi="es-ES"/>
              </w:rPr>
              <w:t>l'Organisation</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Mondiale</w:t>
            </w:r>
            <w:proofErr w:type="spellEnd"/>
            <w:r w:rsidRPr="00B92FD5">
              <w:rPr>
                <w:rFonts w:ascii="Courier New" w:hAnsi="Courier New"/>
                <w:lang w:val="es-ES_tradnl" w:eastAsia="es-ES" w:bidi="es-ES"/>
              </w:rPr>
              <w:t xml:space="preserve"> de la </w:t>
            </w:r>
            <w:proofErr w:type="spellStart"/>
            <w:r w:rsidRPr="00B92FD5">
              <w:rPr>
                <w:rFonts w:ascii="Courier New" w:hAnsi="Courier New"/>
                <w:lang w:val="es-ES_tradnl" w:eastAsia="es-ES" w:bidi="es-ES"/>
              </w:rPr>
              <w:t>Santé</w:t>
            </w:r>
            <w:proofErr w:type="spellEnd"/>
            <w:r w:rsidRPr="00B92FD5">
              <w:rPr>
                <w:rFonts w:ascii="Courier New" w:hAnsi="Courier New"/>
                <w:lang w:val="es-ES_tradnl" w:eastAsia="es-ES" w:bidi="es-ES"/>
              </w:rPr>
              <w:t>.</w:t>
            </w:r>
          </w:p>
          <w:p w14:paraId="786B28AF" w14:textId="77777777" w:rsidR="00114789" w:rsidRPr="00B92FD5" w:rsidRDefault="00114789" w:rsidP="00A642F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tc>
      </w:tr>
    </w:tbl>
    <w:p w14:paraId="47D90BA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CA146D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2273D9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lang w:val="es-ES_tradnl" w:eastAsia="es-ES" w:bidi="es-ES"/>
        </w:rPr>
      </w:pPr>
    </w:p>
    <w:p w14:paraId="36716B3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2" w:name="PartTitle:Part_1_-_General_Information"/>
      <w:bookmarkEnd w:id="2"/>
      <w:r w:rsidRPr="00B92FD5">
        <w:rPr>
          <w:rFonts w:ascii="Courier New" w:hAnsi="Courier New"/>
          <w:color w:val="008000"/>
          <w:lang w:val="es-ES_tradnl" w:eastAsia="es-ES" w:bidi="es-ES"/>
        </w:rPr>
        <w:t>Parte 1 - Información General</w:t>
      </w:r>
    </w:p>
    <w:p w14:paraId="382C10A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D86B893" w14:textId="004DDB8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CLASIFICACIÓN:</w:t>
      </w:r>
    </w:p>
    <w:p w14:paraId="046388D7" w14:textId="0AE685ED"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Uso principal:</w:t>
      </w:r>
      <w:r w:rsidRPr="00B92FD5">
        <w:rPr>
          <w:rFonts w:ascii="Courier New" w:hAnsi="Courier New"/>
          <w:lang w:val="es-ES_tradnl" w:eastAsia="es-ES" w:bidi="es-ES"/>
        </w:rPr>
        <w:tab/>
        <w:t>insecticida</w:t>
      </w:r>
    </w:p>
    <w:p w14:paraId="798564B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D768F30" w14:textId="5CE645F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Uso secundario:</w:t>
      </w:r>
      <w:r w:rsidRPr="00B92FD5">
        <w:rPr>
          <w:rFonts w:ascii="Courier New" w:hAnsi="Courier New"/>
          <w:lang w:val="es-ES_tradnl" w:eastAsia="es-ES" w:bidi="es-ES"/>
        </w:rPr>
        <w:tab/>
      </w:r>
      <w:proofErr w:type="spellStart"/>
      <w:r w:rsidRPr="00B92FD5">
        <w:rPr>
          <w:rFonts w:ascii="Courier New" w:hAnsi="Courier New"/>
          <w:lang w:val="es-ES_tradnl" w:eastAsia="es-ES" w:bidi="es-ES"/>
        </w:rPr>
        <w:t>avicida</w:t>
      </w:r>
      <w:proofErr w:type="spellEnd"/>
      <w:r w:rsidRPr="00B92FD5">
        <w:rPr>
          <w:rFonts w:ascii="Courier New" w:hAnsi="Courier New"/>
          <w:lang w:val="es-ES_tradnl" w:eastAsia="es-ES" w:bidi="es-ES"/>
        </w:rPr>
        <w:t>, acaricida</w:t>
      </w:r>
    </w:p>
    <w:p w14:paraId="185FE6E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229E3D1" w14:textId="3BC529B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Grupo químico:  </w:t>
      </w:r>
      <w:r w:rsidRPr="00B92FD5">
        <w:rPr>
          <w:rFonts w:ascii="Courier New" w:hAnsi="Courier New"/>
          <w:lang w:val="es-ES_tradnl" w:eastAsia="es-ES" w:bidi="es-ES"/>
        </w:rPr>
        <w:tab/>
        <w:t>compuesto organofosforado</w:t>
      </w:r>
    </w:p>
    <w:p w14:paraId="0C158FB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237EBBA" w14:textId="25E04A7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Hoja de datos No. </w:t>
      </w:r>
      <w:r w:rsidRPr="00B92FD5">
        <w:rPr>
          <w:rFonts w:ascii="Courier New" w:hAnsi="Courier New"/>
          <w:lang w:val="es-ES_tradnl" w:eastAsia="es-ES" w:bidi="es-ES"/>
        </w:rPr>
        <w:tab/>
        <w:t>23</w:t>
      </w:r>
    </w:p>
    <w:p w14:paraId="265AFC8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B96F5EE" w14:textId="0190166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Fecha de publicación:  diciembre de 1976</w:t>
      </w:r>
    </w:p>
    <w:p w14:paraId="39655CF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0AD323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F6C8628" w14:textId="3B19127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3" w:name="SectionTitle:1.1__COMMON_NAME:_FENTHION_"/>
      <w:bookmarkEnd w:id="3"/>
      <w:r w:rsidRPr="00B92FD5">
        <w:rPr>
          <w:rFonts w:ascii="Courier New" w:hAnsi="Courier New"/>
          <w:color w:val="0000FF"/>
          <w:lang w:val="es-ES_tradnl" w:eastAsia="es-ES" w:bidi="es-ES"/>
        </w:rPr>
        <w:t>1.1 NOMBRE COMÚN:</w:t>
      </w:r>
      <w:r w:rsidRPr="00B92FD5">
        <w:rPr>
          <w:rFonts w:ascii="Courier New" w:hAnsi="Courier New"/>
          <w:lang w:val="es-ES_tradnl" w:eastAsia="es-ES" w:bidi="es-ES"/>
        </w:rPr>
        <w:t xml:space="preserve"> FENTIÓN (ISO)</w:t>
      </w:r>
    </w:p>
    <w:p w14:paraId="5163710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EF38C8A" w14:textId="2B162D9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4" w:name="SubSectionTitle:1.1.1__Identity:"/>
      <w:bookmarkEnd w:id="4"/>
      <w:r w:rsidRPr="00B92FD5">
        <w:rPr>
          <w:rFonts w:ascii="Courier New" w:hAnsi="Courier New"/>
          <w:lang w:val="es-ES_tradnl" w:eastAsia="es-ES" w:bidi="es-ES"/>
        </w:rPr>
        <w:t>1.1.1 Identidad:</w:t>
      </w:r>
    </w:p>
    <w:p w14:paraId="106389D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5AAB7D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dimetil</w:t>
      </w:r>
      <w:proofErr w:type="spellEnd"/>
      <w:r w:rsidRPr="00B92FD5">
        <w:rPr>
          <w:rFonts w:ascii="Courier New" w:hAnsi="Courier New"/>
          <w:lang w:val="es-ES_tradnl" w:eastAsia="es-ES" w:bidi="es-ES"/>
        </w:rPr>
        <w:t xml:space="preserve"> 3-metil-4-metiltiofenil </w:t>
      </w:r>
      <w:proofErr w:type="spellStart"/>
      <w:r w:rsidRPr="00B92FD5">
        <w:rPr>
          <w:rFonts w:ascii="Courier New" w:hAnsi="Courier New"/>
          <w:lang w:val="es-ES_tradnl" w:eastAsia="es-ES" w:bidi="es-ES"/>
        </w:rPr>
        <w:t>fosforotiato</w:t>
      </w:r>
      <w:proofErr w:type="spellEnd"/>
    </w:p>
    <w:p w14:paraId="115AC32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1FDEDDC" w14:textId="2CCA777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3F3C32">
        <w:rPr>
          <w:rFonts w:ascii="Courier New" w:hAnsi="Courier New"/>
          <w:lang w:val="es-ES_tradnl" w:eastAsia="es-ES" w:bidi="es-ES"/>
        </w:rPr>
        <w:t xml:space="preserve">  </w:t>
      </w:r>
      <w:r w:rsidRPr="00B92FD5">
        <w:rPr>
          <w:rFonts w:ascii="Courier New" w:hAnsi="Courier New" w:cs="Courier New"/>
          <w:noProof/>
          <w:lang w:val="es-ES_tradnl" w:eastAsia="es-ES"/>
        </w:rPr>
        <w:drawing>
          <wp:inline distT="0" distB="0" distL="0" distR="0" wp14:anchorId="31C876E1" wp14:editId="7285708C">
            <wp:extent cx="2861945" cy="711200"/>
            <wp:effectExtent l="0" t="0" r="0" b="0"/>
            <wp:docPr id="9" name="Bild 1" descr="CHEMICAL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HEMICAL STRU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61945" cy="711200"/>
                    </a:xfrm>
                    <a:prstGeom prst="rect">
                      <a:avLst/>
                    </a:prstGeom>
                    <a:noFill/>
                    <a:ln>
                      <a:noFill/>
                    </a:ln>
                  </pic:spPr>
                </pic:pic>
              </a:graphicData>
            </a:graphic>
          </wp:inline>
        </w:drawing>
      </w:r>
    </w:p>
    <w:p w14:paraId="659AF55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4C25A48" w14:textId="1F7C906B" w:rsidR="00114789" w:rsidRPr="00B92FD5" w:rsidRDefault="00B92FD5"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Pr>
          <w:rFonts w:ascii="Courier New" w:hAnsi="Courier New"/>
          <w:lang w:val="es-ES_tradnl" w:eastAsia="es-ES" w:bidi="es-ES"/>
        </w:rPr>
        <w:t xml:space="preserve">  </w:t>
      </w:r>
      <w:r w:rsidR="00114789" w:rsidRPr="00B92FD5">
        <w:rPr>
          <w:rFonts w:ascii="Courier New" w:hAnsi="Courier New"/>
          <w:lang w:val="es-ES_tradnl" w:eastAsia="es-ES" w:bidi="es-ES"/>
        </w:rPr>
        <w:t xml:space="preserve">  </w:t>
      </w:r>
      <w:bookmarkStart w:id="5" w:name=":1.1.1__Identity:"/>
      <w:bookmarkStart w:id="6" w:name="SubSectionTitle:1.1.2"/>
      <w:bookmarkEnd w:id="5"/>
      <w:bookmarkEnd w:id="6"/>
      <w:r w:rsidR="00114789" w:rsidRPr="00B92FD5">
        <w:rPr>
          <w:rFonts w:ascii="Courier New" w:hAnsi="Courier New"/>
          <w:lang w:val="es-ES_tradnl" w:eastAsia="es-ES" w:bidi="es-ES"/>
        </w:rPr>
        <w:t>1.1.2</w:t>
      </w:r>
    </w:p>
    <w:p w14:paraId="2F0E299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D5D5600" w14:textId="1AFC8DB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Sinónimos</w:t>
      </w:r>
      <w:r w:rsidRPr="00B92FD5">
        <w:rPr>
          <w:rFonts w:ascii="Courier New" w:hAnsi="Courier New"/>
          <w:lang w:val="es-ES_tradnl" w:eastAsia="es-ES" w:bidi="es-ES"/>
        </w:rPr>
        <w:t xml:space="preserve"> </w:t>
      </w:r>
      <w:r w:rsidRPr="00B92FD5">
        <w:rPr>
          <w:lang w:val="es-ES_tradnl" w:eastAsia="es-ES" w:bidi="es-ES"/>
        </w:rPr>
        <w:tab/>
      </w:r>
      <w:r w:rsidRPr="00B92FD5">
        <w:rPr>
          <w:lang w:val="es-ES_tradnl" w:eastAsia="es-ES" w:bidi="es-ES"/>
        </w:rPr>
        <w:tab/>
      </w:r>
      <w:proofErr w:type="spellStart"/>
      <w:r w:rsidRPr="00B92FD5">
        <w:rPr>
          <w:rFonts w:ascii="Courier New" w:hAnsi="Courier New"/>
          <w:u w:val="single"/>
          <w:lang w:val="es-ES_tradnl" w:eastAsia="es-ES" w:bidi="es-ES"/>
        </w:rPr>
        <w:t>Sinónimos</w:t>
      </w:r>
      <w:proofErr w:type="spellEnd"/>
      <w:r w:rsidRPr="00B92FD5">
        <w:rPr>
          <w:rFonts w:ascii="Courier New" w:hAnsi="Courier New"/>
          <w:u w:val="single"/>
          <w:lang w:val="es-ES_tradnl" w:eastAsia="es-ES" w:bidi="es-ES"/>
        </w:rPr>
        <w:t xml:space="preserve"> locales</w:t>
      </w:r>
    </w:p>
    <w:p w14:paraId="10B90BEE" w14:textId="23EAD6A2" w:rsidR="00114789" w:rsidRPr="00ED5AB4" w:rsidRDefault="00B92FD5"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D5AB4">
        <w:rPr>
          <w:rFonts w:ascii="Courier New" w:hAnsi="Courier New"/>
          <w:lang w:val="es-ES_tradnl" w:eastAsia="es-ES" w:bidi="es-ES"/>
        </w:rPr>
        <w:t xml:space="preserve">  </w:t>
      </w:r>
      <w:r w:rsidR="00114789" w:rsidRPr="00ED5AB4">
        <w:rPr>
          <w:rFonts w:ascii="Courier New" w:hAnsi="Courier New"/>
          <w:lang w:val="es-ES_tradnl" w:eastAsia="es-ES" w:bidi="es-ES"/>
        </w:rPr>
        <w:t xml:space="preserve">  </w:t>
      </w:r>
      <w:proofErr w:type="spellStart"/>
      <w:r w:rsidR="00114789" w:rsidRPr="00ED5AB4">
        <w:rPr>
          <w:rFonts w:ascii="Courier New" w:hAnsi="Courier New"/>
          <w:lang w:val="es-ES_tradnl" w:eastAsia="es-ES" w:bidi="es-ES"/>
        </w:rPr>
        <w:t>Baytex</w:t>
      </w:r>
      <w:proofErr w:type="spellEnd"/>
    </w:p>
    <w:p w14:paraId="260B5958" w14:textId="108C9653" w:rsidR="00114789" w:rsidRPr="00ED5AB4"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D5AB4">
        <w:rPr>
          <w:rFonts w:ascii="Courier New" w:hAnsi="Courier New"/>
          <w:lang w:val="es-ES_tradnl" w:eastAsia="es-ES" w:bidi="es-ES"/>
        </w:rPr>
        <w:t xml:space="preserve"> </w:t>
      </w:r>
      <w:r w:rsidR="00B92FD5" w:rsidRPr="00ED5AB4">
        <w:rPr>
          <w:rFonts w:ascii="Courier New" w:hAnsi="Courier New"/>
          <w:lang w:val="es-ES_tradnl" w:eastAsia="es-ES" w:bidi="es-ES"/>
        </w:rPr>
        <w:t xml:space="preserve">  </w:t>
      </w:r>
      <w:r w:rsidRPr="00ED5AB4">
        <w:rPr>
          <w:rFonts w:ascii="Courier New" w:hAnsi="Courier New"/>
          <w:lang w:val="es-ES_tradnl" w:eastAsia="es-ES" w:bidi="es-ES"/>
        </w:rPr>
        <w:t xml:space="preserve"> </w:t>
      </w:r>
      <w:proofErr w:type="spellStart"/>
      <w:r w:rsidRPr="00ED5AB4">
        <w:rPr>
          <w:rFonts w:ascii="Courier New" w:hAnsi="Courier New"/>
          <w:lang w:val="es-ES_tradnl" w:eastAsia="es-ES" w:bidi="es-ES"/>
        </w:rPr>
        <w:t>Lebaycid</w:t>
      </w:r>
      <w:proofErr w:type="spellEnd"/>
    </w:p>
    <w:p w14:paraId="1C6F3B12" w14:textId="07139C57" w:rsidR="00114789" w:rsidRPr="00ED5AB4"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D5AB4">
        <w:rPr>
          <w:rFonts w:ascii="Courier New" w:hAnsi="Courier New"/>
          <w:lang w:val="es-ES_tradnl" w:eastAsia="es-ES" w:bidi="es-ES"/>
        </w:rPr>
        <w:t xml:space="preserve"> </w:t>
      </w:r>
      <w:r w:rsidR="00B92FD5" w:rsidRPr="00ED5AB4">
        <w:rPr>
          <w:rFonts w:ascii="Courier New" w:hAnsi="Courier New"/>
          <w:lang w:val="es-ES_tradnl" w:eastAsia="es-ES" w:bidi="es-ES"/>
        </w:rPr>
        <w:t xml:space="preserve">  </w:t>
      </w:r>
      <w:r w:rsidRPr="00ED5AB4">
        <w:rPr>
          <w:rFonts w:ascii="Courier New" w:hAnsi="Courier New"/>
          <w:lang w:val="es-ES_tradnl" w:eastAsia="es-ES" w:bidi="es-ES"/>
        </w:rPr>
        <w:t xml:space="preserve"> </w:t>
      </w:r>
      <w:proofErr w:type="spellStart"/>
      <w:r w:rsidRPr="00ED5AB4">
        <w:rPr>
          <w:rFonts w:ascii="Courier New" w:hAnsi="Courier New"/>
          <w:lang w:val="es-ES_tradnl" w:eastAsia="es-ES" w:bidi="es-ES"/>
        </w:rPr>
        <w:t>Queletox</w:t>
      </w:r>
      <w:proofErr w:type="spellEnd"/>
    </w:p>
    <w:p w14:paraId="7239DA8F" w14:textId="2F23E1AA" w:rsidR="00114789" w:rsidRPr="00ED5AB4"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D5AB4">
        <w:rPr>
          <w:rFonts w:ascii="Courier New" w:hAnsi="Courier New"/>
          <w:lang w:val="es-ES_tradnl" w:eastAsia="es-ES" w:bidi="es-ES"/>
        </w:rPr>
        <w:t xml:space="preserve"> </w:t>
      </w:r>
      <w:r w:rsidR="00B92FD5" w:rsidRPr="00ED5AB4">
        <w:rPr>
          <w:rFonts w:ascii="Courier New" w:hAnsi="Courier New"/>
          <w:lang w:val="es-ES_tradnl" w:eastAsia="es-ES" w:bidi="es-ES"/>
        </w:rPr>
        <w:t xml:space="preserve">  </w:t>
      </w:r>
      <w:r w:rsidRPr="00ED5AB4">
        <w:rPr>
          <w:rFonts w:ascii="Courier New" w:hAnsi="Courier New"/>
          <w:lang w:val="es-ES_tradnl" w:eastAsia="es-ES" w:bidi="es-ES"/>
        </w:rPr>
        <w:t xml:space="preserve"> </w:t>
      </w:r>
      <w:proofErr w:type="spellStart"/>
      <w:r w:rsidRPr="00ED5AB4">
        <w:rPr>
          <w:rFonts w:ascii="Courier New" w:hAnsi="Courier New"/>
          <w:lang w:val="es-ES_tradnl" w:eastAsia="es-ES" w:bidi="es-ES"/>
        </w:rPr>
        <w:t>Tignvon</w:t>
      </w:r>
      <w:proofErr w:type="spellEnd"/>
    </w:p>
    <w:p w14:paraId="3082828E" w14:textId="2B95434C" w:rsidR="00114789" w:rsidRPr="00ED5AB4"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D5AB4">
        <w:rPr>
          <w:rFonts w:ascii="Courier New" w:hAnsi="Courier New"/>
          <w:lang w:val="es-ES_tradnl" w:eastAsia="es-ES" w:bidi="es-ES"/>
        </w:rPr>
        <w:t xml:space="preserve"> </w:t>
      </w:r>
      <w:r w:rsidR="00B92FD5" w:rsidRPr="00ED5AB4">
        <w:rPr>
          <w:rFonts w:ascii="Courier New" w:hAnsi="Courier New"/>
          <w:lang w:val="es-ES_tradnl" w:eastAsia="es-ES" w:bidi="es-ES"/>
        </w:rPr>
        <w:t xml:space="preserve">  </w:t>
      </w:r>
      <w:r w:rsidRPr="00ED5AB4">
        <w:rPr>
          <w:rFonts w:ascii="Courier New" w:hAnsi="Courier New"/>
          <w:lang w:val="es-ES_tradnl" w:eastAsia="es-ES" w:bidi="es-ES"/>
        </w:rPr>
        <w:t xml:space="preserve"> OMS-2</w:t>
      </w:r>
    </w:p>
    <w:p w14:paraId="19D75CED" w14:textId="77777777" w:rsidR="00114789" w:rsidRPr="00ED5AB4"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614B3AE" w14:textId="3ABFA259"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D5AB4">
        <w:rPr>
          <w:rFonts w:ascii="Courier New" w:hAnsi="Courier New"/>
          <w:lang w:val="es-ES_tradnl" w:eastAsia="es-ES" w:bidi="es-ES"/>
        </w:rPr>
        <w:t xml:space="preserve"> </w:t>
      </w:r>
      <w:r w:rsidR="00B92FD5" w:rsidRPr="00ED5AB4">
        <w:rPr>
          <w:rFonts w:ascii="Courier New" w:hAnsi="Courier New"/>
          <w:lang w:val="es-ES_tradnl" w:eastAsia="es-ES" w:bidi="es-ES"/>
        </w:rPr>
        <w:t xml:space="preserve">  </w:t>
      </w:r>
      <w:r w:rsidRPr="00ED5AB4">
        <w:rPr>
          <w:rFonts w:ascii="Courier New" w:hAnsi="Courier New"/>
          <w:lang w:val="es-ES_tradnl" w:eastAsia="es-ES" w:bidi="es-ES"/>
        </w:rPr>
        <w:t xml:space="preserve"> </w:t>
      </w:r>
      <w:bookmarkStart w:id="7" w:name=":1.1.2"/>
      <w:bookmarkStart w:id="8" w:name="EndSectionTitle:1.1__COMMON_NAME:_FENTHI"/>
      <w:bookmarkStart w:id="9" w:name="SectionTitle:1.2__SYNOPSIS"/>
      <w:bookmarkEnd w:id="7"/>
      <w:bookmarkEnd w:id="8"/>
      <w:bookmarkEnd w:id="9"/>
      <w:r w:rsidRPr="00B92FD5">
        <w:rPr>
          <w:rFonts w:ascii="Courier New" w:hAnsi="Courier New"/>
          <w:color w:val="0000FF"/>
          <w:lang w:val="es-ES_tradnl" w:eastAsia="es-ES" w:bidi="es-ES"/>
        </w:rPr>
        <w:t>1.2 SINOPSIS</w:t>
      </w:r>
    </w:p>
    <w:p w14:paraId="133E144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F9C70D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Un insecticida organofosforado de moderada toxicidad en mamíferos que   puede absorberse por vía dérmica, a través del tracto gastrointestinal y   por inhalación. Es activo cuando se metaboliza en el análogo oxigenado, que es más tóxico. Los síntomas después de envenenamiento agudo tienden a ser prolongados.</w:t>
      </w:r>
    </w:p>
    <w:p w14:paraId="3FA280F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83948EF" w14:textId="462FAA06"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0" w:name="EndSectionTitle:1.2__SYNOPSIS"/>
      <w:bookmarkStart w:id="11" w:name="SectionTitle:1.3__SELECTED_PROPERTIES"/>
      <w:bookmarkEnd w:id="10"/>
      <w:bookmarkEnd w:id="11"/>
      <w:r w:rsidRPr="00B92FD5">
        <w:rPr>
          <w:rFonts w:ascii="Courier New" w:hAnsi="Courier New"/>
          <w:color w:val="0000FF"/>
          <w:lang w:val="es-ES_tradnl" w:eastAsia="es-ES" w:bidi="es-ES"/>
        </w:rPr>
        <w:t>1.3. ALGUNAS PROPIEDADES</w:t>
      </w:r>
    </w:p>
    <w:p w14:paraId="28AFD92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D2BAA2D" w14:textId="06C969E1"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2" w:name="SubSectionTitle:1.3.1__Physical_characte"/>
      <w:bookmarkEnd w:id="12"/>
      <w:r w:rsidRPr="00B92FD5">
        <w:rPr>
          <w:rFonts w:ascii="Courier New" w:hAnsi="Courier New"/>
          <w:lang w:val="es-ES_tradnl" w:eastAsia="es-ES" w:bidi="es-ES"/>
        </w:rPr>
        <w:t>1.3.1</w:t>
      </w:r>
      <w:r w:rsidRPr="00B92FD5">
        <w:rPr>
          <w:lang w:val="es-ES_tradnl" w:eastAsia="es-ES" w:bidi="es-ES"/>
        </w:rPr>
        <w:tab/>
      </w:r>
      <w:r w:rsidRPr="00B92FD5">
        <w:rPr>
          <w:rFonts w:ascii="Courier New" w:hAnsi="Courier New"/>
          <w:lang w:val="es-ES_tradnl" w:eastAsia="es-ES" w:bidi="es-ES"/>
        </w:rPr>
        <w:t>Características físicas</w:t>
      </w:r>
    </w:p>
    <w:p w14:paraId="0F2C72D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73E6A9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En estado puro es un líquido incoloro, prácticamente inodoro, con un punto de ebullición de 87°C a 0,01 mm Hg. El material técnico es 95-98 % puro, un líquido oleoso marrón con un ligero olor a ajo.</w:t>
      </w:r>
    </w:p>
    <w:p w14:paraId="708AE29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B239140" w14:textId="1625C89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13" w:name=":1.3.1__Physical_characteristics"/>
      <w:bookmarkStart w:id="14" w:name="SubSectionTitle:1.3.2__Solubility"/>
      <w:bookmarkEnd w:id="13"/>
      <w:bookmarkEnd w:id="14"/>
      <w:r w:rsidR="00B92FD5">
        <w:rPr>
          <w:rFonts w:ascii="Courier New" w:hAnsi="Courier New"/>
          <w:lang w:val="es-ES_tradnl" w:eastAsia="es-ES" w:bidi="es-ES"/>
        </w:rPr>
        <w:t xml:space="preserve">  </w:t>
      </w:r>
      <w:r w:rsidRPr="00B92FD5">
        <w:rPr>
          <w:rFonts w:ascii="Courier New" w:hAnsi="Courier New"/>
          <w:lang w:val="es-ES_tradnl" w:eastAsia="es-ES" w:bidi="es-ES"/>
        </w:rPr>
        <w:t>1.3.2 Solubilidad:</w:t>
      </w:r>
    </w:p>
    <w:p w14:paraId="3E88085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3B58F8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Agua a 20°C, 54 - 56 ppm, fácilmente soluble en la mayoría de los materiales orgánicos y aceites glicéridos.</w:t>
      </w:r>
    </w:p>
    <w:p w14:paraId="675033A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AD9EF40" w14:textId="25AC1BBB"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5" w:name=":1.3.2__Solubility"/>
      <w:bookmarkStart w:id="16" w:name="SubSectionTitle:1.3.3__Stability"/>
      <w:bookmarkEnd w:id="15"/>
      <w:bookmarkEnd w:id="16"/>
      <w:r w:rsidRPr="00B92FD5">
        <w:rPr>
          <w:rFonts w:ascii="Courier New" w:hAnsi="Courier New"/>
          <w:lang w:val="es-ES_tradnl" w:eastAsia="es-ES" w:bidi="es-ES"/>
        </w:rPr>
        <w:t>1.3.3 Estabilidad:</w:t>
      </w:r>
    </w:p>
    <w:p w14:paraId="65BC277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E42E96D" w14:textId="4DED613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Estable hasta los 160°C y resistente a la luz e hidrólisis alcalina.</w:t>
      </w:r>
    </w:p>
    <w:p w14:paraId="6801FBB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F21DAAB" w14:textId="5F18DE3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7" w:name=":1.3.3__Stability"/>
      <w:bookmarkStart w:id="18" w:name="SubSectionTitle:1.3.4__Vapour_pressure_("/>
      <w:bookmarkEnd w:id="17"/>
      <w:bookmarkEnd w:id="18"/>
      <w:r w:rsidRPr="00B92FD5">
        <w:rPr>
          <w:rFonts w:ascii="Courier New" w:hAnsi="Courier New"/>
          <w:lang w:val="es-ES_tradnl" w:eastAsia="es-ES" w:bidi="es-ES"/>
        </w:rPr>
        <w:t>1.3.4 Presión de vapor (volatilidad)</w:t>
      </w:r>
    </w:p>
    <w:p w14:paraId="40CEA76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2F875E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4 x 10</w:t>
      </w:r>
      <w:r w:rsidRPr="00B92FD5">
        <w:rPr>
          <w:rFonts w:ascii="Courier New" w:hAnsi="Courier New"/>
          <w:vertAlign w:val="superscript"/>
          <w:lang w:val="es-ES_tradnl" w:eastAsia="es-ES" w:bidi="es-ES"/>
        </w:rPr>
        <w:t>-5</w:t>
      </w:r>
      <w:r w:rsidRPr="00B92FD5">
        <w:rPr>
          <w:rFonts w:ascii="Courier New" w:hAnsi="Courier New"/>
          <w:lang w:val="es-ES_tradnl" w:eastAsia="es-ES" w:bidi="es-ES"/>
        </w:rPr>
        <w:t xml:space="preserve"> mm Hg a 20°C. Tiene baja presión de vapor pero es levemente volátil</w:t>
      </w:r>
    </w:p>
    <w:p w14:paraId="20D0F3B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B21AB0A" w14:textId="5859160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9" w:name=":1.3.4__Vapour_pressure_(volatility)"/>
      <w:bookmarkStart w:id="20" w:name="EndSectionTitle:1.3__SELECTED_PROPERTIES"/>
      <w:bookmarkStart w:id="21" w:name="SectionTitle:1.4__AGRICULTURE,_HORTICULT"/>
      <w:bookmarkEnd w:id="19"/>
      <w:bookmarkEnd w:id="20"/>
      <w:bookmarkEnd w:id="21"/>
      <w:r w:rsidRPr="00B92FD5">
        <w:rPr>
          <w:rFonts w:ascii="Courier New" w:hAnsi="Courier New"/>
          <w:color w:val="0000FF"/>
          <w:lang w:val="es-ES_tradnl" w:eastAsia="es-ES" w:bidi="es-ES"/>
        </w:rPr>
        <w:t>1.4 AGRICULTURA, HORTICULTURA Y SILVICULTURA</w:t>
      </w:r>
    </w:p>
    <w:p w14:paraId="25AB5B0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9CFDE74" w14:textId="39B200D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22" w:name="SubSectionTitle:1.4.1__Common_formulatio"/>
      <w:bookmarkEnd w:id="22"/>
      <w:r w:rsidRPr="00B92FD5">
        <w:rPr>
          <w:rFonts w:ascii="Courier New" w:hAnsi="Courier New"/>
          <w:lang w:val="es-ES_tradnl" w:eastAsia="es-ES" w:bidi="es-ES"/>
        </w:rPr>
        <w:t>1.4.1 Formulaciones comunes</w:t>
      </w:r>
    </w:p>
    <w:p w14:paraId="7695E9D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038FE4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Concentrados para fumigación entre 40 % y 60 %: polvos humectables 25 % a 40 %; concentrados emulsionables 50 %; polvos 3 %; aplicación de ultra bajo volumen 1.000 g por litro.</w:t>
      </w:r>
    </w:p>
    <w:p w14:paraId="557FB88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FD782BE" w14:textId="3F479D0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23" w:name=":1.4.1__Common_formulations"/>
      <w:bookmarkStart w:id="24" w:name="SubSectionTitle:1.4.2__Pests_mainly_cont"/>
      <w:bookmarkEnd w:id="23"/>
      <w:bookmarkEnd w:id="24"/>
      <w:r w:rsidRPr="00B92FD5">
        <w:rPr>
          <w:rFonts w:ascii="Courier New" w:hAnsi="Courier New"/>
          <w:lang w:val="es-ES_tradnl" w:eastAsia="es-ES" w:bidi="es-ES"/>
        </w:rPr>
        <w:t>1.4.2. Plagas principalmente controladas</w:t>
      </w:r>
    </w:p>
    <w:p w14:paraId="29BF692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F30A9A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Usado como insecticida estomacal y de contacto es altamente persistente.</w:t>
      </w:r>
    </w:p>
    <w:p w14:paraId="78E9018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Efectivo contra moscas de la fruta, </w:t>
      </w:r>
      <w:proofErr w:type="spellStart"/>
      <w:r w:rsidRPr="00B92FD5">
        <w:rPr>
          <w:rFonts w:ascii="Courier New" w:hAnsi="Courier New"/>
          <w:lang w:val="es-ES_tradnl" w:eastAsia="es-ES" w:bidi="es-ES"/>
        </w:rPr>
        <w:t>cicadélicos</w:t>
      </w:r>
      <w:proofErr w:type="spellEnd"/>
      <w:r w:rsidRPr="00B92FD5">
        <w:rPr>
          <w:rFonts w:ascii="Courier New" w:hAnsi="Courier New"/>
          <w:lang w:val="es-ES_tradnl" w:eastAsia="es-ES" w:bidi="es-ES"/>
        </w:rPr>
        <w:t>, chinches de los cereales, pájaros tejedores, parásitos animales, ácaros, áfidos, palomilla de la manzana.</w:t>
      </w:r>
    </w:p>
    <w:p w14:paraId="1DED333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FD1EF30" w14:textId="261CC64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25" w:name=":1.4.2__Pests_mainly_controlled"/>
      <w:bookmarkStart w:id="26" w:name="SubSectionTitle:1.4.3__Use_pattern"/>
      <w:bookmarkEnd w:id="25"/>
      <w:bookmarkEnd w:id="26"/>
      <w:r w:rsidRPr="00B92FD5">
        <w:rPr>
          <w:rFonts w:ascii="Courier New" w:hAnsi="Courier New"/>
          <w:lang w:val="es-ES_tradnl" w:eastAsia="es-ES" w:bidi="es-ES"/>
        </w:rPr>
        <w:t>1.4.3 Pautas de uso</w:t>
      </w:r>
    </w:p>
    <w:p w14:paraId="23D1DF1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Usado antes de la cosecha de caña de azúcar, arroz, maíz de campo, frutos de pepita y de carozo, frutos cítricos, pistacho, algodón en proporciones mayores a 2 kg/ha. Materia activa - también en olivos, café, cacao, hortalizas, vides y maíz en proporciones de hasta 1 kg/ha.</w:t>
      </w:r>
    </w:p>
    <w:p w14:paraId="4568BA0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DB60A6A" w14:textId="35E1A8F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27" w:name=":1.4.3__Use_pattern"/>
      <w:bookmarkStart w:id="28" w:name="SubSectionTitle:1.4.4__Unintended_effect"/>
      <w:bookmarkEnd w:id="27"/>
      <w:bookmarkEnd w:id="28"/>
      <w:r w:rsidRPr="00B92FD5">
        <w:rPr>
          <w:rFonts w:ascii="Courier New" w:hAnsi="Courier New"/>
          <w:lang w:val="es-ES_tradnl" w:eastAsia="es-ES" w:bidi="es-ES"/>
        </w:rPr>
        <w:t>1.4.4 Efectos no previstos</w:t>
      </w:r>
    </w:p>
    <w:p w14:paraId="2BBA7D3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C6298B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No es fitotóxico si se usa en las dosis recomendadas. No es probable que las aplicaciones causen contaminación de alimentos.</w:t>
      </w:r>
    </w:p>
    <w:p w14:paraId="5D89C0B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8B2AEE2" w14:textId="7D0D6D43"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29" w:name=":1.4.4__Unintended_effects"/>
      <w:bookmarkStart w:id="30" w:name="EndSectionTitle:1.4__AGRICULTURE,_HORTIC"/>
      <w:bookmarkStart w:id="31" w:name="SectionTitle:1.5__PUBLIC_HEALTH_PROGRAMM"/>
      <w:bookmarkEnd w:id="29"/>
      <w:bookmarkEnd w:id="30"/>
      <w:bookmarkEnd w:id="31"/>
      <w:r w:rsidRPr="00B92FD5">
        <w:rPr>
          <w:rFonts w:ascii="Courier New" w:hAnsi="Courier New"/>
          <w:color w:val="0000FF"/>
          <w:lang w:val="es-ES_tradnl" w:eastAsia="es-ES" w:bidi="es-ES"/>
        </w:rPr>
        <w:t>1.5 PROGRAMAS DE SALUD PÚBLICA</w:t>
      </w:r>
    </w:p>
    <w:p w14:paraId="49EBC06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44056D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Principalmente como larvicida para el control de mosquitos. No se recomienda para aplicaciones residuales en lugares cerrados debido a su toxicidad bastante alta para los mamíferos.</w:t>
      </w:r>
    </w:p>
    <w:p w14:paraId="6350CE9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2E11AE1A" w14:textId="2F248E2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32" w:name="EndSectionTitle:1.5__PUBLIC_HEALTH_PROGR"/>
      <w:bookmarkStart w:id="33" w:name="SectionTitle:1.6__HOUSEHOLD_USE"/>
      <w:bookmarkEnd w:id="32"/>
      <w:bookmarkEnd w:id="33"/>
      <w:r w:rsidRPr="00B92FD5">
        <w:rPr>
          <w:rFonts w:ascii="Courier New" w:hAnsi="Courier New"/>
          <w:color w:val="0000FF"/>
          <w:lang w:val="es-ES_tradnl" w:eastAsia="es-ES" w:bidi="es-ES"/>
        </w:rPr>
        <w:t>1.6. USO EN HOGARES</w:t>
      </w:r>
    </w:p>
    <w:p w14:paraId="7750E6F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5B9BBE4" w14:textId="6C4A7AE3"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No se recomienda su uso en lugares cerrados.</w:t>
      </w:r>
    </w:p>
    <w:p w14:paraId="716A072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BA1173F" w14:textId="44CDBA3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34" w:name="EndSectionTitle:1.6__HOUSEHOLD_USE"/>
      <w:bookmarkStart w:id="35" w:name="EndPartTitle:Part_1_-_General_Informatio"/>
      <w:bookmarkStart w:id="36" w:name="PartTitle:Part_2_-_Toxicology_and_risks"/>
      <w:bookmarkEnd w:id="34"/>
      <w:bookmarkEnd w:id="35"/>
      <w:bookmarkEnd w:id="36"/>
      <w:r w:rsidRPr="00B92FD5">
        <w:rPr>
          <w:rFonts w:ascii="Courier New" w:hAnsi="Courier New"/>
          <w:color w:val="008000"/>
          <w:lang w:val="es-ES_tradnl" w:eastAsia="es-ES" w:bidi="es-ES"/>
        </w:rPr>
        <w:t>Parte 2 - Toxicología y riesgos</w:t>
      </w:r>
    </w:p>
    <w:p w14:paraId="3E0588A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558546B" w14:textId="266AC5CD"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37" w:name="SectionTitle:2.1__TOXICOLOGY-MAMMALS"/>
      <w:bookmarkEnd w:id="37"/>
      <w:r w:rsidR="00B92FD5">
        <w:rPr>
          <w:rFonts w:ascii="Courier New" w:hAnsi="Courier New"/>
          <w:lang w:val="es-ES_tradnl" w:eastAsia="es-ES" w:bidi="es-ES"/>
        </w:rPr>
        <w:t xml:space="preserve">  </w:t>
      </w:r>
      <w:r w:rsidRPr="00B92FD5">
        <w:rPr>
          <w:rFonts w:ascii="Courier New" w:hAnsi="Courier New"/>
          <w:color w:val="0000FF"/>
          <w:lang w:val="es-ES_tradnl" w:eastAsia="es-ES" w:bidi="es-ES"/>
        </w:rPr>
        <w:t>2.1. TOXICOLOGÍA - MAMÍFEROS</w:t>
      </w:r>
    </w:p>
    <w:p w14:paraId="58AB805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66739A2" w14:textId="51977D8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38" w:name="SubSectionTitle:2.1.1__Absorption_route"/>
      <w:bookmarkEnd w:id="38"/>
      <w:r w:rsidRPr="00B92FD5">
        <w:rPr>
          <w:rFonts w:ascii="Courier New" w:hAnsi="Courier New"/>
          <w:lang w:val="es-ES_tradnl" w:eastAsia="es-ES" w:bidi="es-ES"/>
        </w:rPr>
        <w:t>2.1.1 Vía de absorción</w:t>
      </w:r>
    </w:p>
    <w:p w14:paraId="011AE64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FFFFC6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Se absorbe a través de la piel intacta, el tracto gastrointestinal y también por inhalación. </w:t>
      </w:r>
    </w:p>
    <w:p w14:paraId="1A826BB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869F869" w14:textId="350B36B9"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39" w:name=":2.1.1__Absorption_route"/>
      <w:bookmarkStart w:id="40" w:name="SubSectionTitle:2.1.2__Mode_of_action"/>
      <w:bookmarkEnd w:id="39"/>
      <w:bookmarkEnd w:id="40"/>
      <w:r w:rsidR="00B92FD5">
        <w:rPr>
          <w:rFonts w:ascii="Courier New" w:hAnsi="Courier New"/>
          <w:lang w:val="es-ES_tradnl" w:eastAsia="es-ES" w:bidi="es-ES"/>
        </w:rPr>
        <w:t xml:space="preserve">  </w:t>
      </w:r>
      <w:r w:rsidRPr="00B92FD5">
        <w:rPr>
          <w:rFonts w:ascii="Courier New" w:hAnsi="Courier New"/>
          <w:lang w:val="es-ES_tradnl" w:eastAsia="es-ES" w:bidi="es-ES"/>
        </w:rPr>
        <w:t>2.1.2 Modo de acción</w:t>
      </w:r>
    </w:p>
    <w:p w14:paraId="346B93D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E133B5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Actividad inhibitoria de la colinesterasa después de conversión en el análogo oxigenado más tóxico en el cuerpo.</w:t>
      </w:r>
    </w:p>
    <w:p w14:paraId="62D8D7E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3DF2AC2" w14:textId="5874AD7B"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41" w:name=":2.1.2__Mode_of_action"/>
      <w:bookmarkStart w:id="42" w:name="SubSectionTitle:2.1.3__Excretion"/>
      <w:bookmarkEnd w:id="41"/>
      <w:bookmarkEnd w:id="42"/>
      <w:r w:rsidRPr="00B92FD5">
        <w:rPr>
          <w:rFonts w:ascii="Courier New" w:hAnsi="Courier New"/>
          <w:lang w:val="es-ES_tradnl" w:eastAsia="es-ES" w:bidi="es-ES"/>
        </w:rPr>
        <w:t>2.1.3 Excreción</w:t>
      </w:r>
    </w:p>
    <w:p w14:paraId="137821A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2AFE0F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En ratas, el 86 % de una dosis oral se elimina en siete días (orina 45 % y heces 40 %). Los metabolitos incluyen la sulfona y el </w:t>
      </w:r>
      <w:proofErr w:type="spellStart"/>
      <w:r w:rsidRPr="00B92FD5">
        <w:rPr>
          <w:rFonts w:ascii="Courier New" w:hAnsi="Courier New"/>
          <w:lang w:val="es-ES_tradnl" w:eastAsia="es-ES" w:bidi="es-ES"/>
        </w:rPr>
        <w:t>sulfóxido</w:t>
      </w:r>
      <w:proofErr w:type="spellEnd"/>
      <w:r w:rsidRPr="00B92FD5">
        <w:rPr>
          <w:rFonts w:ascii="Courier New" w:hAnsi="Courier New"/>
          <w:lang w:val="es-ES_tradnl" w:eastAsia="es-ES" w:bidi="es-ES"/>
        </w:rPr>
        <w:t xml:space="preserve"> tanto del compuesto primario como de su análogo oxigenado.</w:t>
      </w:r>
    </w:p>
    <w:p w14:paraId="3055CFF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71778EA" w14:textId="0CDC643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43" w:name=":2.1.3__Excretion"/>
      <w:bookmarkStart w:id="44" w:name="SubSectionTitle:2.1.4__Toxicity,_single_"/>
      <w:bookmarkEnd w:id="43"/>
      <w:bookmarkEnd w:id="44"/>
      <w:r w:rsidRPr="00B92FD5">
        <w:rPr>
          <w:rFonts w:ascii="Courier New" w:hAnsi="Courier New"/>
          <w:lang w:val="es-ES_tradnl" w:eastAsia="es-ES" w:bidi="es-ES"/>
        </w:rPr>
        <w:t>2.1.4 Toxicidad, dosis única</w:t>
      </w:r>
    </w:p>
    <w:p w14:paraId="0A869F7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9A09F19" w14:textId="6DDB1D91"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B92FD5">
        <w:rPr>
          <w:rFonts w:ascii="Courier New" w:hAnsi="Courier New"/>
          <w:lang w:val="es-ES_tradnl" w:eastAsia="es-ES" w:bidi="es-ES"/>
        </w:rPr>
        <w:t xml:space="preserve">  </w:t>
      </w:r>
      <w:r w:rsidRPr="00B92FD5">
        <w:rPr>
          <w:rFonts w:ascii="Courier New" w:hAnsi="Courier New"/>
          <w:lang w:val="es-ES_tradnl" w:eastAsia="es-ES" w:bidi="es-ES"/>
        </w:rPr>
        <w:t xml:space="preserve"> Oral LD</w:t>
      </w:r>
      <w:r w:rsidRPr="00B92FD5">
        <w:rPr>
          <w:rFonts w:ascii="Courier New" w:hAnsi="Courier New"/>
          <w:vertAlign w:val="subscript"/>
          <w:lang w:val="es-ES_tradnl" w:eastAsia="es-ES" w:bidi="es-ES"/>
        </w:rPr>
        <w:t>50</w:t>
      </w:r>
      <w:r w:rsidRPr="00B92FD5">
        <w:rPr>
          <w:rFonts w:ascii="Courier New" w:hAnsi="Courier New"/>
          <w:lang w:val="es-ES_tradnl" w:eastAsia="es-ES" w:bidi="es-ES"/>
        </w:rPr>
        <w:t xml:space="preserve"> rata (M) 215 mg/kg   Por piel LD</w:t>
      </w:r>
      <w:r w:rsidRPr="00B92FD5">
        <w:rPr>
          <w:rFonts w:ascii="Courier New" w:hAnsi="Courier New"/>
          <w:vertAlign w:val="subscript"/>
          <w:lang w:val="es-ES_tradnl" w:eastAsia="es-ES" w:bidi="es-ES"/>
        </w:rPr>
        <w:t>50</w:t>
      </w:r>
      <w:r w:rsidRPr="00B92FD5">
        <w:rPr>
          <w:rFonts w:ascii="Courier New" w:hAnsi="Courier New"/>
          <w:lang w:val="es-ES_tradnl" w:eastAsia="es-ES" w:bidi="es-ES"/>
        </w:rPr>
        <w:t xml:space="preserve"> rata (M) 330 mg/kg</w:t>
      </w:r>
    </w:p>
    <w:p w14:paraId="5204807C" w14:textId="25D5F419" w:rsidR="00114789" w:rsidRPr="00EB559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es-ES" w:bidi="es-ES"/>
        </w:rPr>
      </w:pPr>
      <w:r w:rsidRPr="00ED5AB4">
        <w:rPr>
          <w:rFonts w:ascii="Courier New" w:hAnsi="Courier New"/>
          <w:lang w:val="es-ES_tradnl" w:eastAsia="es-ES" w:bidi="es-ES"/>
        </w:rPr>
        <w:t xml:space="preserve">         </w:t>
      </w:r>
      <w:r w:rsidR="00EB5595" w:rsidRPr="00ED5AB4">
        <w:rPr>
          <w:rFonts w:ascii="Courier New" w:hAnsi="Courier New"/>
          <w:lang w:val="es-ES_tradnl" w:eastAsia="es-ES" w:bidi="es-ES"/>
        </w:rPr>
        <w:t xml:space="preserve">        </w:t>
      </w:r>
      <w:r w:rsidRPr="00ED5AB4">
        <w:rPr>
          <w:rFonts w:ascii="Courier New" w:hAnsi="Courier New"/>
          <w:lang w:val="es-ES_tradnl" w:eastAsia="es-ES" w:bidi="es-ES"/>
        </w:rPr>
        <w:t xml:space="preserve"> </w:t>
      </w:r>
      <w:r w:rsidRPr="00EB5595">
        <w:rPr>
          <w:rFonts w:ascii="Courier New" w:hAnsi="Courier New"/>
          <w:lang w:val="en-US" w:eastAsia="es-ES" w:bidi="es-ES"/>
        </w:rPr>
        <w:t>(H) 245 mg/kg          rata (H) 330 mg/kg</w:t>
      </w:r>
    </w:p>
    <w:p w14:paraId="11C1FF4C" w14:textId="77777777" w:rsidR="00114789" w:rsidRPr="00EB559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es-ES" w:bidi="es-ES"/>
        </w:rPr>
      </w:pPr>
    </w:p>
    <w:p w14:paraId="5A6BCFD0" w14:textId="4E04AF9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B5595">
        <w:rPr>
          <w:rFonts w:ascii="Courier New" w:hAnsi="Courier New"/>
          <w:lang w:val="es-ES" w:eastAsia="es-ES" w:bidi="es-ES"/>
        </w:rPr>
        <w:t xml:space="preserve"> </w:t>
      </w:r>
      <w:r w:rsidR="00EB5595" w:rsidRPr="00EB5595">
        <w:rPr>
          <w:rFonts w:ascii="Courier New" w:hAnsi="Courier New"/>
          <w:lang w:val="es-ES" w:eastAsia="es-ES" w:bidi="es-ES"/>
        </w:rPr>
        <w:t xml:space="preserve"> </w:t>
      </w:r>
      <w:r w:rsidR="00EB5595">
        <w:rPr>
          <w:rFonts w:ascii="Courier New" w:hAnsi="Courier New"/>
          <w:lang w:val="es-ES" w:eastAsia="es-ES" w:bidi="es-ES"/>
        </w:rPr>
        <w:t xml:space="preserve"> </w:t>
      </w:r>
      <w:r w:rsidRPr="00EB5595">
        <w:rPr>
          <w:rFonts w:ascii="Courier New" w:hAnsi="Courier New"/>
          <w:lang w:val="es-ES" w:eastAsia="es-ES" w:bidi="es-ES"/>
        </w:rPr>
        <w:t xml:space="preserve"> </w:t>
      </w:r>
      <w:r w:rsidRPr="00B92FD5">
        <w:rPr>
          <w:rFonts w:ascii="Courier New" w:hAnsi="Courier New"/>
          <w:lang w:val="es-ES_tradnl" w:eastAsia="es-ES" w:bidi="es-ES"/>
        </w:rPr>
        <w:t>Por piel LD</w:t>
      </w:r>
      <w:r w:rsidRPr="00B92FD5">
        <w:rPr>
          <w:rFonts w:ascii="Courier New" w:hAnsi="Courier New"/>
          <w:vertAlign w:val="subscript"/>
          <w:lang w:val="es-ES_tradnl" w:eastAsia="es-ES" w:bidi="es-ES"/>
        </w:rPr>
        <w:t>50</w:t>
      </w:r>
      <w:r w:rsidRPr="00B92FD5">
        <w:rPr>
          <w:rFonts w:ascii="Courier New" w:hAnsi="Courier New"/>
          <w:lang w:val="es-ES_tradnl" w:eastAsia="es-ES" w:bidi="es-ES"/>
        </w:rPr>
        <w:t xml:space="preserve"> conejo (M) 150 mg/kg</w:t>
      </w:r>
    </w:p>
    <w:p w14:paraId="75104A2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CF9DA71" w14:textId="45B906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Especies más susceptibles</w:t>
      </w:r>
    </w:p>
    <w:p w14:paraId="683DE8E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A1CED8A" w14:textId="12ABB5AB"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Ternero - oral LD</w:t>
      </w:r>
      <w:r w:rsidRPr="00B92FD5">
        <w:rPr>
          <w:rFonts w:ascii="Courier New" w:hAnsi="Courier New"/>
          <w:vertAlign w:val="subscript"/>
          <w:lang w:val="es-ES_tradnl" w:eastAsia="es-ES" w:bidi="es-ES"/>
        </w:rPr>
        <w:t>50</w:t>
      </w:r>
      <w:r w:rsidRPr="00B92FD5">
        <w:rPr>
          <w:rFonts w:ascii="Courier New" w:hAnsi="Courier New"/>
          <w:lang w:val="es-ES_tradnl" w:eastAsia="es-ES" w:bidi="es-ES"/>
        </w:rPr>
        <w:t xml:space="preserve"> aproximadamente 40 mg/kg</w:t>
      </w:r>
    </w:p>
    <w:p w14:paraId="32D1982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DC61164" w14:textId="4EB120A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45" w:name=":2.1.4__Toxicity,_single_dose"/>
      <w:bookmarkStart w:id="46" w:name="SubSectionTitle:2.1.5__Toxicity,_repeate"/>
      <w:bookmarkEnd w:id="45"/>
      <w:bookmarkEnd w:id="46"/>
      <w:r w:rsidRPr="00B92FD5">
        <w:rPr>
          <w:rFonts w:ascii="Courier New" w:hAnsi="Courier New"/>
          <w:lang w:val="es-ES_tradnl" w:eastAsia="es-ES" w:bidi="es-ES"/>
        </w:rPr>
        <w:t>2.1.5 Toxicidad, dosis repetidas</w:t>
      </w:r>
    </w:p>
    <w:p w14:paraId="2295F64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E15F089" w14:textId="78D587FB"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Contacto oral</w:t>
      </w:r>
    </w:p>
    <w:p w14:paraId="5AB9A37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EC000A4" w14:textId="77777777" w:rsidR="00114789"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lang w:val="es-ES_tradnl" w:eastAsia="es-ES" w:bidi="es-ES"/>
        </w:rPr>
      </w:pPr>
      <w:r w:rsidRPr="00B92FD5">
        <w:rPr>
          <w:rFonts w:ascii="Courier New" w:hAnsi="Courier New"/>
          <w:lang w:val="es-ES_tradnl" w:eastAsia="es-ES" w:bidi="es-ES"/>
        </w:rPr>
        <w:t>A ratas de ambos sexos se les administró dosis orales repetidas de 10, 25, 50 y 100 mg/kg durante cinco días. No se observaron muertes con dosis de 10 y 25 mg/kg. Uno de los cuatro animales murió con una dosis de 50 mg/kg y todos murieron con dosis de 100 mg/kg. Se observaron fasciculaciones después de una dosis única de 25 mg/kg.</w:t>
      </w:r>
    </w:p>
    <w:p w14:paraId="5700CBA0" w14:textId="77777777" w:rsidR="00EB5595" w:rsidRPr="00B92FD5" w:rsidRDefault="00EB5595"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46E55E3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Dosis diarias orales de 25 mg/kg durante 75 días, seis días por semana administradas a 30 ratas mataron 12 animales. La administración diaria de 30 mg/kg cinco días por semana, durante 13 semanas, a ratas macho produjo una mortalidad del 30 % y una reducción de entre el 80 % y el 90 % de la actividad de la colinesterasa. La colinesterasa se recuperó, pero lentamente, hasta los 40 días.</w:t>
      </w:r>
    </w:p>
    <w:p w14:paraId="685BEDC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9BE7D15" w14:textId="3BFC72C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Inhalación</w:t>
      </w:r>
    </w:p>
    <w:p w14:paraId="0BD15D8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9FDE82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Las ratas hembras toleraron una exposición diaria de una hora de inhalación de 0,163 mg/l de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durante 30 días con inhibición de la colinesterasa, pero sin muertes. Con dosis de 0,415 mg/l todos los animales murieron en un periodo de 10 días.</w:t>
      </w:r>
    </w:p>
    <w:p w14:paraId="1CBFC70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444486B" w14:textId="572C41D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Contacto por piel</w:t>
      </w:r>
    </w:p>
    <w:p w14:paraId="4A9AECA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4760DA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La administración por piel de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en dosis de 14,5 y 25 mg/kg durante 60 días a ratas dio lugar a un 40 % de mortalidad en el grupo de dosis más alta. Se redujo la actividad de la colinesterasa en sangre al 20 % de lo normal en el grupo de dosis más baja. Se administró a ratas una dosis dérmica de LD</w:t>
      </w:r>
      <w:r w:rsidRPr="00B92FD5">
        <w:rPr>
          <w:rFonts w:ascii="Courier New" w:hAnsi="Courier New"/>
          <w:vertAlign w:val="subscript"/>
          <w:lang w:val="es-ES_tradnl" w:eastAsia="es-ES" w:bidi="es-ES"/>
        </w:rPr>
        <w:t>50</w:t>
      </w:r>
      <w:r w:rsidRPr="00B92FD5">
        <w:rPr>
          <w:rFonts w:ascii="Courier New" w:hAnsi="Courier New"/>
          <w:lang w:val="es-ES_tradnl" w:eastAsia="es-ES" w:bidi="es-ES"/>
        </w:rPr>
        <w:t xml:space="preserve"> de 73 mg/kg/día (dosis total 365 mg/kg) repetida durante cinco días. </w:t>
      </w:r>
    </w:p>
    <w:p w14:paraId="2FF6759E"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D0AFFD9" w14:textId="575E89A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Acumulación del compuesto</w:t>
      </w:r>
    </w:p>
    <w:p w14:paraId="4A05EC5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047BA0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El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no se acumula de manera importante. Sin embargo, la recuperación de la colinesterasa es lenta después de la inhibición de este compuesto.</w:t>
      </w:r>
    </w:p>
    <w:p w14:paraId="3AB7F61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E685A2C" w14:textId="0C22DB2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u w:val="single"/>
          <w:lang w:val="es-ES_tradnl" w:eastAsia="es-ES" w:bidi="es-ES"/>
        </w:rPr>
        <w:t>Acumulación de efecto</w:t>
      </w:r>
    </w:p>
    <w:p w14:paraId="44581BF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33554E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La exposición repetida puede producir efecto acumulativo en la colinesterasa.</w:t>
      </w:r>
    </w:p>
    <w:p w14:paraId="3007060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87EE170" w14:textId="3395F853"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47" w:name=":2.1.5__Toxicity,_repeated_doses"/>
      <w:bookmarkStart w:id="48" w:name="SubSectionTitle:2.1.6__Dietary_studies"/>
      <w:bookmarkEnd w:id="47"/>
      <w:bookmarkEnd w:id="48"/>
      <w:r w:rsidRPr="00B92FD5">
        <w:rPr>
          <w:rFonts w:ascii="Courier New" w:hAnsi="Courier New"/>
          <w:lang w:val="es-ES_tradnl" w:eastAsia="es-ES" w:bidi="es-ES"/>
        </w:rPr>
        <w:t>2.1.6 Estudios sobre la dieta</w:t>
      </w:r>
    </w:p>
    <w:p w14:paraId="569B343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B2F1A78" w14:textId="585B998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u w:val="single"/>
          <w:lang w:val="es-ES_tradnl" w:eastAsia="es-ES" w:bidi="es-ES"/>
        </w:rPr>
        <w:t>Corto plazo</w:t>
      </w:r>
    </w:p>
    <w:p w14:paraId="7917241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7CF7C0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Se alimentó a ratas macho y hembra con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en niveles de dieta de 0,25;</w:t>
      </w:r>
    </w:p>
    <w:p w14:paraId="3DD659C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0,50;2,5 y 5,0 mg/kg durante tres meses. Se observó una reducción de la actividad de la colinesterasa eritrocitaria en todos los niveles de dosis. En el nivel inferior (0,25 mg/kg) la inhibición, de aproximadamente entre 10 % y 20 %, no fue progresiva con el tiempo. Se observó mortalidad en las hembras con dosis de 5,0 mg/kg; los animales muertos presentaron efectos muscarínicos y nicotínicos. El examen histológico mostró espermatogénesis reducida en los testículos y glándulas prostáticas atróficas en los niveles más elevados de alimentación (2,5 y 5,0 mg/kg).</w:t>
      </w:r>
    </w:p>
    <w:p w14:paraId="633F38C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B7306F0" w14:textId="731A89D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Largo plazo</w:t>
      </w:r>
    </w:p>
    <w:p w14:paraId="56DDDF5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8CD97E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Se alimentó a seis grupos de 25 ratas macho y 25 ratas hembra durante un año con dietas de 2, 3, 5, 25 y 100 ppm de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La supervivencia de las ratas macho con 25 ppm disminuyó levemente y la actividad de la colinesterasa se redujo en el nivel de 5 ppm y superior; solo los animales que recibieron 2 y 3 ppm no mostraron efectos enzimáticos adversos. En el bazo de ratas con un nivel de 100 ppm era evidente la </w:t>
      </w:r>
      <w:proofErr w:type="spellStart"/>
      <w:r w:rsidRPr="00B92FD5">
        <w:rPr>
          <w:rFonts w:ascii="Courier New" w:hAnsi="Courier New"/>
          <w:lang w:val="es-ES_tradnl" w:eastAsia="es-ES" w:bidi="es-ES"/>
        </w:rPr>
        <w:t>hemosiderosis</w:t>
      </w:r>
      <w:proofErr w:type="spellEnd"/>
      <w:r w:rsidRPr="00B92FD5">
        <w:rPr>
          <w:rFonts w:ascii="Courier New" w:hAnsi="Courier New"/>
          <w:lang w:val="es-ES_tradnl" w:eastAsia="es-ES" w:bidi="es-ES"/>
        </w:rPr>
        <w:t>.</w:t>
      </w:r>
    </w:p>
    <w:p w14:paraId="2249FC9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B6D28F8" w14:textId="1D71904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49" w:name=":2.1.6__Dietary_studies"/>
      <w:bookmarkStart w:id="50" w:name="SubSectionTitle:2.1.7__Supplementary_stu"/>
      <w:bookmarkEnd w:id="49"/>
      <w:bookmarkEnd w:id="50"/>
      <w:r w:rsidR="00EB5595">
        <w:rPr>
          <w:rFonts w:ascii="Courier New" w:hAnsi="Courier New"/>
          <w:lang w:val="es-ES_tradnl" w:eastAsia="es-ES" w:bidi="es-ES"/>
        </w:rPr>
        <w:t xml:space="preserve">  </w:t>
      </w:r>
      <w:r w:rsidRPr="00B92FD5">
        <w:rPr>
          <w:rFonts w:ascii="Courier New" w:hAnsi="Courier New"/>
          <w:lang w:val="es-ES_tradnl" w:eastAsia="es-ES" w:bidi="es-ES"/>
        </w:rPr>
        <w:t>2.1.7 Estudios suplementarios de toxicidad</w:t>
      </w:r>
    </w:p>
    <w:p w14:paraId="75C9775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CF3A50F" w14:textId="713825A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 xml:space="preserve">Carcinogénesis </w:t>
      </w:r>
    </w:p>
    <w:p w14:paraId="3A101EA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7756761" w14:textId="724E52B3"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Sin información disponible</w:t>
      </w:r>
    </w:p>
    <w:p w14:paraId="0E0BC53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49A7632" w14:textId="502B0CC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 xml:space="preserve">Teratogénesis </w:t>
      </w:r>
    </w:p>
    <w:p w14:paraId="64B54F7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AB6EA2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En un estudio en ratas de tres generaciones con 3,15 y 75 ppm, que incluía dos camadas por generación, no se observaron efectos adversos en la reproducción de las ratas. En el nivel de la dieta más elevado solo se observó una leve depresión del crecimiento.</w:t>
      </w:r>
    </w:p>
    <w:p w14:paraId="7641335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E5C0074" w14:textId="74EC798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Neurotoxicidad</w:t>
      </w:r>
    </w:p>
    <w:p w14:paraId="6A8A264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0EA435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No se observaron trastornos neurológicos en gallinas cuando se administró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oralmente como dosis única de 25 mg/kg y hasta 100 ppm en la dieta, durante 30 días.</w:t>
      </w:r>
    </w:p>
    <w:p w14:paraId="4626FFA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12AA4B3" w14:textId="39D16DA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51" w:name=":2.1.7__Supplementary_studies_of_toxicit"/>
      <w:bookmarkStart w:id="52" w:name="SubSectionTitle:2.1.8__Modifications_of_"/>
      <w:bookmarkEnd w:id="51"/>
      <w:bookmarkEnd w:id="52"/>
      <w:r w:rsidRPr="00B92FD5">
        <w:rPr>
          <w:rFonts w:ascii="Courier New" w:hAnsi="Courier New"/>
          <w:lang w:val="es-ES_tradnl" w:eastAsia="es-ES" w:bidi="es-ES"/>
        </w:rPr>
        <w:t>2.1.8 Modificaciones de la toxicidad</w:t>
      </w:r>
    </w:p>
    <w:p w14:paraId="3BFD4A9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F24058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El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potencia la toxicidad intraperitoneal aguda de malatión, </w:t>
      </w:r>
      <w:proofErr w:type="spellStart"/>
      <w:r w:rsidRPr="00B92FD5">
        <w:rPr>
          <w:rFonts w:ascii="Courier New" w:hAnsi="Courier New"/>
          <w:lang w:val="es-ES_tradnl" w:eastAsia="es-ES" w:bidi="es-ES"/>
        </w:rPr>
        <w:t>dioxatión</w:t>
      </w:r>
      <w:proofErr w:type="spellEnd"/>
      <w:r w:rsidRPr="00B92FD5">
        <w:rPr>
          <w:rFonts w:ascii="Courier New" w:hAnsi="Courier New"/>
          <w:lang w:val="es-ES_tradnl" w:eastAsia="es-ES" w:bidi="es-ES"/>
        </w:rPr>
        <w:t xml:space="preserve"> y </w:t>
      </w:r>
      <w:proofErr w:type="spellStart"/>
      <w:r w:rsidRPr="00B92FD5">
        <w:rPr>
          <w:rFonts w:ascii="Courier New" w:hAnsi="Courier New"/>
          <w:lang w:val="es-ES_tradnl" w:eastAsia="es-ES" w:bidi="es-ES"/>
        </w:rPr>
        <w:t>cumafós</w:t>
      </w:r>
      <w:proofErr w:type="spellEnd"/>
      <w:r w:rsidRPr="00B92FD5">
        <w:rPr>
          <w:rFonts w:ascii="Courier New" w:hAnsi="Courier New"/>
          <w:lang w:val="es-ES_tradnl" w:eastAsia="es-ES" w:bidi="es-ES"/>
        </w:rPr>
        <w:t xml:space="preserve"> en rata. La potenciación mayor (casi tres veces) se dio con el </w:t>
      </w:r>
      <w:proofErr w:type="spellStart"/>
      <w:r w:rsidRPr="00B92FD5">
        <w:rPr>
          <w:rFonts w:ascii="Courier New" w:hAnsi="Courier New"/>
          <w:lang w:val="es-ES_tradnl" w:eastAsia="es-ES" w:bidi="es-ES"/>
        </w:rPr>
        <w:t>cumafós</w:t>
      </w:r>
      <w:proofErr w:type="spellEnd"/>
      <w:r w:rsidRPr="00B92FD5">
        <w:rPr>
          <w:rFonts w:ascii="Courier New" w:hAnsi="Courier New"/>
          <w:lang w:val="es-ES_tradnl" w:eastAsia="es-ES" w:bidi="es-ES"/>
        </w:rPr>
        <w:t xml:space="preserve">. La reducción de la actividad de la colinesterasa también se potenció cuando se alimentó a perros con una combinación de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y </w:t>
      </w:r>
      <w:proofErr w:type="spellStart"/>
      <w:r w:rsidRPr="00B92FD5">
        <w:rPr>
          <w:rFonts w:ascii="Courier New" w:hAnsi="Courier New"/>
          <w:lang w:val="es-ES_tradnl" w:eastAsia="es-ES" w:bidi="es-ES"/>
        </w:rPr>
        <w:t>cumafós</w:t>
      </w:r>
      <w:proofErr w:type="spellEnd"/>
      <w:r w:rsidRPr="00B92FD5">
        <w:rPr>
          <w:rFonts w:ascii="Courier New" w:hAnsi="Courier New"/>
          <w:lang w:val="es-ES_tradnl" w:eastAsia="es-ES" w:bidi="es-ES"/>
        </w:rPr>
        <w:t>.</w:t>
      </w:r>
    </w:p>
    <w:p w14:paraId="23F426F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887AA5E" w14:textId="132FCBB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53" w:name=":2.1.8__Modifications_of_toxicity"/>
      <w:bookmarkStart w:id="54" w:name="EndSectionTitle:2.1__TOXICOLOGY-MAMMALS"/>
      <w:bookmarkStart w:id="55" w:name="SectionTitle:2.2__TOXICOLOGY-MAN"/>
      <w:bookmarkEnd w:id="53"/>
      <w:bookmarkEnd w:id="54"/>
      <w:bookmarkEnd w:id="55"/>
      <w:r w:rsidRPr="00B92FD5">
        <w:rPr>
          <w:rFonts w:ascii="Courier New" w:hAnsi="Courier New"/>
          <w:color w:val="0000FF"/>
          <w:lang w:val="es-ES_tradnl" w:eastAsia="es-ES" w:bidi="es-ES"/>
        </w:rPr>
        <w:t>2.2. TOXICOLOGÍA - HOMBRE</w:t>
      </w:r>
    </w:p>
    <w:p w14:paraId="379FD3C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98C6E42" w14:textId="06AF1B6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56" w:name="SubSectionTitle:2.2.1__Absorption"/>
      <w:bookmarkEnd w:id="56"/>
      <w:r w:rsidR="00EB5595">
        <w:rPr>
          <w:rFonts w:ascii="Courier New" w:hAnsi="Courier New"/>
          <w:lang w:val="es-ES_tradnl" w:eastAsia="es-ES" w:bidi="es-ES"/>
        </w:rPr>
        <w:t xml:space="preserve">  </w:t>
      </w:r>
      <w:r w:rsidRPr="00B92FD5">
        <w:rPr>
          <w:rFonts w:ascii="Courier New" w:hAnsi="Courier New"/>
          <w:lang w:val="es-ES_tradnl" w:eastAsia="es-ES" w:bidi="es-ES"/>
        </w:rPr>
        <w:t>2.2.1 Absorción</w:t>
      </w:r>
    </w:p>
    <w:p w14:paraId="6B6EA23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E51A8FE"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Se ha probado que la ingesta es una causa importante de envenenamiento grave con este compuesto. También puede absorberse por vía dérmica y por inhalación de partículas de polvo.</w:t>
      </w:r>
    </w:p>
    <w:p w14:paraId="6DCCD4B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60A46E7" w14:textId="2C3BA071"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57" w:name=":2.2.1__Absorption"/>
      <w:bookmarkStart w:id="58" w:name="SubSectionTitle:2.2.2__Dangerous_doses"/>
      <w:bookmarkEnd w:id="57"/>
      <w:bookmarkEnd w:id="58"/>
      <w:r w:rsidRPr="00B92FD5">
        <w:rPr>
          <w:rFonts w:ascii="Courier New" w:hAnsi="Courier New"/>
          <w:lang w:val="es-ES_tradnl" w:eastAsia="es-ES" w:bidi="es-ES"/>
        </w:rPr>
        <w:t>2.2.2 Dosis peligrosas</w:t>
      </w:r>
    </w:p>
    <w:p w14:paraId="334EE9A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5668E6C" w14:textId="3743885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Única</w:t>
      </w:r>
      <w:r w:rsidRPr="00B92FD5">
        <w:rPr>
          <w:rFonts w:ascii="Courier New" w:hAnsi="Courier New"/>
          <w:lang w:val="es-ES_tradnl" w:eastAsia="es-ES" w:bidi="es-ES"/>
        </w:rPr>
        <w:t>: desconocida</w:t>
      </w:r>
    </w:p>
    <w:p w14:paraId="7A72AE8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C9D9303" w14:textId="132E2D2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Repetida</w:t>
      </w:r>
      <w:r w:rsidRPr="00B92FD5">
        <w:rPr>
          <w:rFonts w:ascii="Courier New" w:hAnsi="Courier New"/>
          <w:lang w:val="es-ES_tradnl" w:eastAsia="es-ES" w:bidi="es-ES"/>
        </w:rPr>
        <w:t>: desconocida</w:t>
      </w:r>
    </w:p>
    <w:p w14:paraId="641D8F3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D0C0280" w14:textId="6CD450F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59" w:name=":2.2.2__Dangerous_doses"/>
      <w:bookmarkStart w:id="60" w:name="SubSectionTitle:2.2.3__Observations_on_o"/>
      <w:bookmarkEnd w:id="59"/>
      <w:bookmarkEnd w:id="60"/>
      <w:r w:rsidRPr="00B92FD5">
        <w:rPr>
          <w:rFonts w:ascii="Courier New" w:hAnsi="Courier New"/>
          <w:lang w:val="es-ES_tradnl" w:eastAsia="es-ES" w:bidi="es-ES"/>
        </w:rPr>
        <w:t>2.2.3 Observaciones sobre trabajadores expuestos por razones laborales</w:t>
      </w:r>
    </w:p>
    <w:p w14:paraId="30C8DA5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46C2BE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El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se ha utilizado ampliamente en muchos lugares del mundo para el control de plagas hogareñas y de mosquitos. Veintisiete de 28 trabajadores que fumigaron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como una aplicación residual en un lugar cerrado durante 15 días en un ensayo de control de paludismo, sin tomar las precauciones adecuadas, presentaron diversos grados de envenenamiento. Estos incluyeron: cefalea, vértigo, visión borrosa, dolores musculares y abdominales, calambres, diarrea y vómitos prolongados. Se observó una reducción muy grave de la colinesterasa en sangre entera, que seguía reducida un mes después de la finalización de la fumigación. Sin embargo, en una segunda operación de fumigación más reducida, en la que se tomaron precauciones más estrictas, solo uno de los 12 hombres mostró síntomas leves.</w:t>
      </w:r>
    </w:p>
    <w:p w14:paraId="64DCBB3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306403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En operaciones de eliminación de larvas de mosquitos, se encontró un promedio de exposición por piel de 3,6 mg/h tanto con pulverizadores con motor como manuales y de 12,3 mg/h usando una formulación granular dispersada a mano. Algunos trabajadores mostraron alguna depresión de colinesterasa plasmática pero no hubo ningún caso de disminución de la colinesterasa eritrocitaria.</w:t>
      </w:r>
    </w:p>
    <w:p w14:paraId="21D92ECE"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3E5659D" w14:textId="6504528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61" w:name=":2.2.3__Observations_on_occuptionally_ex"/>
      <w:bookmarkStart w:id="62" w:name="SubSectionTitle:2.2.4__Observations_on_e"/>
      <w:bookmarkEnd w:id="61"/>
      <w:bookmarkEnd w:id="62"/>
      <w:r w:rsidRPr="00B92FD5">
        <w:rPr>
          <w:rFonts w:ascii="Courier New" w:hAnsi="Courier New"/>
          <w:lang w:val="es-ES_tradnl" w:eastAsia="es-ES" w:bidi="es-ES"/>
        </w:rPr>
        <w:t xml:space="preserve">2.2.4 Observaciones sobre exposición de la población en general. </w:t>
      </w:r>
    </w:p>
    <w:p w14:paraId="3277FB2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FEB973C" w14:textId="3C442C65"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Sin información disponible</w:t>
      </w:r>
    </w:p>
    <w:p w14:paraId="4C15A0E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4C9A789" w14:textId="1595A4B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63" w:name=":2.2.4__Observations_on_exposure_of_the_"/>
      <w:bookmarkStart w:id="64" w:name="SubSectionTitle:2.2.5__Observations_of_v"/>
      <w:bookmarkEnd w:id="63"/>
      <w:bookmarkEnd w:id="64"/>
      <w:r w:rsidRPr="00B92FD5">
        <w:rPr>
          <w:rFonts w:ascii="Courier New" w:hAnsi="Courier New"/>
          <w:lang w:val="es-ES_tradnl" w:eastAsia="es-ES" w:bidi="es-ES"/>
        </w:rPr>
        <w:t>2.2.5 Observaciones de voluntarios</w:t>
      </w:r>
    </w:p>
    <w:p w14:paraId="772D1DC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8DBD0BB" w14:textId="07EB29AB"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Sin información disponible</w:t>
      </w:r>
    </w:p>
    <w:p w14:paraId="43E3586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3C2F8F5" w14:textId="1580DE2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65" w:name=":2.2.5__Observations_of_volunteers"/>
      <w:bookmarkStart w:id="66" w:name="SubSectionTitle:2.2.6__Reported_mishaps"/>
      <w:bookmarkEnd w:id="65"/>
      <w:bookmarkEnd w:id="66"/>
      <w:r w:rsidRPr="00B92FD5">
        <w:rPr>
          <w:rFonts w:ascii="Courier New" w:hAnsi="Courier New"/>
          <w:lang w:val="es-ES_tradnl" w:eastAsia="es-ES" w:bidi="es-ES"/>
        </w:rPr>
        <w:t>2.2.6 Percances notificados</w:t>
      </w:r>
    </w:p>
    <w:p w14:paraId="69D56F7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C215B3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Excepto el incidente al aplicarlo como insecticida residual en un ensayo   en un lugar cerrado, la mayoría de los incidentes surgieron por ingesta de cantidades de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En estos distintos incidentes, hubo recuperación, aunque los pacientes sufrieron envenenamiento grave (uno de presentación comatosa y el otro, cianótica). Sin embargo, fue necesario realizar tratamientos extensos con </w:t>
      </w:r>
      <w:proofErr w:type="spellStart"/>
      <w:r w:rsidRPr="00B92FD5">
        <w:rPr>
          <w:rFonts w:ascii="Courier New" w:hAnsi="Courier New"/>
          <w:lang w:val="es-ES_tradnl" w:eastAsia="es-ES" w:bidi="es-ES"/>
        </w:rPr>
        <w:t>pralidoxima</w:t>
      </w:r>
      <w:proofErr w:type="spellEnd"/>
      <w:r w:rsidRPr="00B92FD5">
        <w:rPr>
          <w:rFonts w:ascii="Courier New" w:hAnsi="Courier New"/>
          <w:lang w:val="es-ES_tradnl" w:eastAsia="es-ES" w:bidi="es-ES"/>
        </w:rPr>
        <w:t>, atropina, respiración artificial y, en un caso, intubación endotraqueal. En estos casos, los efectos agudos fueron prolongados; en un caso, la recuperación tomó 30 días.</w:t>
      </w:r>
    </w:p>
    <w:p w14:paraId="66B4BE3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3EF24C80" w14:textId="476CA7C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67" w:name=":2.2.6__Reported_mishaps"/>
      <w:bookmarkStart w:id="68" w:name="EndSectionTitle:2.2__TOXICOLOGY-MAN"/>
      <w:bookmarkStart w:id="69" w:name="SectionTitle:2.3__TOXICITY_TO_NON-MAMMAL"/>
      <w:bookmarkEnd w:id="67"/>
      <w:bookmarkEnd w:id="68"/>
      <w:bookmarkEnd w:id="69"/>
      <w:r w:rsidR="00EB5595">
        <w:rPr>
          <w:rFonts w:ascii="Courier New" w:hAnsi="Courier New"/>
          <w:lang w:val="es-ES_tradnl" w:eastAsia="es-ES" w:bidi="es-ES"/>
        </w:rPr>
        <w:t xml:space="preserve">  </w:t>
      </w:r>
      <w:r w:rsidRPr="00B92FD5">
        <w:rPr>
          <w:rFonts w:ascii="Courier New" w:hAnsi="Courier New"/>
          <w:color w:val="0000FF"/>
          <w:lang w:val="es-ES_tradnl" w:eastAsia="es-ES" w:bidi="es-ES"/>
        </w:rPr>
        <w:t>2.3 TOXICIDAD EN ESPECIES NO MAMÍFERAS</w:t>
      </w:r>
    </w:p>
    <w:p w14:paraId="706DA26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8FBB2A4" w14:textId="0EBB32A9"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70" w:name="SubSectionTitle:2.3.1__Fish"/>
      <w:bookmarkEnd w:id="70"/>
      <w:r w:rsidRPr="00B92FD5">
        <w:rPr>
          <w:rFonts w:ascii="Courier New" w:hAnsi="Courier New"/>
          <w:lang w:val="es-ES_tradnl" w:eastAsia="es-ES" w:bidi="es-ES"/>
        </w:rPr>
        <w:t>2.3.1 Peces</w:t>
      </w:r>
    </w:p>
    <w:p w14:paraId="2B010F0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2AA4407" w14:textId="247618E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Se está obteniendo información.</w:t>
      </w:r>
    </w:p>
    <w:p w14:paraId="39009B2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74C31FA" w14:textId="29D6CD1D"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71" w:name=":2.3.1__Fish"/>
      <w:bookmarkStart w:id="72" w:name="SubSectionTitle:2.3.2__Birds"/>
      <w:bookmarkEnd w:id="71"/>
      <w:bookmarkEnd w:id="72"/>
      <w:r w:rsidRPr="00B92FD5">
        <w:rPr>
          <w:rFonts w:ascii="Courier New" w:hAnsi="Courier New"/>
          <w:lang w:val="es-ES_tradnl" w:eastAsia="es-ES" w:bidi="es-ES"/>
        </w:rPr>
        <w:t>2.3.2 Aves</w:t>
      </w:r>
    </w:p>
    <w:p w14:paraId="712640B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38DF18A" w14:textId="20F3E12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Perjudicial.</w:t>
      </w:r>
    </w:p>
    <w:p w14:paraId="5778308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8EB368A" w14:textId="252BB805"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73" w:name=":2.3.2__Birds"/>
      <w:bookmarkStart w:id="74" w:name="SubSectionTitle:2.3.3__Other_species"/>
      <w:bookmarkEnd w:id="73"/>
      <w:bookmarkEnd w:id="74"/>
      <w:r w:rsidRPr="00B92FD5">
        <w:rPr>
          <w:rFonts w:ascii="Courier New" w:hAnsi="Courier New"/>
          <w:lang w:val="es-ES_tradnl" w:eastAsia="es-ES" w:bidi="es-ES"/>
        </w:rPr>
        <w:t>2.3.3 Otras especies</w:t>
      </w:r>
    </w:p>
    <w:p w14:paraId="3298112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ED67716" w14:textId="2C609F4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Se está obteniendo información.</w:t>
      </w:r>
    </w:p>
    <w:p w14:paraId="54A334C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42C6919" w14:textId="1487C066"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75" w:name=":2.3.3__Other_species"/>
      <w:bookmarkStart w:id="76" w:name="EndSectionTitle:2.3__TOXICITY_TO_NON-MAM"/>
      <w:bookmarkStart w:id="77" w:name="EndPartTitle:Part_2_-_Toxicology_and_ris"/>
      <w:bookmarkStart w:id="78" w:name="PartTitle:Part_3_-_For_regulatory_author"/>
      <w:bookmarkEnd w:id="75"/>
      <w:bookmarkEnd w:id="76"/>
      <w:bookmarkEnd w:id="77"/>
      <w:bookmarkEnd w:id="78"/>
      <w:r w:rsidRPr="00B92FD5">
        <w:rPr>
          <w:rFonts w:ascii="Courier New" w:hAnsi="Courier New"/>
          <w:color w:val="008000"/>
          <w:lang w:val="es-ES_tradnl" w:eastAsia="es-ES" w:bidi="es-ES"/>
        </w:rPr>
        <w:t xml:space="preserve">Parte 3 - Para las autoridades de reglamentación </w:t>
      </w:r>
    </w:p>
    <w:p w14:paraId="06C89D6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94B5088" w14:textId="37567E6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RECOMENDACIONES SOBRE REGLAMENTACIÓN DEL COMPUESTO</w:t>
      </w:r>
    </w:p>
    <w:p w14:paraId="395D62A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E9D5935" w14:textId="72D1D669"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79" w:name="SectionTitle:3.1__RECOMMENDED_RESTRICTIO"/>
      <w:bookmarkEnd w:id="79"/>
      <w:r w:rsidRPr="00B92FD5">
        <w:rPr>
          <w:rFonts w:ascii="Courier New" w:hAnsi="Courier New"/>
          <w:color w:val="0000FF"/>
          <w:lang w:val="es-ES_tradnl" w:eastAsia="es-ES" w:bidi="es-ES"/>
        </w:rPr>
        <w:t>3.1 RESTRICCIONES RECOMENDADAS SOBRE LA DISPONIBILIDAD</w:t>
      </w:r>
    </w:p>
    <w:p w14:paraId="0574323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5B7AB18" w14:textId="4B1DD5D5"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cs="Courier New"/>
          <w:lang w:val="es-ES_tradnl" w:eastAsia="de-DE"/>
        </w:rPr>
        <w:t>(Para la definición de categorías</w:t>
      </w:r>
      <w:r w:rsidRPr="00B92FD5">
        <w:rPr>
          <w:lang w:val="es-ES_tradnl" w:eastAsia="es-ES" w:bidi="es-ES"/>
        </w:rPr>
        <w:t xml:space="preserve">, </w:t>
      </w:r>
      <w:hyperlink r:id="rId21">
        <w:r w:rsidRPr="00B92FD5">
          <w:rPr>
            <w:rFonts w:ascii="Courier New" w:hAnsi="Courier New"/>
            <w:color w:val="0000FF"/>
            <w:u w:val="single"/>
            <w:lang w:val="es-ES_tradnl" w:eastAsia="es-ES" w:bidi="es-ES"/>
          </w:rPr>
          <w:t>véase la introducción</w:t>
        </w:r>
      </w:hyperlink>
      <w:r w:rsidRPr="00B92FD5">
        <w:rPr>
          <w:lang w:val="es-ES_tradnl" w:eastAsia="es-ES" w:bidi="es-ES"/>
        </w:rPr>
        <w:t>.)</w:t>
      </w:r>
    </w:p>
    <w:p w14:paraId="022B914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C706D2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Formulaciones líquidas mayores al 10 %, categoría 3. Todas las otras, categoría 4.</w:t>
      </w:r>
    </w:p>
    <w:p w14:paraId="6017C19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Formulaciones sólidas mayores al 10 %, categoría 4. Todas las otras, categoría 5.</w:t>
      </w:r>
    </w:p>
    <w:p w14:paraId="0A6AA19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7C5C844" w14:textId="687C0E8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80" w:name="EndSectionTitle:3.1__RECOMMENDED_RESTRIC"/>
      <w:bookmarkStart w:id="81" w:name="SectionTitle:3.2__TRANSPORTATION_AND_STO"/>
      <w:bookmarkEnd w:id="80"/>
      <w:bookmarkEnd w:id="81"/>
      <w:r w:rsidRPr="00B92FD5">
        <w:rPr>
          <w:rFonts w:ascii="Courier New" w:hAnsi="Courier New"/>
          <w:color w:val="0000FF"/>
          <w:lang w:val="es-ES_tradnl" w:eastAsia="es-ES" w:bidi="es-ES"/>
        </w:rPr>
        <w:t>3.2. TRANSPORTE Y ALMACENAMIENTO</w:t>
      </w:r>
    </w:p>
    <w:p w14:paraId="39A0AB3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3D49CD7" w14:textId="6725BCE9"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Todas las formulaciones</w:t>
      </w:r>
    </w:p>
    <w:p w14:paraId="6E91D1B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B279C71" w14:textId="0AF486F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Clasificación de las Naciones Unidas 6.1.</w:t>
      </w:r>
    </w:p>
    <w:p w14:paraId="69A98D2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89976A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Deben transportarse o almacenarse en recipientes rígidos y herméticos, claramente etiquetados. Mantener el producto guardado bajo llave y no dejarlo al alcance de personas no autorizadas ni niños. No deben transportarse o almacenarse alimentos ni bebidas en el mismo compartimiento. </w:t>
      </w:r>
    </w:p>
    <w:p w14:paraId="226A8C5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C968FA3" w14:textId="0CF09CD5"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82" w:name="EndSectionTitle:3.2__TRANSPORTATION_AND_"/>
      <w:bookmarkStart w:id="83" w:name="SectionTitle:3.3__HANDLING"/>
      <w:bookmarkEnd w:id="82"/>
      <w:bookmarkEnd w:id="83"/>
      <w:r w:rsidRPr="00B92FD5">
        <w:rPr>
          <w:rFonts w:ascii="Courier New" w:hAnsi="Courier New"/>
          <w:color w:val="0000FF"/>
          <w:lang w:val="es-ES_tradnl" w:eastAsia="es-ES" w:bidi="es-ES"/>
        </w:rPr>
        <w:t>3.3. MANIPULACIÓN</w:t>
      </w:r>
    </w:p>
    <w:p w14:paraId="67115C9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01A2124" w14:textId="22B2AA1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u w:val="single"/>
          <w:lang w:val="es-ES_tradnl" w:eastAsia="es-ES" w:bidi="es-ES"/>
        </w:rPr>
        <w:t>Formulaciones de las categorías 3 y 4</w:t>
      </w:r>
    </w:p>
    <w:p w14:paraId="2576277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0D4BB5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Las personas que manipulen el compuesto deben usar indumentaria que los proteja por completo. Debe disponerse siempre de instalaciones adecuadas durante la manipulación y estas deben estar cercanas al lugar de la manipulación. Se debe prohibir comer, beber y fumar durante la manipulación y antes de lavarse después de la manipulación.</w:t>
      </w:r>
    </w:p>
    <w:p w14:paraId="3C242B3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29B77D5" w14:textId="0264B71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Formulaciones de la categoría 5</w:t>
      </w:r>
    </w:p>
    <w:p w14:paraId="31511AD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F7EA81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No se necesitan instalaciones más allá de las necesarias para la manipulación de cualquier producto químico.</w:t>
      </w:r>
    </w:p>
    <w:p w14:paraId="0903E80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5E934AC" w14:textId="569B5970" w:rsidR="00114789" w:rsidRPr="00B92FD5" w:rsidRDefault="00114789" w:rsidP="00114789">
      <w:pPr>
        <w:rPr>
          <w:rFonts w:ascii="Courier New" w:hAnsi="Courier New" w:cs="Courier New"/>
          <w:lang w:val="es-ES_tradnl" w:eastAsia="es-ES" w:bidi="es-ES"/>
        </w:rPr>
      </w:pPr>
      <w:r w:rsidRPr="00B92FD5">
        <w:rPr>
          <w:rFonts w:ascii="Courier New" w:hAnsi="Courier New"/>
          <w:lang w:val="es-ES_tradnl" w:eastAsia="es-ES" w:bidi="es-ES"/>
        </w:rPr>
        <w:br w:type="page"/>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84" w:name="EndSectionTitle:3.3__HANDLING"/>
      <w:bookmarkStart w:id="85" w:name="SectionTitle:3.4__DISPOSAL_AND/OR_DECONT"/>
      <w:bookmarkEnd w:id="84"/>
      <w:bookmarkEnd w:id="85"/>
      <w:r w:rsidRPr="00B92FD5">
        <w:rPr>
          <w:rFonts w:ascii="Courier New" w:hAnsi="Courier New"/>
          <w:color w:val="0000FF"/>
          <w:lang w:val="es-ES_tradnl" w:eastAsia="es-ES" w:bidi="es-ES"/>
        </w:rPr>
        <w:t>3.4 ELIMINACIÓN Y/O DESCONTAMINACIÓN DE LOS ENVASES</w:t>
      </w:r>
    </w:p>
    <w:p w14:paraId="0E96AC6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56110C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Los envases deben quemarse o aplastarse y enterrarse por debajo de la capa arable. Hay que tomar precauciones para evitar la posterior contaminación de los suministros de agua. No debe permitirse la descontaminación de los envases con el fin de que se empleen para otros propósitos.</w:t>
      </w:r>
    </w:p>
    <w:p w14:paraId="37CDC44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BF0197B" w14:textId="545DF9B3"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86" w:name="EndSectionTitle:3.4__DISPOSAL_AND/OR_DEC"/>
      <w:bookmarkStart w:id="87" w:name="SectionTitle:3.5__SELECTION,_TRAINING_AN"/>
      <w:bookmarkEnd w:id="86"/>
      <w:bookmarkEnd w:id="87"/>
      <w:r w:rsidR="00EB5595">
        <w:rPr>
          <w:rFonts w:ascii="Courier New" w:hAnsi="Courier New"/>
          <w:lang w:val="es-ES_tradnl" w:eastAsia="es-ES" w:bidi="es-ES"/>
        </w:rPr>
        <w:t xml:space="preserve">  </w:t>
      </w:r>
      <w:r w:rsidRPr="00B92FD5">
        <w:rPr>
          <w:rFonts w:ascii="Courier New" w:hAnsi="Courier New"/>
          <w:color w:val="0000FF"/>
          <w:lang w:val="es-ES_tradnl" w:eastAsia="es-ES" w:bidi="es-ES"/>
        </w:rPr>
        <w:t>3.5 SELECCIÓN, FORMACIÓN Y SUPERVISIÓN MÉDICA DE LOS TRABAJADORES</w:t>
      </w:r>
    </w:p>
    <w:p w14:paraId="750E724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642EB87" w14:textId="228A68B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Formulaciones de las categorías 3 y 4</w:t>
      </w:r>
    </w:p>
    <w:p w14:paraId="10527CE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78D674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Es necesario realizar el examen médico previo a la contratación de los trabajadores. Los trabajadores que sufren de enfermedad hepática o renal activa deben excluirse del contacto. Se recomienda realizar determinaciones periódicas de colinesterasa plasmática y eritrocitaria en los trabajadores. Hay que considerar especialmente la capacidad mental de los trabajadores para comprender y seguir las instrucciones. Es esencial capacitar a los trabajadores en técnicas para impedir el contacto.</w:t>
      </w:r>
    </w:p>
    <w:p w14:paraId="16BF063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395DA759" w14:textId="4901EA9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Formulaciones de la categoría 5</w:t>
      </w:r>
    </w:p>
    <w:p w14:paraId="58E9CC7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C56920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No es necesaria una vigilancia especial de la colinesterasa en los trabajadores. Es fundamental prevenir a los trabajadores para que minimicen el contacto.</w:t>
      </w:r>
    </w:p>
    <w:p w14:paraId="402C0BD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74CF7BB7" w14:textId="3A89D18D"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3F3C32">
        <w:rPr>
          <w:rFonts w:ascii="Courier New" w:hAnsi="Courier New"/>
          <w:lang w:val="es-ES_tradnl" w:eastAsia="es-ES" w:bidi="es-ES"/>
        </w:rPr>
        <w:t xml:space="preserve">  </w:t>
      </w:r>
      <w:r w:rsidRPr="00B92FD5">
        <w:rPr>
          <w:rFonts w:ascii="Courier New" w:hAnsi="Courier New"/>
          <w:color w:val="0000FF"/>
          <w:lang w:val="es-ES_tradnl" w:eastAsia="es-ES" w:bidi="es-ES"/>
        </w:rPr>
        <w:t>3.6 REGLAMENTACIONES ADICIONALES RECOMENDADAS SI SE FUMIGA CON AVIÓN</w:t>
      </w:r>
    </w:p>
    <w:p w14:paraId="56CA0D4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06CF327" w14:textId="791234C3"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u w:val="single"/>
          <w:lang w:val="es-ES_tradnl" w:eastAsia="es-ES" w:bidi="es-ES"/>
        </w:rPr>
        <w:t>Todas las formulaciones</w:t>
      </w:r>
    </w:p>
    <w:p w14:paraId="0EB8F12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807C0F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Los pilotos y los encargados de cargar el producto deben tener capacitación especial en métodos de aplicación y reconocimiento de los primeros síntomas de envenenamiento y deben usar un respirador adecuado. No se recomienda el uso de banderilleros. Si se usan banderilleros, deben vestir monos de trabajo y ubicarse lejos de la zona de fumigación.</w:t>
      </w:r>
    </w:p>
    <w:p w14:paraId="0C831AEE"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CACC35A" w14:textId="690A99A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88" w:name="EndSectionTitle:3.6__ADDITIONAL_REGULATI"/>
      <w:bookmarkStart w:id="89" w:name="SectionTitle:3.7__LABELLING"/>
      <w:bookmarkEnd w:id="88"/>
      <w:bookmarkEnd w:id="89"/>
      <w:r w:rsidRPr="00B92FD5">
        <w:rPr>
          <w:rFonts w:ascii="Courier New" w:hAnsi="Courier New"/>
          <w:color w:val="0000FF"/>
          <w:lang w:val="es-ES_tradnl" w:eastAsia="es-ES" w:bidi="es-ES"/>
        </w:rPr>
        <w:t>3.7 ETIQUETADO</w:t>
      </w:r>
    </w:p>
    <w:p w14:paraId="2ACF119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4E282AE" w14:textId="05D112F5"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Formulaciones de las categorías 3 y 4</w:t>
      </w:r>
    </w:p>
    <w:p w14:paraId="60BC293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D864BA5" w14:textId="5E6956B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Aviso mínimo</w:t>
      </w:r>
    </w:p>
    <w:p w14:paraId="1410CDE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3B83CB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El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es un compuesto organofosforado que inhibe la colinesterasa. Es venenoso si se traga. Puede absorberse por piel o inhalarse como polvos o vapores. Evitar el contacto con la piel; usar guantes de protección, ropa de protección limpia y un respirador cuando se manipula el material. Lavar meticulosamente con jabón y agua después de usar el material. Mantener el material fuera del alcance de los niños y muy lejos de alimentos para seres humanos y animales, sus embalajes y utensilios de cocina. Si se produce envenenamiento, llamar al médico. La atropina y la </w:t>
      </w:r>
      <w:proofErr w:type="spellStart"/>
      <w:r w:rsidRPr="00B92FD5">
        <w:rPr>
          <w:rFonts w:ascii="Courier New" w:hAnsi="Courier New"/>
          <w:lang w:val="es-ES_tradnl" w:eastAsia="es-ES" w:bidi="es-ES"/>
        </w:rPr>
        <w:t>pralidoxima</w:t>
      </w:r>
      <w:proofErr w:type="spellEnd"/>
      <w:r w:rsidRPr="00B92FD5">
        <w:rPr>
          <w:rFonts w:ascii="Courier New" w:hAnsi="Courier New"/>
          <w:lang w:val="es-ES_tradnl" w:eastAsia="es-ES" w:bidi="es-ES"/>
        </w:rPr>
        <w:t xml:space="preserve"> son antídotos específicos y puede precisarse respiración artificial.</w:t>
      </w:r>
    </w:p>
    <w:p w14:paraId="2DFED10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23A53C54" w14:textId="4865BC46"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Formulaciones de la categoría 5</w:t>
      </w:r>
    </w:p>
    <w:p w14:paraId="15082CF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5B2FB3D" w14:textId="4FD6842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Aviso mínimo</w:t>
      </w:r>
    </w:p>
    <w:p w14:paraId="6E5D53B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D6247D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Esta formulación contiene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una sustancia tóxica que es venenosa si se traga. Mantener el material fuera del alcance de los niños y muy lejos de alimentos para seres humanos y animales, sus embalajes y utensilios de cocina.</w:t>
      </w:r>
    </w:p>
    <w:p w14:paraId="0E69BB6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947F54E" w14:textId="20630E9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90" w:name="EndSectionTitle:3.7__LABELLING"/>
      <w:bookmarkStart w:id="91" w:name="SectionTitle:3.8__RESIDUES_IN_FOOD"/>
      <w:bookmarkEnd w:id="90"/>
      <w:bookmarkEnd w:id="91"/>
      <w:r w:rsidRPr="00B92FD5">
        <w:rPr>
          <w:rFonts w:ascii="Courier New" w:hAnsi="Courier New"/>
          <w:color w:val="0000FF"/>
          <w:lang w:val="es-ES_tradnl" w:eastAsia="es-ES" w:bidi="es-ES"/>
        </w:rPr>
        <w:t>3.8 RESIDUOS EN LOS ALIMENTOS</w:t>
      </w:r>
    </w:p>
    <w:p w14:paraId="289A675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67C0CD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En la Reunión Conjunta de la FAO/OMS sobre residuos de plaguicidas se recomendaron los límites máximos de residuos para el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w:t>
      </w:r>
    </w:p>
    <w:p w14:paraId="2005547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7865A8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bookmarkStart w:id="92" w:name="EndSectionTitle:3.8__RESIDUES_IN_FOOD"/>
      <w:bookmarkStart w:id="93" w:name="EndPartTitle:Part_3_-_For_regulatory_aut"/>
      <w:bookmarkStart w:id="94" w:name="PartTitle:Part_4_-_Prevention_of_poisoni"/>
      <w:bookmarkEnd w:id="92"/>
      <w:bookmarkEnd w:id="93"/>
      <w:bookmarkEnd w:id="94"/>
      <w:r w:rsidRPr="00B92FD5">
        <w:rPr>
          <w:rFonts w:ascii="Courier New" w:hAnsi="Courier New"/>
          <w:color w:val="008000"/>
          <w:lang w:val="es-ES_tradnl" w:eastAsia="es-ES" w:bidi="es-ES"/>
        </w:rPr>
        <w:t>Parte 4 - Prevención de envenenamiento en los seres humanos y ayuda de emergencia</w:t>
      </w:r>
    </w:p>
    <w:p w14:paraId="484CE70E"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948EC63" w14:textId="02227FB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95" w:name="SectionTitle:4.1__PRECAUTIONS_IN_USE"/>
      <w:bookmarkEnd w:id="95"/>
      <w:r w:rsidRPr="00B92FD5">
        <w:rPr>
          <w:rFonts w:ascii="Courier New" w:hAnsi="Courier New"/>
          <w:color w:val="0000FF"/>
          <w:lang w:val="es-ES_tradnl" w:eastAsia="es-ES" w:bidi="es-ES"/>
        </w:rPr>
        <w:t xml:space="preserve">4.1 PRECAUCIONES DE USO </w:t>
      </w:r>
    </w:p>
    <w:p w14:paraId="0DA165D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3CB99DC" w14:textId="1FF0A21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96" w:name="SubSectionTitle:4.1.1__General"/>
      <w:bookmarkEnd w:id="96"/>
      <w:r w:rsidRPr="00B92FD5">
        <w:rPr>
          <w:rFonts w:ascii="Courier New" w:hAnsi="Courier New"/>
          <w:lang w:val="es-ES_tradnl" w:eastAsia="es-ES" w:bidi="es-ES"/>
        </w:rPr>
        <w:t>4.1.1 General</w:t>
      </w:r>
    </w:p>
    <w:p w14:paraId="34DA305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17E366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El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es un plaguicida organofosforado de toxicidad moderada que penetra la piel intacta y también se absorbe por inhalación de polvos y a través del tracto gastrointestinal. La mayoría de las formulaciones deben ser manipuladas por personal capacitado que use indumentaria protectora.</w:t>
      </w:r>
    </w:p>
    <w:p w14:paraId="51F9E65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B072232" w14:textId="63ECD12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97" w:name=":4.1.1__General"/>
      <w:bookmarkStart w:id="98" w:name="SubSectionTitle:4.1.2__Manufacture_and_f"/>
      <w:bookmarkEnd w:id="97"/>
      <w:bookmarkEnd w:id="98"/>
      <w:r w:rsidRPr="00B92FD5">
        <w:rPr>
          <w:rFonts w:ascii="Courier New" w:hAnsi="Courier New"/>
          <w:lang w:val="es-ES_tradnl" w:eastAsia="es-ES" w:bidi="es-ES"/>
        </w:rPr>
        <w:t>4.1.2 Fabricación y formulaciones</w:t>
      </w:r>
    </w:p>
    <w:p w14:paraId="5BB7E30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88C8D88" w14:textId="2E2295FB"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r w:rsidRPr="00B92FD5">
        <w:rPr>
          <w:rFonts w:ascii="Courier New" w:hAnsi="Courier New"/>
          <w:u w:val="single"/>
          <w:lang w:val="es-ES_tradnl" w:eastAsia="es-ES" w:bidi="es-ES"/>
        </w:rPr>
        <w:t>Valor umbral de exposición</w:t>
      </w:r>
    </w:p>
    <w:p w14:paraId="031E710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1E2CC1F" w14:textId="01D5FDA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Sin información.</w:t>
      </w:r>
    </w:p>
    <w:p w14:paraId="34BD8C0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6B2571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Tal vez sea necesario un sistema cerrado y ventilación forzada para reducir lo más posible la exposición de los trabajadores al producto químico.</w:t>
      </w:r>
    </w:p>
    <w:p w14:paraId="62C4DA8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No debe intentarse preparar una formulación sin el asesoramiento del fabricante.</w:t>
      </w:r>
    </w:p>
    <w:p w14:paraId="350196C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9027A02" w14:textId="22585FA1"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99" w:name=":4.1.2__Manufacture_and_formulation"/>
      <w:bookmarkStart w:id="100" w:name="SubSectionTitle:4.1.3__Mixers_and_applic"/>
      <w:bookmarkEnd w:id="99"/>
      <w:bookmarkEnd w:id="100"/>
      <w:r w:rsidRPr="00B92FD5">
        <w:rPr>
          <w:rFonts w:ascii="Courier New" w:hAnsi="Courier New"/>
          <w:lang w:val="es-ES_tradnl" w:eastAsia="es-ES" w:bidi="es-ES"/>
        </w:rPr>
        <w:t>4.1.3 Mezcladores y aplicadores</w:t>
      </w:r>
    </w:p>
    <w:p w14:paraId="0F0F622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C35AB0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Al abrir el envase y al mezclar, se deben utilizar botas protectoras impermeables, monos de trabajo limpios, guantes y respirador. La mezcla, si no es mecánica, siempre debe realizarse con una paleta de la longitud apropiada. Al rociar malezas altas o durante la aplicación aérea debe usarse un visor facial, así como una capucha, ropa, botas y guantes impermeables. El aplicador debe evitar trabajar en medio de las gotas en suspensión del atomizador y evitar el contacto con la boca.</w:t>
      </w:r>
    </w:p>
    <w:p w14:paraId="11EE966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090D31C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Es preciso tener especial cuidado cuando se lava el equipo después de cada uso. Se debe lavar toda la indumentaria protectora inmediatamente después de su uso, incluido el interior de los guantes. Las salpicaduras en la piel o los ojos deben lavarse inmediatamente con grandes cantidades de agua. Antes de comer, beber o fumar, deben lavarse las manos y la piel expuesta. </w:t>
      </w:r>
    </w:p>
    <w:p w14:paraId="5A3C88B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F56EA3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bookmarkStart w:id="101" w:name=":4.1.3__Mixers_and_applicators"/>
      <w:bookmarkStart w:id="102" w:name="SubSectionTitle:4.1.4__Other_associated_"/>
      <w:bookmarkEnd w:id="101"/>
      <w:bookmarkEnd w:id="102"/>
      <w:r w:rsidRPr="00B92FD5">
        <w:rPr>
          <w:rFonts w:ascii="Courier New" w:hAnsi="Courier New"/>
          <w:lang w:val="es-ES_tradnl" w:eastAsia="es-ES" w:bidi="es-ES"/>
        </w:rPr>
        <w:t>4.1.4 Otros trabajadores asociados (incluidos los banderilleros en las operaciones aéreas)</w:t>
      </w:r>
    </w:p>
    <w:p w14:paraId="2464303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29AD84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Las personas expuestas al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y asociados a su aplicación deben usar indumentaria protectora y observar las precauciones descritas en 4.1.3 en “mezcladores y aplicadores”.</w:t>
      </w:r>
    </w:p>
    <w:p w14:paraId="79688A1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A857954" w14:textId="34364E73"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03" w:name=":4.1.4__Other_associated_workers_(includ"/>
      <w:bookmarkStart w:id="104" w:name="SubSectionTitle:4.1.5__Other_populations"/>
      <w:bookmarkEnd w:id="103"/>
      <w:bookmarkEnd w:id="104"/>
      <w:r w:rsidRPr="00B92FD5">
        <w:rPr>
          <w:rFonts w:ascii="Courier New" w:hAnsi="Courier New"/>
          <w:lang w:val="es-ES_tradnl" w:eastAsia="es-ES" w:bidi="es-ES"/>
        </w:rPr>
        <w:t>4.1.5 Otras poblaciones que podrían verse afectadas</w:t>
      </w:r>
    </w:p>
    <w:p w14:paraId="2D8C6C8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F2D195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Observando buenas prácticas agrícolas según 4.2, no habría razón para que otras poblaciones se vieran expuestas a cantidades peligrosas de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w:t>
      </w:r>
    </w:p>
    <w:p w14:paraId="003105D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3B961EA" w14:textId="424ECAF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05" w:name=":4.1.5__Other_populations_likely_to_be_a"/>
      <w:bookmarkStart w:id="106" w:name="EndSectionTitle:4.1__PRECAUTIONS_IN_USE"/>
      <w:bookmarkStart w:id="107" w:name="SectionTitle:4.2__ENTRY_OF_PERSONS_INTO_"/>
      <w:bookmarkEnd w:id="105"/>
      <w:bookmarkEnd w:id="106"/>
      <w:bookmarkEnd w:id="107"/>
      <w:r w:rsidRPr="00B92FD5">
        <w:rPr>
          <w:rFonts w:ascii="Courier New" w:hAnsi="Courier New"/>
          <w:color w:val="0000FF"/>
          <w:lang w:val="es-ES_tradnl" w:eastAsia="es-ES" w:bidi="es-ES"/>
        </w:rPr>
        <w:t>4.2 ENTRADA DE PERSONAS A LAS ZONAS TRATADAS</w:t>
      </w:r>
    </w:p>
    <w:p w14:paraId="29EE4E4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63E2D8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Las personas que carecen de protección deben quedar afuera de las zonas tratadas por lo menos durante un día. (No corresponde cuando se usa como larvicida.)</w:t>
      </w:r>
    </w:p>
    <w:p w14:paraId="0A66245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B8CADDE" w14:textId="372B3D41"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08" w:name="EndSectionTitle:4.2__ENTRY_OF_PERSONS_IN"/>
      <w:bookmarkStart w:id="109" w:name="SectionTitle:4.3__SAFE_DISPOSAL_OF_CONTA"/>
      <w:bookmarkEnd w:id="108"/>
      <w:bookmarkEnd w:id="109"/>
      <w:r w:rsidRPr="00B92FD5">
        <w:rPr>
          <w:rFonts w:ascii="Courier New" w:hAnsi="Courier New"/>
          <w:color w:val="0000FF"/>
          <w:lang w:val="es-ES_tradnl" w:eastAsia="es-ES" w:bidi="es-ES"/>
        </w:rPr>
        <w:t>4.3 ELIMINACIÓN SEGURA DE CONTENEDORES Y DERRAMES</w:t>
      </w:r>
    </w:p>
    <w:p w14:paraId="2EF6E11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025CEC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 Los residuos en los recipientes deben ser vaciados diluyendo su contenido en un hoyo profundo y teniendo cuidado de evitar la contaminación de las aguas subterráneas. No debe permitirse la descontaminación de los envases con el fin de que se empleen para otros propósitos. Los derrames pueden eliminarse limpiando con una solución de hidróxido de sodio al 5 % y luego enjuagando con grandes cantidades de agua.</w:t>
      </w:r>
    </w:p>
    <w:p w14:paraId="557979B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303F0C6A" w14:textId="21B6A7F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10" w:name="EndSectionTitle:4.3__SAFE_DISPOSAL_OF_CO"/>
      <w:bookmarkStart w:id="111" w:name="SectionTitle:4.4__EMERGENCY_AID"/>
      <w:bookmarkEnd w:id="110"/>
      <w:bookmarkEnd w:id="111"/>
      <w:r w:rsidRPr="00B92FD5">
        <w:rPr>
          <w:rFonts w:ascii="Courier New" w:hAnsi="Courier New"/>
          <w:color w:val="0000FF"/>
          <w:lang w:val="es-ES_tradnl" w:eastAsia="es-ES" w:bidi="es-ES"/>
        </w:rPr>
        <w:t>4.4. AYUDA DE EMERGENCIA</w:t>
      </w:r>
    </w:p>
    <w:p w14:paraId="7DCC1B6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A44BAB4" w14:textId="2254CA99"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12" w:name="SubSectionTitle:4.4.1__Early_symptoms_of"/>
      <w:bookmarkEnd w:id="112"/>
      <w:r w:rsidRPr="00B92FD5">
        <w:rPr>
          <w:rFonts w:ascii="Courier New" w:hAnsi="Courier New"/>
          <w:lang w:val="es-ES_tradnl" w:eastAsia="es-ES" w:bidi="es-ES"/>
        </w:rPr>
        <w:t>4.4.1 Primeros síntomas de envenenamiento</w:t>
      </w:r>
    </w:p>
    <w:p w14:paraId="59BB555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2C5F58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Los primeros síntomas de envenenamiento son cefalea, vértigo, visión borrosa, opresión en el pecho, dolor en las articulaciones y músculos, cólicos abdominales, diarrea y vómitos repetidos. Otros síntomas que pueden aparecer incluyen insomnio, pérdida del apetito, debilidad, dificultad para hablar, constricción de las pupilas y ansiedad generalizada.</w:t>
      </w:r>
    </w:p>
    <w:p w14:paraId="7F68E66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65AE2C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bookmarkStart w:id="113" w:name=":4.4.1__Early_symptoms_of_poisoning"/>
      <w:bookmarkStart w:id="114" w:name="SubSectionTitle:4.4.2__Treatment_before_"/>
      <w:bookmarkEnd w:id="113"/>
      <w:bookmarkEnd w:id="114"/>
      <w:r w:rsidRPr="00B92FD5">
        <w:rPr>
          <w:rFonts w:ascii="Courier New" w:hAnsi="Courier New"/>
          <w:lang w:val="es-ES_tradnl" w:eastAsia="es-ES" w:bidi="es-ES"/>
        </w:rPr>
        <w:t>4.4.2 Tratamiento antes de que la persona sea vista por un médico si estos síntomas aparecen después de la exposición</w:t>
      </w:r>
    </w:p>
    <w:p w14:paraId="17BA6DB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660FF0B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La persona debe dejar de trabajar inmediatamente, quitarse la ropa contaminada y lavar la piel afectada con agua y jabón, si puede disponer de este, y baldear la zona con grandes cantidades de agua. Si fue por ingesta, debe inducirse el vómito si la persona está consciente. En el caso de un colapso, debe recibir respiración artificial, siempre considerando que, si se usa la respiración boca a boca, el vómito puede contener cantidades tóxicas de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w:t>
      </w:r>
    </w:p>
    <w:p w14:paraId="0C92007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82864E4" w14:textId="61BA2055"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15" w:name=":4.4.2__Treatment_before_person_is_seen_"/>
      <w:bookmarkStart w:id="116" w:name="EndSectionTitle:4.4__EMERGENCY_AID"/>
      <w:bookmarkStart w:id="117" w:name="EndPartTitle:Part_4_-_Prevention_of_pois"/>
      <w:bookmarkStart w:id="118" w:name="PartTitle:Part_5_-_For_medical_and_labor"/>
      <w:bookmarkEnd w:id="115"/>
      <w:bookmarkEnd w:id="116"/>
      <w:bookmarkEnd w:id="117"/>
      <w:bookmarkEnd w:id="118"/>
      <w:r w:rsidRPr="00B92FD5">
        <w:rPr>
          <w:rFonts w:ascii="Courier New" w:hAnsi="Courier New"/>
          <w:color w:val="008000"/>
          <w:lang w:val="es-ES_tradnl" w:eastAsia="es-ES" w:bidi="es-ES"/>
        </w:rPr>
        <w:t>Parte 5 - Para el personal médico y de laboratorio</w:t>
      </w:r>
    </w:p>
    <w:p w14:paraId="20B3573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B26CC41" w14:textId="40232CF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19" w:name="SectionTitle:5.1__MEDICAL_DIAGNOSIS_AND_"/>
      <w:bookmarkEnd w:id="119"/>
      <w:r w:rsidRPr="00B92FD5">
        <w:rPr>
          <w:rFonts w:ascii="Courier New" w:hAnsi="Courier New"/>
          <w:color w:val="0000FF"/>
          <w:lang w:val="es-ES_tradnl" w:eastAsia="es-ES" w:bidi="es-ES"/>
        </w:rPr>
        <w:t>5.1 DIAGNÓSTICO Y TRATAMIENTO MÉDICO DE LOS CASOS DE INTOXICACIÓN</w:t>
      </w:r>
    </w:p>
    <w:p w14:paraId="3A768E3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13A9B16" w14:textId="182C2AD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20" w:name="SubSectionTitle:5.1.1__General_informati"/>
      <w:bookmarkEnd w:id="120"/>
      <w:r w:rsidRPr="00B92FD5">
        <w:rPr>
          <w:rFonts w:ascii="Courier New" w:hAnsi="Courier New"/>
          <w:lang w:val="es-ES_tradnl" w:eastAsia="es-ES" w:bidi="es-ES"/>
        </w:rPr>
        <w:t>5.1.1 Información general</w:t>
      </w:r>
    </w:p>
    <w:p w14:paraId="705C834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825A81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Un plaguicida organofosforado de toxicidad moderada que se absorbe a través de la piel intacta y del tracto gastrointestinal y también por inhalación. Se convierte </w:t>
      </w:r>
      <w:r w:rsidRPr="00EB5595">
        <w:rPr>
          <w:rFonts w:ascii="Courier New" w:hAnsi="Courier New"/>
          <w:i/>
          <w:iCs/>
          <w:u w:val="single"/>
          <w:lang w:val="es-ES_tradnl" w:eastAsia="es-ES" w:bidi="es-ES"/>
        </w:rPr>
        <w:t>in vivo</w:t>
      </w:r>
      <w:r w:rsidRPr="00B92FD5">
        <w:rPr>
          <w:rFonts w:ascii="Courier New" w:hAnsi="Courier New"/>
          <w:lang w:val="es-ES_tradnl" w:eastAsia="es-ES" w:bidi="es-ES"/>
        </w:rPr>
        <w:t xml:space="preserve"> en su análogo oxigenado que es un inhibidor activo de la colinesterasa. La exposición continua a cantidades pequeñas puede inhibir la colinesterasa en sangre hasta niveles peligrosos.</w:t>
      </w:r>
    </w:p>
    <w:p w14:paraId="47AE5E1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75C42C5" w14:textId="411E40C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21" w:name=":5.1.1__General_information"/>
      <w:bookmarkStart w:id="122" w:name="SubSectionTitle:5.1.2__Symptoms_and_sign"/>
      <w:bookmarkEnd w:id="121"/>
      <w:bookmarkEnd w:id="122"/>
      <w:r w:rsidRPr="00B92FD5">
        <w:rPr>
          <w:rFonts w:ascii="Courier New" w:hAnsi="Courier New"/>
          <w:lang w:val="es-ES_tradnl" w:eastAsia="es-ES" w:bidi="es-ES"/>
        </w:rPr>
        <w:t>5.1.2 Signos y síntomas</w:t>
      </w:r>
    </w:p>
    <w:p w14:paraId="797A2BB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EEB4B57"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Los síntomas iniciales de envenenamiento pueden incluir sudoración excesiva, cefalea, debilidad, vértigo, náuseas, vómitos copiosos y prolongados, dolores estomacales, dolores musculares y articulatorios, visión borrosa, dificultad del habla, temblores musculares e hipersalivación. Los síntomas de envenenamiento más avanzado pueden incluir dificultades para respirar, cianosis, coma, pérdida del control de esfínteres y pérdida de reflejos.</w:t>
      </w:r>
    </w:p>
    <w:p w14:paraId="03B6363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004B1EF3" w14:textId="56D88D1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123" w:name=":5.1.2__Symptoms_and_signs"/>
      <w:bookmarkStart w:id="124" w:name="SubSectionTitle:5.1.3__Laboratory"/>
      <w:bookmarkEnd w:id="123"/>
      <w:bookmarkEnd w:id="124"/>
      <w:r w:rsidR="00EB5595">
        <w:rPr>
          <w:rFonts w:ascii="Courier New" w:hAnsi="Courier New"/>
          <w:lang w:val="es-ES_tradnl" w:eastAsia="es-ES" w:bidi="es-ES"/>
        </w:rPr>
        <w:t xml:space="preserve">  </w:t>
      </w:r>
      <w:r w:rsidRPr="00B92FD5">
        <w:rPr>
          <w:rFonts w:ascii="Courier New" w:hAnsi="Courier New"/>
          <w:lang w:val="es-ES_tradnl" w:eastAsia="es-ES" w:bidi="es-ES"/>
        </w:rPr>
        <w:t>5.1.3 Laboratorio</w:t>
      </w:r>
    </w:p>
    <w:p w14:paraId="5CEEF58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64DAD5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El resultado más importante de laboratorio es la reducción en la actividad de la colinesterasa en sangre. Debe realizarse una medición directa de metabolitos en orina y en heces.</w:t>
      </w:r>
    </w:p>
    <w:p w14:paraId="7D00739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55E7704" w14:textId="3609EC9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25" w:name=":5.1.3__Laboratory"/>
      <w:bookmarkStart w:id="126" w:name="SubSectionTitle:5.1.4__Treatment"/>
      <w:bookmarkEnd w:id="125"/>
      <w:bookmarkEnd w:id="126"/>
      <w:r w:rsidRPr="00B92FD5">
        <w:rPr>
          <w:rFonts w:ascii="Courier New" w:hAnsi="Courier New"/>
          <w:lang w:val="es-ES_tradnl" w:eastAsia="es-ES" w:bidi="es-ES"/>
        </w:rPr>
        <w:t>5.1.4 Tratamiento</w:t>
      </w:r>
    </w:p>
    <w:p w14:paraId="6408994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8EE692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Si el plaguicida se ha ingerido, salvo que el paciente esté vomitando, debe realizarse un rápido lavado gástrico usando bicarbonato de sodio 54, si hay a disposición. En caso de contacto dérmico, hay que lavar la piel con jabón y agua. Si el compuesto entró en los ojos, hay que lavarlos con suero fisiológico o agua. </w:t>
      </w:r>
    </w:p>
    <w:p w14:paraId="2D43F36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22DC824B"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Las personas sin signos de ineficiencia respiratoria, pero con síntomas periféricos manifiestos, deben ser tratadas con 2 a 4 mg de sulfato de atropina y 1000 a 2000 mg de cloruro de </w:t>
      </w:r>
      <w:proofErr w:type="spellStart"/>
      <w:r w:rsidRPr="00B92FD5">
        <w:rPr>
          <w:rFonts w:ascii="Courier New" w:hAnsi="Courier New"/>
          <w:lang w:val="es-ES_tradnl" w:eastAsia="es-ES" w:bidi="es-ES"/>
        </w:rPr>
        <w:t>pralidoxima</w:t>
      </w:r>
      <w:proofErr w:type="spellEnd"/>
      <w:r w:rsidRPr="00B92FD5">
        <w:rPr>
          <w:rFonts w:ascii="Courier New" w:hAnsi="Courier New"/>
          <w:lang w:val="es-ES_tradnl" w:eastAsia="es-ES" w:bidi="es-ES"/>
        </w:rPr>
        <w:t xml:space="preserve"> o 250 mg de </w:t>
      </w:r>
      <w:proofErr w:type="spellStart"/>
      <w:r w:rsidRPr="00B92FD5">
        <w:rPr>
          <w:rFonts w:ascii="Courier New" w:hAnsi="Courier New"/>
          <w:lang w:val="es-ES_tradnl" w:eastAsia="es-ES" w:bidi="es-ES"/>
        </w:rPr>
        <w:t>toxogonin</w:t>
      </w:r>
      <w:proofErr w:type="spellEnd"/>
      <w:r w:rsidRPr="00B92FD5">
        <w:rPr>
          <w:rFonts w:ascii="Courier New" w:hAnsi="Courier New"/>
          <w:lang w:val="es-ES_tradnl" w:eastAsia="es-ES" w:bidi="es-ES"/>
        </w:rPr>
        <w:t xml:space="preserve"> (dosis adulta) por inyección intravenosa lenta. Si es preciso, administrar más atropina. Las personas con intoxicación grave con dificultades respiratorias, convulsiones e inconsciencia deben recibir inmediatamente atropina y un reactivador. En estos casos graves, inicialmente hay que administrar de 4 a 6 mg de sulfato de atropina seguido por dosis repetidas de 2 mg a intervalos de entre 5 y 10 minutos. Debe controlarse atentamente el estado del paciente, incluida la respiración, la presión arterial, la frecuencia del pulso, la salivación y las convulsiones, como guía para la posterior administración de atropina. </w:t>
      </w:r>
      <w:r w:rsidRPr="00B92FD5">
        <w:rPr>
          <w:rFonts w:ascii="Courier New" w:hAnsi="Courier New"/>
          <w:u w:val="single"/>
          <w:lang w:val="es-ES_tradnl" w:eastAsia="es-ES" w:bidi="es-ES"/>
        </w:rPr>
        <w:t>Si el paciente está cianótico, debe suministrarse respiración artificial primero y, luego, sulfato de atropina.</w:t>
      </w:r>
    </w:p>
    <w:p w14:paraId="007F379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hanging="426"/>
        <w:rPr>
          <w:rFonts w:ascii="Courier New" w:hAnsi="Courier New" w:cs="Courier New"/>
          <w:lang w:val="es-ES_tradnl" w:eastAsia="es-ES" w:bidi="es-ES"/>
        </w:rPr>
      </w:pPr>
    </w:p>
    <w:p w14:paraId="2B8536A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Las vías aéreas deben mantenerse libres y debe aplicarse respiración artificial, si fuese necesario, preferentemente por medios mecánicos. De ser necesario, intubar. Están contraindicados la morfina, los barbitúricos, la fenotiazina, los tranquilizantes y los estimuladores del sistema nervioso central de todo tipo.</w:t>
      </w:r>
    </w:p>
    <w:p w14:paraId="308DD25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hanging="426"/>
        <w:rPr>
          <w:rFonts w:ascii="Courier New" w:hAnsi="Courier New" w:cs="Courier New"/>
          <w:lang w:val="es-ES_tradnl" w:eastAsia="es-ES" w:bidi="es-ES"/>
        </w:rPr>
      </w:pPr>
    </w:p>
    <w:p w14:paraId="4BCA8797" w14:textId="451D3F7C"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27" w:name=":5.1.4__Treatment"/>
      <w:bookmarkStart w:id="128" w:name="SubSectionTitle:5.1.5__Prognosis"/>
      <w:bookmarkEnd w:id="127"/>
      <w:bookmarkEnd w:id="128"/>
      <w:r w:rsidRPr="00B92FD5">
        <w:rPr>
          <w:rFonts w:ascii="Courier New" w:hAnsi="Courier New"/>
          <w:lang w:val="es-ES_tradnl" w:eastAsia="es-ES" w:bidi="es-ES"/>
        </w:rPr>
        <w:t>5.1.5 Pronóstico</w:t>
      </w:r>
    </w:p>
    <w:p w14:paraId="33C08E5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D21D06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Si se sobrevive a los efectos tóxicos agudos, que pueden ser prolongados,</w:t>
      </w:r>
    </w:p>
    <w:p w14:paraId="154625F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y se ha dado adecuada respiración artificial, las posibilidades de recuperación total son buenas. Sin embargo, en casos muy graves, especialmente si la respiración artificial no ha sido adecuada, la hipoxia prolongada puede causar daño cerebral permanente.</w:t>
      </w:r>
    </w:p>
    <w:p w14:paraId="3F2A4C84"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4C6461C" w14:textId="4599C419"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bookmarkStart w:id="129" w:name=":5.1.5__Prognosis"/>
      <w:bookmarkStart w:id="130" w:name="SubSectionTitle:5.1.6__References_of_pre"/>
      <w:bookmarkEnd w:id="129"/>
      <w:bookmarkEnd w:id="130"/>
      <w:r w:rsidR="00EB5595">
        <w:rPr>
          <w:rFonts w:ascii="Courier New" w:hAnsi="Courier New"/>
          <w:lang w:val="es-ES_tradnl" w:eastAsia="es-ES" w:bidi="es-ES"/>
        </w:rPr>
        <w:t xml:space="preserve">  </w:t>
      </w:r>
      <w:r w:rsidRPr="00B92FD5">
        <w:rPr>
          <w:rFonts w:ascii="Courier New" w:hAnsi="Courier New"/>
          <w:lang w:val="es-ES_tradnl" w:eastAsia="es-ES" w:bidi="es-ES"/>
        </w:rPr>
        <w:t>5.1.6 Referencias de casos notificados anteriormente</w:t>
      </w:r>
    </w:p>
    <w:p w14:paraId="557C781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316DA20" w14:textId="79A0306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Historias de casos y métodos de tratamiento pueden encontrarse en:</w:t>
      </w:r>
    </w:p>
    <w:p w14:paraId="3EBACF1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FA6D064" w14:textId="14B97E8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Dean et al. (1967) </w:t>
      </w:r>
      <w:r w:rsidRPr="00B92FD5">
        <w:rPr>
          <w:rFonts w:ascii="Courier New" w:hAnsi="Courier New"/>
          <w:u w:val="single"/>
          <w:lang w:val="es-ES_tradnl" w:eastAsia="es-ES" w:bidi="es-ES"/>
        </w:rPr>
        <w:t xml:space="preserve">So. </w:t>
      </w:r>
      <w:proofErr w:type="spellStart"/>
      <w:r w:rsidRPr="00B92FD5">
        <w:rPr>
          <w:rFonts w:ascii="Courier New" w:hAnsi="Courier New"/>
          <w:u w:val="single"/>
          <w:lang w:val="es-ES_tradnl" w:eastAsia="es-ES" w:bidi="es-ES"/>
        </w:rPr>
        <w:t>African</w:t>
      </w:r>
      <w:proofErr w:type="spellEnd"/>
      <w:r w:rsidRPr="00B92FD5">
        <w:rPr>
          <w:rFonts w:ascii="Courier New" w:hAnsi="Courier New"/>
          <w:u w:val="single"/>
          <w:lang w:val="es-ES_tradnl" w:eastAsia="es-ES" w:bidi="es-ES"/>
        </w:rPr>
        <w:t xml:space="preserve"> </w:t>
      </w:r>
      <w:proofErr w:type="spellStart"/>
      <w:r w:rsidRPr="00B92FD5">
        <w:rPr>
          <w:rFonts w:ascii="Courier New" w:hAnsi="Courier New"/>
          <w:u w:val="single"/>
          <w:lang w:val="es-ES_tradnl" w:eastAsia="es-ES" w:bidi="es-ES"/>
        </w:rPr>
        <w:t>Med</w:t>
      </w:r>
      <w:proofErr w:type="spellEnd"/>
      <w:r w:rsidRPr="00B92FD5">
        <w:rPr>
          <w:rFonts w:ascii="Courier New" w:hAnsi="Courier New"/>
          <w:u w:val="single"/>
          <w:lang w:val="es-ES_tradnl" w:eastAsia="es-ES" w:bidi="es-ES"/>
        </w:rPr>
        <w:t>. J.,</w:t>
      </w:r>
      <w:r w:rsidRPr="00B92FD5">
        <w:rPr>
          <w:rFonts w:ascii="Courier New" w:hAnsi="Courier New"/>
          <w:lang w:val="es-ES_tradnl" w:eastAsia="es-ES" w:bidi="es-ES"/>
        </w:rPr>
        <w:t xml:space="preserve"> 1017-1019</w:t>
      </w:r>
    </w:p>
    <w:p w14:paraId="5D95408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1DA5237" w14:textId="4764CBA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Von</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Clarmann</w:t>
      </w:r>
      <w:proofErr w:type="spellEnd"/>
      <w:r w:rsidRPr="00B92FD5">
        <w:rPr>
          <w:rFonts w:ascii="Courier New" w:hAnsi="Courier New"/>
          <w:lang w:val="es-ES_tradnl" w:eastAsia="es-ES" w:bidi="es-ES"/>
        </w:rPr>
        <w:t xml:space="preserve">, M. et al. (1966) </w:t>
      </w:r>
      <w:proofErr w:type="spellStart"/>
      <w:r w:rsidRPr="00B92FD5">
        <w:rPr>
          <w:rFonts w:ascii="Courier New" w:hAnsi="Courier New"/>
          <w:u w:val="single"/>
          <w:lang w:val="es-ES_tradnl" w:eastAsia="es-ES" w:bidi="es-ES"/>
        </w:rPr>
        <w:t>Arch</w:t>
      </w:r>
      <w:proofErr w:type="spellEnd"/>
      <w:r w:rsidRPr="00B92FD5">
        <w:rPr>
          <w:rFonts w:ascii="Courier New" w:hAnsi="Courier New"/>
          <w:u w:val="single"/>
          <w:lang w:val="es-ES_tradnl" w:eastAsia="es-ES" w:bidi="es-ES"/>
        </w:rPr>
        <w:t xml:space="preserve">. </w:t>
      </w:r>
      <w:proofErr w:type="spellStart"/>
      <w:r w:rsidRPr="00B92FD5">
        <w:rPr>
          <w:rFonts w:ascii="Courier New" w:hAnsi="Courier New"/>
          <w:u w:val="single"/>
          <w:lang w:val="es-ES_tradnl" w:eastAsia="es-ES" w:bidi="es-ES"/>
        </w:rPr>
        <w:t>Toxik</w:t>
      </w:r>
      <w:proofErr w:type="spellEnd"/>
      <w:r w:rsidRPr="00B92FD5">
        <w:rPr>
          <w:rFonts w:ascii="Courier New" w:hAnsi="Courier New"/>
          <w:u w:val="single"/>
          <w:lang w:val="es-ES_tradnl" w:eastAsia="es-ES" w:bidi="es-ES"/>
        </w:rPr>
        <w:t>., 22</w:t>
      </w:r>
      <w:r w:rsidRPr="00B92FD5">
        <w:rPr>
          <w:rFonts w:ascii="Courier New" w:hAnsi="Courier New"/>
          <w:lang w:val="es-ES_tradnl" w:eastAsia="es-ES" w:bidi="es-ES"/>
        </w:rPr>
        <w:t>, 2-11</w:t>
      </w:r>
    </w:p>
    <w:p w14:paraId="6F90DE8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3B58CA7" w14:textId="2C15922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Pickering</w:t>
      </w:r>
      <w:proofErr w:type="spellEnd"/>
      <w:r w:rsidRPr="00B92FD5">
        <w:rPr>
          <w:rFonts w:ascii="Courier New" w:hAnsi="Courier New"/>
          <w:lang w:val="es-ES_tradnl" w:eastAsia="es-ES" w:bidi="es-ES"/>
        </w:rPr>
        <w:t xml:space="preserve">, E. N. (1966) </w:t>
      </w:r>
      <w:r w:rsidRPr="00B92FD5">
        <w:rPr>
          <w:rFonts w:ascii="Courier New" w:hAnsi="Courier New"/>
          <w:u w:val="single"/>
          <w:lang w:val="es-ES_tradnl" w:eastAsia="es-ES" w:bidi="es-ES"/>
        </w:rPr>
        <w:t xml:space="preserve">Can. 3. </w:t>
      </w:r>
      <w:proofErr w:type="spellStart"/>
      <w:r w:rsidRPr="00B92FD5">
        <w:rPr>
          <w:rFonts w:ascii="Courier New" w:hAnsi="Courier New"/>
          <w:u w:val="single"/>
          <w:lang w:val="es-ES_tradnl" w:eastAsia="es-ES" w:bidi="es-ES"/>
        </w:rPr>
        <w:t>Med</w:t>
      </w:r>
      <w:proofErr w:type="spellEnd"/>
      <w:r w:rsidRPr="00B92FD5">
        <w:rPr>
          <w:rFonts w:ascii="Courier New" w:hAnsi="Courier New"/>
          <w:u w:val="single"/>
          <w:lang w:val="es-ES_tradnl" w:eastAsia="es-ES" w:bidi="es-ES"/>
        </w:rPr>
        <w:t xml:space="preserve">. </w:t>
      </w:r>
      <w:proofErr w:type="spellStart"/>
      <w:r w:rsidRPr="00B92FD5">
        <w:rPr>
          <w:rFonts w:ascii="Courier New" w:hAnsi="Courier New"/>
          <w:u w:val="single"/>
          <w:lang w:val="es-ES_tradnl" w:eastAsia="es-ES" w:bidi="es-ES"/>
        </w:rPr>
        <w:t>Tech</w:t>
      </w:r>
      <w:proofErr w:type="spellEnd"/>
      <w:r w:rsidRPr="00B92FD5">
        <w:rPr>
          <w:rFonts w:ascii="Courier New" w:hAnsi="Courier New"/>
          <w:u w:val="single"/>
          <w:lang w:val="es-ES_tradnl" w:eastAsia="es-ES" w:bidi="es-ES"/>
        </w:rPr>
        <w:t>.</w:t>
      </w:r>
      <w:r w:rsidRPr="00B92FD5">
        <w:rPr>
          <w:rFonts w:ascii="Courier New" w:hAnsi="Courier New"/>
          <w:lang w:val="es-ES_tradnl" w:eastAsia="es-ES" w:bidi="es-ES"/>
        </w:rPr>
        <w:t>, p. 174</w:t>
      </w:r>
    </w:p>
    <w:p w14:paraId="06E1B1B9"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B6BAB86" w14:textId="41393AA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31" w:name=":5.1.6__References_of_previously_reporte"/>
      <w:bookmarkStart w:id="132" w:name="EndSectionTitle:5.1__MEDICAL_DIAGNOSIS_A"/>
      <w:bookmarkStart w:id="133" w:name="SectionTitle:5.2__SURVEILLANCE_TESTS"/>
      <w:bookmarkEnd w:id="131"/>
      <w:bookmarkEnd w:id="132"/>
      <w:bookmarkEnd w:id="133"/>
      <w:r w:rsidRPr="00B92FD5">
        <w:rPr>
          <w:rFonts w:ascii="Courier New" w:hAnsi="Courier New"/>
          <w:color w:val="0000FF"/>
          <w:lang w:val="es-ES_tradnl" w:eastAsia="es-ES" w:bidi="es-ES"/>
        </w:rPr>
        <w:t>5.2 PRUEBAS DE VIGILANCIA</w:t>
      </w:r>
    </w:p>
    <w:p w14:paraId="0C9FF8B1"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0145CF0" w14:textId="3511DA91"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val="es-ES_tradnl" w:eastAsia="es-ES" w:bidi="es-ES"/>
        </w:rPr>
      </w:pPr>
      <w:r w:rsidRPr="00B92FD5">
        <w:rPr>
          <w:rFonts w:ascii="Courier New" w:hAnsi="Courier New"/>
          <w:lang w:val="es-ES_tradnl" w:eastAsia="es-ES" w:bidi="es-ES"/>
        </w:rPr>
        <w:t xml:space="preserve">    </w:t>
      </w:r>
      <w:r w:rsidRPr="00B92FD5">
        <w:rPr>
          <w:rFonts w:ascii="Courier New" w:hAnsi="Courier New"/>
          <w:sz w:val="18"/>
          <w:lang w:val="es-ES_tradnl" w:eastAsia="es-ES" w:bidi="es-ES"/>
        </w:rPr>
        <w:t xml:space="preserve">Prueba </w:t>
      </w:r>
      <w:r w:rsidRPr="00B92FD5">
        <w:rPr>
          <w:lang w:val="es-ES_tradnl" w:eastAsia="es-ES" w:bidi="es-ES"/>
        </w:rPr>
        <w:tab/>
      </w:r>
      <w:r w:rsidRPr="00B92FD5">
        <w:rPr>
          <w:lang w:val="es-ES_tradnl" w:eastAsia="es-ES" w:bidi="es-ES"/>
        </w:rPr>
        <w:tab/>
      </w:r>
      <w:r w:rsidRPr="00B92FD5">
        <w:rPr>
          <w:rFonts w:ascii="Courier New" w:hAnsi="Courier New"/>
          <w:sz w:val="18"/>
          <w:lang w:val="es-ES_tradnl" w:eastAsia="es-ES" w:bidi="es-ES"/>
        </w:rPr>
        <w:t>Nivel Normal* Nivel de intervención *.</w:t>
      </w:r>
      <w:r w:rsidRPr="00B92FD5">
        <w:rPr>
          <w:rFonts w:ascii="Courier New" w:hAnsi="Courier New"/>
          <w:sz w:val="18"/>
          <w:vertAlign w:val="superscript"/>
          <w:lang w:val="es-ES_tradnl" w:eastAsia="es-ES" w:bidi="es-ES"/>
        </w:rPr>
        <w:t>+</w:t>
      </w:r>
      <w:r w:rsidRPr="00B92FD5">
        <w:rPr>
          <w:rFonts w:ascii="Courier New" w:hAnsi="Courier New"/>
          <w:sz w:val="18"/>
          <w:lang w:val="es-ES_tradnl" w:eastAsia="es-ES" w:bidi="es-ES"/>
        </w:rPr>
        <w:t xml:space="preserve"> Nivel sintomático*</w:t>
      </w:r>
    </w:p>
    <w:p w14:paraId="583E5DB2"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val="es-ES_tradnl" w:eastAsia="es-ES" w:bidi="es-ES"/>
        </w:rPr>
      </w:pPr>
    </w:p>
    <w:p w14:paraId="6B9D4EE7" w14:textId="6D9FCE8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val="es-ES_tradnl" w:eastAsia="es-ES" w:bidi="es-ES"/>
        </w:rPr>
      </w:pPr>
      <w:r w:rsidRPr="00B92FD5">
        <w:rPr>
          <w:rFonts w:ascii="Courier New" w:hAnsi="Courier New"/>
          <w:sz w:val="18"/>
          <w:lang w:val="es-ES_tradnl" w:eastAsia="es-ES" w:bidi="es-ES"/>
        </w:rPr>
        <w:t xml:space="preserve"> </w:t>
      </w:r>
      <w:r w:rsidR="00EB5595">
        <w:rPr>
          <w:rFonts w:ascii="Courier New" w:hAnsi="Courier New"/>
          <w:sz w:val="18"/>
          <w:lang w:val="es-ES_tradnl" w:eastAsia="es-ES" w:bidi="es-ES"/>
        </w:rPr>
        <w:t xml:space="preserve">  </w:t>
      </w:r>
      <w:r w:rsidRPr="00B92FD5">
        <w:rPr>
          <w:rFonts w:ascii="Courier New" w:hAnsi="Courier New"/>
          <w:sz w:val="18"/>
          <w:lang w:val="es-ES_tradnl" w:eastAsia="es-ES" w:bidi="es-ES"/>
        </w:rPr>
        <w:t xml:space="preserve"> Colinesterasa plasmática </w:t>
      </w:r>
      <w:r w:rsidRPr="00B92FD5">
        <w:rPr>
          <w:lang w:val="es-ES_tradnl" w:eastAsia="es-ES" w:bidi="es-ES"/>
        </w:rPr>
        <w:tab/>
      </w:r>
      <w:r w:rsidRPr="00B92FD5">
        <w:rPr>
          <w:lang w:val="es-ES_tradnl" w:eastAsia="es-ES" w:bidi="es-ES"/>
        </w:rPr>
        <w:tab/>
      </w:r>
      <w:r w:rsidRPr="00B92FD5">
        <w:rPr>
          <w:rFonts w:ascii="Courier New" w:hAnsi="Courier New"/>
          <w:sz w:val="18"/>
          <w:lang w:val="es-ES_tradnl" w:eastAsia="es-ES" w:bidi="es-ES"/>
        </w:rPr>
        <w:t>100 %</w:t>
      </w:r>
      <w:r w:rsidRPr="00B92FD5">
        <w:rPr>
          <w:lang w:val="es-ES_tradnl" w:eastAsia="es-ES" w:bidi="es-ES"/>
        </w:rPr>
        <w:tab/>
      </w:r>
      <w:r w:rsidRPr="00B92FD5">
        <w:rPr>
          <w:rFonts w:ascii="Courier New" w:hAnsi="Courier New"/>
          <w:sz w:val="18"/>
          <w:lang w:val="es-ES_tradnl" w:eastAsia="es-ES" w:bidi="es-ES"/>
        </w:rPr>
        <w:t>50 %</w:t>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rFonts w:ascii="Courier New" w:hAnsi="Courier New"/>
          <w:sz w:val="18"/>
          <w:lang w:val="es-ES_tradnl" w:eastAsia="es-ES" w:bidi="es-ES"/>
        </w:rPr>
        <w:t>variable</w:t>
      </w:r>
    </w:p>
    <w:p w14:paraId="0CE8DA9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val="es-ES_tradnl" w:eastAsia="es-ES" w:bidi="es-ES"/>
        </w:rPr>
      </w:pPr>
    </w:p>
    <w:p w14:paraId="5C15E72F" w14:textId="6267769D"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val="es-ES_tradnl" w:eastAsia="es-ES" w:bidi="es-ES"/>
        </w:rPr>
      </w:pPr>
      <w:r w:rsidRPr="00B92FD5">
        <w:rPr>
          <w:rFonts w:ascii="Courier New" w:hAnsi="Courier New"/>
          <w:sz w:val="18"/>
          <w:lang w:val="es-ES_tradnl" w:eastAsia="es-ES" w:bidi="es-ES"/>
        </w:rPr>
        <w:t xml:space="preserve">  </w:t>
      </w:r>
      <w:r w:rsidR="00EB5595">
        <w:rPr>
          <w:rFonts w:ascii="Courier New" w:hAnsi="Courier New"/>
          <w:sz w:val="18"/>
          <w:lang w:val="es-ES_tradnl" w:eastAsia="es-ES" w:bidi="es-ES"/>
        </w:rPr>
        <w:t xml:space="preserve">  </w:t>
      </w:r>
      <w:r w:rsidRPr="00B92FD5">
        <w:rPr>
          <w:rFonts w:ascii="Courier New" w:hAnsi="Courier New"/>
          <w:sz w:val="18"/>
          <w:lang w:val="es-ES_tradnl" w:eastAsia="es-ES" w:bidi="es-ES"/>
        </w:rPr>
        <w:t>Colinesterasa eritrocitaria</w:t>
      </w:r>
      <w:r w:rsidRPr="00B92FD5">
        <w:rPr>
          <w:lang w:val="es-ES_tradnl" w:eastAsia="es-ES" w:bidi="es-ES"/>
        </w:rPr>
        <w:tab/>
      </w:r>
      <w:r w:rsidRPr="00B92FD5">
        <w:rPr>
          <w:lang w:val="es-ES_tradnl" w:eastAsia="es-ES" w:bidi="es-ES"/>
        </w:rPr>
        <w:tab/>
      </w:r>
      <w:r w:rsidRPr="00B92FD5">
        <w:rPr>
          <w:rFonts w:ascii="Courier New" w:hAnsi="Courier New"/>
          <w:sz w:val="18"/>
          <w:lang w:val="es-ES_tradnl" w:eastAsia="es-ES" w:bidi="es-ES"/>
        </w:rPr>
        <w:t>100 %</w:t>
      </w:r>
      <w:r w:rsidRPr="00B92FD5">
        <w:rPr>
          <w:lang w:val="es-ES_tradnl" w:eastAsia="es-ES" w:bidi="es-ES"/>
        </w:rPr>
        <w:tab/>
      </w:r>
      <w:r w:rsidRPr="00B92FD5">
        <w:rPr>
          <w:rFonts w:ascii="Courier New" w:hAnsi="Courier New"/>
          <w:sz w:val="18"/>
          <w:lang w:val="es-ES_tradnl" w:eastAsia="es-ES" w:bidi="es-ES"/>
        </w:rPr>
        <w:t>70 %</w:t>
      </w:r>
      <w:r w:rsidRPr="00B92FD5">
        <w:rPr>
          <w:lang w:val="es-ES_tradnl" w:eastAsia="es-ES" w:bidi="es-ES"/>
        </w:rPr>
        <w:tab/>
      </w:r>
      <w:r w:rsidRPr="00B92FD5">
        <w:rPr>
          <w:lang w:val="es-ES_tradnl" w:eastAsia="es-ES" w:bidi="es-ES"/>
        </w:rPr>
        <w:tab/>
      </w:r>
      <w:r w:rsidRPr="00B92FD5">
        <w:rPr>
          <w:lang w:val="es-ES_tradnl" w:eastAsia="es-ES" w:bidi="es-ES"/>
        </w:rPr>
        <w:tab/>
      </w:r>
      <w:r w:rsidRPr="00B92FD5">
        <w:rPr>
          <w:rFonts w:ascii="Courier New" w:hAnsi="Courier New"/>
          <w:sz w:val="18"/>
          <w:lang w:val="es-ES_tradnl" w:eastAsia="es-ES" w:bidi="es-ES"/>
        </w:rPr>
        <w:t>usualmente &lt; 40 %</w:t>
      </w:r>
    </w:p>
    <w:p w14:paraId="4F52CF3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val="es-ES_tradnl" w:eastAsia="es-ES" w:bidi="es-ES"/>
        </w:rPr>
      </w:pPr>
    </w:p>
    <w:p w14:paraId="36E536D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sz w:val="18"/>
          <w:szCs w:val="18"/>
          <w:lang w:val="es-ES_tradnl" w:eastAsia="es-ES" w:bidi="es-ES"/>
        </w:rPr>
      </w:pPr>
      <w:r w:rsidRPr="00B92FD5">
        <w:rPr>
          <w:rFonts w:ascii="Courier New" w:hAnsi="Courier New"/>
          <w:sz w:val="18"/>
          <w:vertAlign w:val="superscript"/>
          <w:lang w:val="es-ES_tradnl" w:eastAsia="es-ES" w:bidi="es-ES"/>
        </w:rPr>
        <w:t>+</w:t>
      </w:r>
      <w:r w:rsidRPr="00B92FD5">
        <w:rPr>
          <w:rFonts w:ascii="Courier New" w:hAnsi="Courier New"/>
          <w:sz w:val="18"/>
          <w:lang w:val="es-ES_tradnl" w:eastAsia="es-ES" w:bidi="es-ES"/>
        </w:rPr>
        <w:t xml:space="preserve"> El nivel en que se debe intervenir para terminar la exposición de las personas hasta que se produzca la recuperación de la colinesterasa.</w:t>
      </w:r>
    </w:p>
    <w:p w14:paraId="1275D496"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4D694958" w14:textId="6946DD30"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Expresado como porcentaje de la actividad previa a la exposición.</w:t>
      </w:r>
    </w:p>
    <w:p w14:paraId="5B2FA06A"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34"/>
        <w:rPr>
          <w:rFonts w:ascii="Courier New" w:hAnsi="Courier New" w:cs="Courier New"/>
          <w:lang w:val="es-ES_tradnl" w:eastAsia="es-ES" w:bidi="es-ES"/>
        </w:rPr>
      </w:pPr>
      <w:r w:rsidRPr="00B92FD5">
        <w:rPr>
          <w:rFonts w:ascii="Courier New" w:hAnsi="Courier New"/>
          <w:lang w:val="es-ES_tradnl" w:eastAsia="es-ES" w:bidi="es-ES"/>
        </w:rPr>
        <w:t xml:space="preserve">  </w:t>
      </w:r>
    </w:p>
    <w:p w14:paraId="4D29EE7B" w14:textId="79334676"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34" w:name="EndSectionTitle:5.2__SURVEILLANCE_TESTS"/>
      <w:bookmarkStart w:id="135" w:name="SectionTitle:5.3__LABORATORY_METHODS"/>
      <w:bookmarkEnd w:id="134"/>
      <w:bookmarkEnd w:id="135"/>
      <w:r w:rsidRPr="00B92FD5">
        <w:rPr>
          <w:rFonts w:ascii="Courier New" w:hAnsi="Courier New"/>
          <w:color w:val="0000FF"/>
          <w:lang w:val="es-ES_tradnl" w:eastAsia="es-ES" w:bidi="es-ES"/>
        </w:rPr>
        <w:t>5.3 MÉTODOS DE LABORATORIO</w:t>
      </w:r>
    </w:p>
    <w:p w14:paraId="5CAEB4B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35575D4B" w14:textId="299C358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Solo se proporcionan referencias.</w:t>
      </w:r>
    </w:p>
    <w:p w14:paraId="73A2E26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AD499A8" w14:textId="4ECF2FFF"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36" w:name="SubSectionTitle:5.3.1__Detection_and_ass"/>
      <w:bookmarkEnd w:id="136"/>
      <w:r w:rsidRPr="00B92FD5">
        <w:rPr>
          <w:rFonts w:ascii="Courier New" w:hAnsi="Courier New"/>
          <w:lang w:val="es-ES_tradnl" w:eastAsia="es-ES" w:bidi="es-ES"/>
        </w:rPr>
        <w:t>5.3.1 Detección y análisis de compuestos</w:t>
      </w:r>
    </w:p>
    <w:p w14:paraId="59178ED5"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77CF622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 xml:space="preserve">No es probable que se detecte </w:t>
      </w:r>
      <w:proofErr w:type="spellStart"/>
      <w:r w:rsidRPr="00B92FD5">
        <w:rPr>
          <w:rFonts w:ascii="Courier New" w:hAnsi="Courier New"/>
          <w:lang w:val="es-ES_tradnl" w:eastAsia="es-ES" w:bidi="es-ES"/>
        </w:rPr>
        <w:t>fentión</w:t>
      </w:r>
      <w:proofErr w:type="spellEnd"/>
      <w:r w:rsidRPr="00B92FD5">
        <w:rPr>
          <w:rFonts w:ascii="Courier New" w:hAnsi="Courier New"/>
          <w:lang w:val="es-ES_tradnl" w:eastAsia="es-ES" w:bidi="es-ES"/>
        </w:rPr>
        <w:t xml:space="preserve"> sin cambios en tejidos humanos después de la exposición. La determinación de colinesterasa en sangre es probablemente el método más apropiado en casos de sospecha de envenenamiento. Los niveles de metabolitos pueden medirse en orina o en heces. La mayoría de los análisis de residuos utiliza cromatografía gas-líquido.</w:t>
      </w:r>
    </w:p>
    <w:p w14:paraId="69F698F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p>
    <w:p w14:paraId="3457FBC0" w14:textId="3A5E3374"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Thornton, 3. S. </w:t>
      </w:r>
      <w:proofErr w:type="spellStart"/>
      <w:r w:rsidRPr="00B92FD5">
        <w:rPr>
          <w:rFonts w:ascii="Courier New" w:hAnsi="Courier New"/>
          <w:lang w:val="es-ES_tradnl" w:eastAsia="es-ES" w:bidi="es-ES"/>
        </w:rPr>
        <w:t>Chemagro</w:t>
      </w:r>
      <w:proofErr w:type="spellEnd"/>
      <w:r w:rsidRPr="00B92FD5">
        <w:rPr>
          <w:rFonts w:ascii="Courier New" w:hAnsi="Courier New"/>
          <w:lang w:val="es-ES_tradnl" w:eastAsia="es-ES" w:bidi="es-ES"/>
        </w:rPr>
        <w:t xml:space="preserve"> Corp., </w:t>
      </w:r>
      <w:proofErr w:type="spellStart"/>
      <w:r w:rsidRPr="00B92FD5">
        <w:rPr>
          <w:rFonts w:ascii="Courier New" w:hAnsi="Courier New"/>
          <w:lang w:val="es-ES_tradnl" w:eastAsia="es-ES" w:bidi="es-ES"/>
        </w:rPr>
        <w:t>Research</w:t>
      </w:r>
      <w:proofErr w:type="spellEnd"/>
      <w:r w:rsidRPr="00B92FD5">
        <w:rPr>
          <w:rFonts w:ascii="Courier New" w:hAnsi="Courier New"/>
          <w:lang w:val="es-ES_tradnl" w:eastAsia="es-ES" w:bidi="es-ES"/>
        </w:rPr>
        <w:t xml:space="preserve"> Department, </w:t>
      </w:r>
      <w:proofErr w:type="spellStart"/>
      <w:r w:rsidRPr="00B92FD5">
        <w:rPr>
          <w:rFonts w:ascii="Courier New" w:hAnsi="Courier New"/>
          <w:lang w:val="es-ES_tradnl" w:eastAsia="es-ES" w:bidi="es-ES"/>
        </w:rPr>
        <w:t>Report</w:t>
      </w:r>
      <w:proofErr w:type="spellEnd"/>
      <w:r w:rsidRPr="00B92FD5">
        <w:rPr>
          <w:rFonts w:ascii="Courier New" w:hAnsi="Courier New"/>
          <w:lang w:val="es-ES_tradnl" w:eastAsia="es-ES" w:bidi="es-ES"/>
        </w:rPr>
        <w:t xml:space="preserve"> No.</w:t>
      </w:r>
    </w:p>
    <w:p w14:paraId="2E61C66C" w14:textId="64940E5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20.420 (</w:t>
      </w:r>
      <w:proofErr w:type="spellStart"/>
      <w:r w:rsidRPr="00B92FD5">
        <w:rPr>
          <w:rFonts w:ascii="Courier New" w:hAnsi="Courier New"/>
          <w:lang w:val="es-ES_tradnl" w:eastAsia="es-ES" w:bidi="es-ES"/>
        </w:rPr>
        <w:t>revised</w:t>
      </w:r>
      <w:proofErr w:type="spellEnd"/>
      <w:r w:rsidRPr="00B92FD5">
        <w:rPr>
          <w:rFonts w:ascii="Courier New" w:hAnsi="Courier New"/>
          <w:lang w:val="es-ES_tradnl" w:eastAsia="es-ES" w:bidi="es-ES"/>
        </w:rPr>
        <w:t xml:space="preserve"> 21 </w:t>
      </w:r>
      <w:proofErr w:type="spellStart"/>
      <w:r w:rsidRPr="00B92FD5">
        <w:rPr>
          <w:rFonts w:ascii="Courier New" w:hAnsi="Courier New"/>
          <w:lang w:val="es-ES_tradnl" w:eastAsia="es-ES" w:bidi="es-ES"/>
        </w:rPr>
        <w:t>October</w:t>
      </w:r>
      <w:proofErr w:type="spellEnd"/>
      <w:r w:rsidRPr="00B92FD5">
        <w:rPr>
          <w:rFonts w:ascii="Courier New" w:hAnsi="Courier New"/>
          <w:lang w:val="es-ES_tradnl" w:eastAsia="es-ES" w:bidi="es-ES"/>
        </w:rPr>
        <w:t>, 1968)</w:t>
      </w:r>
    </w:p>
    <w:p w14:paraId="7805F69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7D3265A" w14:textId="167DC738"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Bowman &amp; </w:t>
      </w:r>
      <w:proofErr w:type="spellStart"/>
      <w:r w:rsidRPr="00B92FD5">
        <w:rPr>
          <w:rFonts w:ascii="Courier New" w:hAnsi="Courier New"/>
          <w:lang w:val="es-ES_tradnl" w:eastAsia="es-ES" w:bidi="es-ES"/>
        </w:rPr>
        <w:t>Beroza</w:t>
      </w:r>
      <w:proofErr w:type="spellEnd"/>
      <w:r w:rsidRPr="00B92FD5">
        <w:rPr>
          <w:rFonts w:ascii="Courier New" w:hAnsi="Courier New"/>
          <w:lang w:val="es-ES_tradnl" w:eastAsia="es-ES" w:bidi="es-ES"/>
        </w:rPr>
        <w:t xml:space="preserve"> (1968) </w:t>
      </w:r>
      <w:r w:rsidRPr="00B92FD5">
        <w:rPr>
          <w:rFonts w:ascii="Courier New" w:hAnsi="Courier New"/>
          <w:u w:val="single"/>
          <w:lang w:val="es-ES_tradnl" w:eastAsia="es-ES" w:bidi="es-ES"/>
        </w:rPr>
        <w:t xml:space="preserve">J. Ag. </w:t>
      </w:r>
      <w:proofErr w:type="spellStart"/>
      <w:r w:rsidRPr="00B92FD5">
        <w:rPr>
          <w:rFonts w:ascii="Courier New" w:hAnsi="Courier New"/>
          <w:u w:val="single"/>
          <w:lang w:val="es-ES_tradnl" w:eastAsia="es-ES" w:bidi="es-ES"/>
        </w:rPr>
        <w:t>Food</w:t>
      </w:r>
      <w:proofErr w:type="spellEnd"/>
      <w:r w:rsidRPr="00B92FD5">
        <w:rPr>
          <w:rFonts w:ascii="Courier New" w:hAnsi="Courier New"/>
          <w:u w:val="single"/>
          <w:lang w:val="es-ES_tradnl" w:eastAsia="es-ES" w:bidi="es-ES"/>
        </w:rPr>
        <w:t xml:space="preserve"> </w:t>
      </w:r>
      <w:proofErr w:type="spellStart"/>
      <w:r w:rsidRPr="00B92FD5">
        <w:rPr>
          <w:rFonts w:ascii="Courier New" w:hAnsi="Courier New"/>
          <w:u w:val="single"/>
          <w:lang w:val="es-ES_tradnl" w:eastAsia="es-ES" w:bidi="es-ES"/>
        </w:rPr>
        <w:t>Chem</w:t>
      </w:r>
      <w:proofErr w:type="spellEnd"/>
      <w:r w:rsidRPr="00B92FD5">
        <w:rPr>
          <w:rFonts w:ascii="Courier New" w:hAnsi="Courier New"/>
          <w:u w:val="single"/>
          <w:lang w:val="es-ES_tradnl" w:eastAsia="es-ES" w:bidi="es-ES"/>
        </w:rPr>
        <w:t>., 16</w:t>
      </w:r>
      <w:r w:rsidRPr="00B92FD5">
        <w:rPr>
          <w:rFonts w:ascii="Courier New" w:hAnsi="Courier New"/>
          <w:lang w:val="es-ES_tradnl" w:eastAsia="es-ES" w:bidi="es-ES"/>
        </w:rPr>
        <w:t>, 399-402</w:t>
      </w:r>
    </w:p>
    <w:p w14:paraId="1A731673"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4C3105C1" w14:textId="3531C5EA"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Puede encontrarse información adicional en:</w:t>
      </w:r>
    </w:p>
    <w:p w14:paraId="0FB69E0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6BD81427" w14:textId="31173E79" w:rsidR="00114789" w:rsidRPr="00EB559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es-ES" w:bidi="es-ES"/>
        </w:rPr>
      </w:pPr>
      <w:r w:rsidRPr="00EB5595">
        <w:rPr>
          <w:rFonts w:ascii="Courier New" w:hAnsi="Courier New"/>
          <w:lang w:val="en-US" w:eastAsia="es-ES" w:bidi="es-ES"/>
        </w:rPr>
        <w:t xml:space="preserve"> </w:t>
      </w:r>
      <w:r w:rsidR="00EB5595" w:rsidRPr="00EB5595">
        <w:rPr>
          <w:rFonts w:ascii="Courier New" w:hAnsi="Courier New"/>
          <w:lang w:val="en-US" w:eastAsia="es-ES" w:bidi="es-ES"/>
        </w:rPr>
        <w:t xml:space="preserve"> </w:t>
      </w:r>
      <w:r w:rsidR="00EB5595">
        <w:rPr>
          <w:rFonts w:ascii="Courier New" w:hAnsi="Courier New"/>
          <w:lang w:val="en-US" w:eastAsia="es-ES" w:bidi="es-ES"/>
        </w:rPr>
        <w:t xml:space="preserve"> </w:t>
      </w:r>
      <w:r w:rsidRPr="00EB5595">
        <w:rPr>
          <w:rFonts w:ascii="Courier New" w:hAnsi="Courier New"/>
          <w:lang w:val="en-US" w:eastAsia="es-ES" w:bidi="es-ES"/>
        </w:rPr>
        <w:t xml:space="preserve"> Analytical methods for pesticides, Plant Growth Regulations and Food</w:t>
      </w:r>
    </w:p>
    <w:p w14:paraId="5B8A182C" w14:textId="788855A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EB5595">
        <w:rPr>
          <w:rFonts w:ascii="Courier New" w:hAnsi="Courier New"/>
          <w:lang w:val="en-US" w:eastAsia="es-ES" w:bidi="es-ES"/>
        </w:rPr>
        <w:t xml:space="preserve"> </w:t>
      </w:r>
      <w:r w:rsidR="00EB5595">
        <w:rPr>
          <w:rFonts w:ascii="Courier New" w:hAnsi="Courier New"/>
          <w:lang w:val="en-US" w:eastAsia="es-ES" w:bidi="es-ES"/>
        </w:rPr>
        <w:t xml:space="preserve">  </w:t>
      </w:r>
      <w:r w:rsidRPr="00EB5595">
        <w:rPr>
          <w:rFonts w:ascii="Courier New" w:hAnsi="Courier New"/>
          <w:lang w:val="en-US" w:eastAsia="es-ES" w:bidi="es-ES"/>
        </w:rPr>
        <w:t xml:space="preserve"> </w:t>
      </w:r>
      <w:proofErr w:type="spellStart"/>
      <w:r w:rsidRPr="00B92FD5">
        <w:rPr>
          <w:rFonts w:ascii="Courier New" w:hAnsi="Courier New"/>
          <w:lang w:val="es-ES_tradnl" w:eastAsia="es-ES" w:bidi="es-ES"/>
        </w:rPr>
        <w:t>Additives</w:t>
      </w:r>
      <w:proofErr w:type="spellEnd"/>
      <w:r w:rsidRPr="00B92FD5">
        <w:rPr>
          <w:rFonts w:ascii="Courier New" w:hAnsi="Courier New"/>
          <w:lang w:val="es-ES_tradnl" w:eastAsia="es-ES" w:bidi="es-ES"/>
        </w:rPr>
        <w:t xml:space="preserve">, ed. </w:t>
      </w:r>
      <w:proofErr w:type="spellStart"/>
      <w:r w:rsidRPr="00B92FD5">
        <w:rPr>
          <w:rFonts w:ascii="Courier New" w:hAnsi="Courier New"/>
          <w:lang w:val="es-ES_tradnl" w:eastAsia="es-ES" w:bidi="es-ES"/>
        </w:rPr>
        <w:t>Zweig</w:t>
      </w:r>
      <w:proofErr w:type="spellEnd"/>
      <w:r w:rsidRPr="00B92FD5">
        <w:rPr>
          <w:rFonts w:ascii="Courier New" w:hAnsi="Courier New"/>
          <w:lang w:val="es-ES_tradnl" w:eastAsia="es-ES" w:bidi="es-ES"/>
        </w:rPr>
        <w:t xml:space="preserve">, G., Vol. II, 1964, </w:t>
      </w:r>
      <w:proofErr w:type="spellStart"/>
      <w:r w:rsidRPr="00B92FD5">
        <w:rPr>
          <w:rFonts w:ascii="Courier New" w:hAnsi="Courier New"/>
          <w:lang w:val="es-ES_tradnl" w:eastAsia="es-ES" w:bidi="es-ES"/>
        </w:rPr>
        <w:t>Academic</w:t>
      </w:r>
      <w:proofErr w:type="spellEnd"/>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Press</w:t>
      </w:r>
      <w:proofErr w:type="spellEnd"/>
    </w:p>
    <w:p w14:paraId="5BCE418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12B3AC76" w14:textId="6F7C1A9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bookmarkStart w:id="137" w:name=":5.3.1__Detection_and_assay_of_compound"/>
      <w:bookmarkStart w:id="138" w:name="SubSectionTitle:5.3.2__Other_tests_in_ca"/>
      <w:bookmarkEnd w:id="137"/>
      <w:bookmarkEnd w:id="138"/>
      <w:r w:rsidRPr="00B92FD5">
        <w:rPr>
          <w:rFonts w:ascii="Courier New" w:hAnsi="Courier New"/>
          <w:lang w:val="es-ES_tradnl" w:eastAsia="es-ES" w:bidi="es-ES"/>
        </w:rPr>
        <w:t>5.3.2 Otras pruebas en casos de envenenamiento</w:t>
      </w:r>
    </w:p>
    <w:p w14:paraId="11EBDFFF"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0FCE4CC"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val="es-ES_tradnl" w:eastAsia="es-ES" w:bidi="es-ES"/>
        </w:rPr>
      </w:pPr>
      <w:r w:rsidRPr="00B92FD5">
        <w:rPr>
          <w:rFonts w:ascii="Courier New" w:hAnsi="Courier New"/>
          <w:lang w:val="es-ES_tradnl" w:eastAsia="es-ES" w:bidi="es-ES"/>
        </w:rPr>
        <w:t>Entre los métodos de estimación, los niveles de colinesterasa en sangre proporcionan el diagnóstico más útil de envenenamiento. Véanse:</w:t>
      </w:r>
    </w:p>
    <w:p w14:paraId="20E23190"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209437C8" w14:textId="3406B77E"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Michel, N. O. (1969) </w:t>
      </w:r>
      <w:r w:rsidRPr="00B92FD5">
        <w:rPr>
          <w:rFonts w:ascii="Courier New" w:hAnsi="Courier New"/>
          <w:u w:val="single"/>
          <w:lang w:val="es-ES_tradnl" w:eastAsia="es-ES" w:bidi="es-ES"/>
        </w:rPr>
        <w:t xml:space="preserve">J. Lab. Clin. </w:t>
      </w:r>
      <w:proofErr w:type="spellStart"/>
      <w:r w:rsidRPr="00B92FD5">
        <w:rPr>
          <w:rFonts w:ascii="Courier New" w:hAnsi="Courier New"/>
          <w:u w:val="single"/>
          <w:lang w:val="es-ES_tradnl" w:eastAsia="es-ES" w:bidi="es-ES"/>
        </w:rPr>
        <w:t>Med</w:t>
      </w:r>
      <w:proofErr w:type="spellEnd"/>
      <w:r w:rsidRPr="00B92FD5">
        <w:rPr>
          <w:rFonts w:ascii="Courier New" w:hAnsi="Courier New"/>
          <w:u w:val="single"/>
          <w:lang w:val="es-ES_tradnl" w:eastAsia="es-ES" w:bidi="es-ES"/>
        </w:rPr>
        <w:t>., 34</w:t>
      </w:r>
      <w:r w:rsidRPr="00B92FD5">
        <w:rPr>
          <w:rFonts w:ascii="Courier New" w:hAnsi="Courier New"/>
          <w:lang w:val="es-ES_tradnl" w:eastAsia="es-ES" w:bidi="es-ES"/>
        </w:rPr>
        <w:t>, 1566-1568</w:t>
      </w:r>
    </w:p>
    <w:p w14:paraId="712CBEA8"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p>
    <w:p w14:paraId="5C9B2C6A" w14:textId="65B99302"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s-ES_tradnl" w:eastAsia="es-ES" w:bidi="es-ES"/>
        </w:rPr>
      </w:pPr>
      <w:r w:rsidRPr="00B92FD5">
        <w:rPr>
          <w:rFonts w:ascii="Courier New" w:hAnsi="Courier New"/>
          <w:lang w:val="es-ES_tradnl" w:eastAsia="es-ES" w:bidi="es-ES"/>
        </w:rPr>
        <w:t xml:space="preserve"> </w:t>
      </w:r>
      <w:r w:rsidR="00EB5595">
        <w:rPr>
          <w:rFonts w:ascii="Courier New" w:hAnsi="Courier New"/>
          <w:lang w:val="es-ES_tradnl" w:eastAsia="es-ES" w:bidi="es-ES"/>
        </w:rPr>
        <w:t xml:space="preserve">  </w:t>
      </w:r>
      <w:r w:rsidRPr="00B92FD5">
        <w:rPr>
          <w:rFonts w:ascii="Courier New" w:hAnsi="Courier New"/>
          <w:lang w:val="es-ES_tradnl" w:eastAsia="es-ES" w:bidi="es-ES"/>
        </w:rPr>
        <w:t xml:space="preserve"> </w:t>
      </w:r>
      <w:proofErr w:type="spellStart"/>
      <w:r w:rsidRPr="00B92FD5">
        <w:rPr>
          <w:rFonts w:ascii="Courier New" w:hAnsi="Courier New"/>
          <w:lang w:val="es-ES_tradnl" w:eastAsia="es-ES" w:bidi="es-ES"/>
        </w:rPr>
        <w:t>Ellman</w:t>
      </w:r>
      <w:proofErr w:type="spellEnd"/>
      <w:r w:rsidRPr="00B92FD5">
        <w:rPr>
          <w:rFonts w:ascii="Courier New" w:hAnsi="Courier New"/>
          <w:lang w:val="es-ES_tradnl" w:eastAsia="es-ES" w:bidi="es-ES"/>
        </w:rPr>
        <w:t xml:space="preserve"> et al. (1961) </w:t>
      </w:r>
      <w:proofErr w:type="spellStart"/>
      <w:r w:rsidRPr="00B92FD5">
        <w:rPr>
          <w:rFonts w:ascii="Courier New" w:hAnsi="Courier New"/>
          <w:u w:val="single"/>
          <w:lang w:val="es-ES_tradnl" w:eastAsia="es-ES" w:bidi="es-ES"/>
        </w:rPr>
        <w:t>Biochem</w:t>
      </w:r>
      <w:proofErr w:type="spellEnd"/>
      <w:r w:rsidRPr="00B92FD5">
        <w:rPr>
          <w:rFonts w:ascii="Courier New" w:hAnsi="Courier New"/>
          <w:u w:val="single"/>
          <w:lang w:val="es-ES_tradnl" w:eastAsia="es-ES" w:bidi="es-ES"/>
        </w:rPr>
        <w:t xml:space="preserve">. </w:t>
      </w:r>
      <w:proofErr w:type="spellStart"/>
      <w:r w:rsidRPr="00B92FD5">
        <w:rPr>
          <w:rFonts w:ascii="Courier New" w:hAnsi="Courier New"/>
          <w:u w:val="single"/>
          <w:lang w:val="es-ES_tradnl" w:eastAsia="es-ES" w:bidi="es-ES"/>
        </w:rPr>
        <w:t>Pharmacol</w:t>
      </w:r>
      <w:proofErr w:type="spellEnd"/>
      <w:r w:rsidRPr="00B92FD5">
        <w:rPr>
          <w:rFonts w:ascii="Courier New" w:hAnsi="Courier New"/>
          <w:u w:val="single"/>
          <w:lang w:val="es-ES_tradnl" w:eastAsia="es-ES" w:bidi="es-ES"/>
        </w:rPr>
        <w:t>. I.</w:t>
      </w:r>
      <w:r w:rsidRPr="00B92FD5">
        <w:rPr>
          <w:rFonts w:ascii="Courier New" w:hAnsi="Courier New"/>
          <w:lang w:val="es-ES_tradnl" w:eastAsia="es-ES" w:bidi="es-ES"/>
        </w:rPr>
        <w:t>, 88-95</w:t>
      </w:r>
    </w:p>
    <w:p w14:paraId="4803C23D" w14:textId="77777777" w:rsidR="00114789" w:rsidRPr="00B92FD5" w:rsidRDefault="00114789" w:rsidP="00114789">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hAnsi="Courier New" w:cs="Courier New"/>
          <w:lang w:val="es-ES_tradnl" w:eastAsia="es-ES" w:bidi="es-ES"/>
        </w:rPr>
      </w:pPr>
      <w:r w:rsidRPr="00B92FD5">
        <w:rPr>
          <w:rFonts w:ascii="Courier New" w:hAnsi="Courier New"/>
          <w:lang w:val="es-ES_tradnl" w:eastAsia="es-ES" w:bidi="es-ES"/>
        </w:rPr>
        <w:t>* * *</w:t>
      </w:r>
    </w:p>
    <w:p w14:paraId="533F6EEF" w14:textId="77777777" w:rsidR="00114789" w:rsidRPr="00B92FD5" w:rsidRDefault="00114789" w:rsidP="00114789">
      <w:pPr>
        <w:tabs>
          <w:tab w:val="left" w:pos="-720"/>
          <w:tab w:val="left" w:pos="0"/>
          <w:tab w:val="left" w:pos="720"/>
        </w:tabs>
        <w:suppressAutoHyphens/>
        <w:rPr>
          <w:sz w:val="4"/>
          <w:szCs w:val="4"/>
          <w:lang w:val="es-ES_tradnl" w:eastAsia="es-ES" w:bidi="es-ES"/>
        </w:rPr>
      </w:pPr>
      <w:bookmarkStart w:id="139" w:name=":5.3.2__Other_tests_in_cases_of_poisonin"/>
      <w:bookmarkStart w:id="140" w:name="EndSectionTitle:5.3__LABORATORY_METHODS"/>
      <w:bookmarkStart w:id="141" w:name="EndPartTitle:Part_5_-_For_medical_and_la"/>
      <w:bookmarkStart w:id="142" w:name="PartTitle:1.____GENERAL_INFORMATION"/>
      <w:bookmarkStart w:id="143" w:name="SectionTitle:1.1___COMMON_NAME"/>
      <w:bookmarkStart w:id="144" w:name="SubSectionTitle:1.1.1_Identity"/>
      <w:bookmarkStart w:id="145" w:name=":1.1.1_Identity"/>
      <w:bookmarkStart w:id="146" w:name="EndSectionTitle:1.1___COMMON_NAME"/>
      <w:bookmarkStart w:id="147" w:name="SectionTitle:1.2___SYNOPSIS"/>
      <w:bookmarkStart w:id="148" w:name="EndSectionTitle:1.2___SYNOPSIS"/>
      <w:bookmarkStart w:id="149" w:name="SectionTitle:1.3___SELECTED_PROPERTIES"/>
      <w:bookmarkStart w:id="150" w:name="SubSectionTitle:1.3.1_Physical_character"/>
      <w:bookmarkStart w:id="151" w:name=":1.3.1_Physical_characteristics"/>
      <w:bookmarkStart w:id="152" w:name="SubSectionTitle:1.3.2_Solubility"/>
      <w:bookmarkStart w:id="153" w:name=":1.3.2_Solubility"/>
      <w:bookmarkStart w:id="154" w:name="SubSectionTitle:1.3.3_Stability"/>
      <w:bookmarkStart w:id="155" w:name=":1.3.3_Stability"/>
      <w:bookmarkStart w:id="156" w:name="SubSectionTitle:1.3.4_Vapour_pressure_(v"/>
      <w:bookmarkStart w:id="157" w:name=":1.3.4_Vapour_pressure_(volatility)"/>
      <w:bookmarkStart w:id="158" w:name="EndSectionTitle:1.3___SELECTED_PROPERTIE"/>
      <w:bookmarkStart w:id="159" w:name="SectionTitle:1.4_AGRICULTURE,_HORTICULTU"/>
      <w:bookmarkStart w:id="160" w:name="SubSectionTitle:1.4.1_Common_formulation"/>
      <w:bookmarkStart w:id="161" w:name=":1.4.1_Common_formulations"/>
      <w:bookmarkStart w:id="162" w:name="SubSectionTitle:1.4.2_Susceptible_pests"/>
      <w:bookmarkStart w:id="163" w:name=":1.4.2_Susceptible_pests"/>
      <w:bookmarkStart w:id="164" w:name="SubSectionTitle:1.4.3_Use_pattern"/>
      <w:bookmarkStart w:id="165" w:name=":1.4.3_Use_pattern"/>
      <w:bookmarkStart w:id="166" w:name="SubSectionTitle:1.4.4_Unintended_effects"/>
      <w:bookmarkStart w:id="167" w:name=":1.4.4_Unintended_effects"/>
      <w:bookmarkStart w:id="168" w:name="EndSectionTitle:1.4_AGRICULTURE,_HORTICU"/>
      <w:bookmarkStart w:id="169" w:name="SectionTitle:1.5___PUBLIC_HEALTH_PROGRAM"/>
      <w:bookmarkStart w:id="170" w:name="EndSectionTitle:1.5___PUBLIC_HEALTH_PROG"/>
      <w:bookmarkStart w:id="171" w:name="SectionTitle:1.6____HOUSEHOLD_USE"/>
      <w:bookmarkStart w:id="172" w:name="EndSectionTitle:1.6____HOUSEHOLD_USE"/>
      <w:bookmarkStart w:id="173" w:name="EndPartTitle:1.____GENERAL_INFORMATION"/>
      <w:bookmarkStart w:id="174" w:name="PartTitle:2.____TOXICOLOGY_AND_RISKS"/>
      <w:bookmarkStart w:id="175" w:name="SectionTitle:2.1___TOXICOLOGY_-_MAMMALS"/>
      <w:bookmarkStart w:id="176" w:name="SubSectionTitle:2.1.1_Absorption_route"/>
      <w:bookmarkStart w:id="177" w:name=":2.1.1_Absorption_route"/>
      <w:bookmarkStart w:id="178" w:name="SubSectionTitle:2.1.2_Mode_of_action"/>
      <w:bookmarkStart w:id="179" w:name=":2.1.2_Mode_of_action"/>
      <w:bookmarkStart w:id="180" w:name="SubSectionTitle:2.1.3_Excretion_products"/>
      <w:bookmarkStart w:id="181" w:name=":2.1.3_Excretion_products"/>
      <w:bookmarkStart w:id="182" w:name="SubSectionTitle:2.1.4_Toxicity,_single_d"/>
      <w:bookmarkStart w:id="183" w:name=":2.1.4_Toxicity,_single_dose"/>
      <w:bookmarkStart w:id="184" w:name="SubSectionTitle:2.1.5_Toxicity,_repeated"/>
      <w:bookmarkStart w:id="185" w:name=":2.1.5_Toxicity,_repeated_dose"/>
      <w:bookmarkStart w:id="186" w:name="SubSectionTitle:2.1.6_Dietary_studies"/>
      <w:bookmarkStart w:id="187" w:name=":2.1.6_Dietary_studies"/>
      <w:bookmarkStart w:id="188" w:name="SubSectionTitle:2.1.7_Supplementer_studi"/>
      <w:bookmarkStart w:id="189" w:name=":2.1.7_Supplementer_studies_of_toxicity"/>
      <w:bookmarkStart w:id="190" w:name="SubSectionTitle:2.1.8_Modifications_of_t"/>
      <w:bookmarkStart w:id="191" w:name=":2.1.8_Modifications_of_toxicity"/>
      <w:bookmarkStart w:id="192" w:name="EndSectionTitle:2.1___TOXICOLOGY_-_MAMMA"/>
      <w:bookmarkStart w:id="193" w:name="SectionTitle:2.2___TOXICOLOGY_-_MAN"/>
      <w:bookmarkStart w:id="194" w:name="SubSectionTitle:2.2.1_Absorption"/>
      <w:bookmarkStart w:id="195" w:name=":2.2.1_Absorption"/>
      <w:bookmarkStart w:id="196" w:name="SubSectionTitle:2.2.2_Dangerous_doses"/>
      <w:bookmarkStart w:id="197" w:name=":2.2.2_Dangerous_doses"/>
      <w:bookmarkStart w:id="198" w:name="SubSectionTitle:2.2.3_Observations_of_oc"/>
      <w:bookmarkStart w:id="199" w:name=":2.2.3_Observations_of_occupationally_ex"/>
      <w:bookmarkStart w:id="200" w:name="SubSectionTitle:2.2.4_Observations_on_ex"/>
      <w:bookmarkStart w:id="201" w:name=":2.2.4_Observations_on_exposure_of_the_g"/>
      <w:bookmarkStart w:id="202" w:name="SubSectionTitle:2.2.5_Observations_of_vo"/>
      <w:bookmarkStart w:id="203" w:name=":2.2.5_Observations_of_volunteers"/>
      <w:bookmarkStart w:id="204" w:name="SubSectionTitle:2.2.6_Reported_mishaps"/>
      <w:bookmarkStart w:id="205" w:name=":2.2.6_Reported_mishaps"/>
      <w:bookmarkStart w:id="206" w:name="EndSectionTitle:2.2___TOXICOLOGY_-_MAN"/>
      <w:bookmarkStart w:id="207" w:name="SectionTitle:2.3___TOXICITY_TO_NON-MAMMA"/>
      <w:bookmarkStart w:id="208" w:name="SubSectionTitle:2.3.1_Fish"/>
      <w:bookmarkStart w:id="209" w:name=":2.3.1_Fish"/>
      <w:bookmarkStart w:id="210" w:name="SubSectionTitle:2.3.2_Birds"/>
      <w:bookmarkStart w:id="211" w:name=":2.3.2_Birds"/>
      <w:bookmarkStart w:id="212" w:name="SubSectionTitle:2.3.3_Other_species"/>
      <w:bookmarkStart w:id="213" w:name=":2.3.3_Other_species"/>
      <w:bookmarkStart w:id="214" w:name="EndSectionTitle:2.3___TOXICITY_TO_NON-MA"/>
      <w:bookmarkStart w:id="215" w:name="EndPartTitle:2.____TOXICOLOGY_AND_RISKS"/>
      <w:bookmarkStart w:id="216" w:name="PartTitle:3.____FOR_REGULATORY_AUTHORITI"/>
      <w:bookmarkStart w:id="217" w:name="SectionTitle:3.1___RECOMMENDED_RESTRICTI"/>
      <w:bookmarkStart w:id="218" w:name="EndSectionTitle:3.1___RECOMMENDED_RESTRI"/>
      <w:bookmarkStart w:id="219" w:name="SectionTitle:3.2___TRANSPORTATION_AND_ST"/>
      <w:bookmarkStart w:id="220" w:name="EndSectionTitle:3.2___TRANSPORTATION_AND"/>
      <w:bookmarkStart w:id="221" w:name="SectionTitle:3.3___HANDLING"/>
      <w:bookmarkStart w:id="222" w:name="EndSectionTitle:3.3___HANDLING"/>
      <w:bookmarkStart w:id="223" w:name="SectionTitle:3.4___DISPOSAL_AND/OR_DECON"/>
      <w:bookmarkStart w:id="224" w:name="EndSectionTitle:3.4___DISPOSAL_AND/OR_DE"/>
      <w:bookmarkStart w:id="225" w:name="SectionTitle:3.5___SELECTION,_TRAINING_A"/>
      <w:bookmarkStart w:id="226" w:name="EndSectionTitle:3.5___SELECTION,_TRAININ"/>
      <w:bookmarkStart w:id="227" w:name="SectionTitle:3.6___ADDITIONAL_REGULATION"/>
      <w:bookmarkStart w:id="228" w:name="EndSectionTitle:3.6___ADDITIONAL_REGULAT"/>
      <w:bookmarkStart w:id="229" w:name="SectionTitle:3.7___LABELLING"/>
      <w:bookmarkStart w:id="230" w:name="EndSectionTitle:3.7___LABELLING"/>
      <w:bookmarkStart w:id="231" w:name="SectionTitle:3.8___RESIDUES_IN_FOOD"/>
      <w:bookmarkStart w:id="232" w:name="SubSectionTitle:3.8.1_Maximum_residue_le"/>
      <w:bookmarkStart w:id="233" w:name=":3.8.1_Maximum_residue_levels_(tolerance"/>
      <w:bookmarkStart w:id="234" w:name="EndSectionTitle:3.8___RESIDUES_IN_FOOD"/>
      <w:bookmarkStart w:id="235" w:name="SectionTitle:3.9___SPECIAL_NOTE_ON_PARAQ"/>
      <w:bookmarkStart w:id="236" w:name="EndSectionTitle:3.9___SPECIAL_NOTE_ON_PA"/>
      <w:bookmarkStart w:id="237" w:name="EndPartTitle:3.____FOR_REGULATORY_AUTHOR"/>
      <w:bookmarkStart w:id="238" w:name="PartTitle:4.____PREVENTION_OF_POISONING_"/>
      <w:bookmarkStart w:id="239" w:name="SectionTitle:4.1___PRECAUTIONS_IN_USE"/>
      <w:bookmarkStart w:id="240" w:name="SubSectionTitle:4.1.1_General"/>
      <w:bookmarkStart w:id="241" w:name=":4.1.1_General"/>
      <w:bookmarkStart w:id="242" w:name="SubSectionTitle:4.1.2_Manufacture_and_fo"/>
      <w:bookmarkStart w:id="243" w:name=":4.1.2_Manufacture_and_formulations"/>
      <w:bookmarkStart w:id="244" w:name="SubSectionTitle:4.1.3_Mixers_and_applica"/>
      <w:bookmarkStart w:id="245" w:name=":4.1.3_Mixers_and_applicators"/>
      <w:bookmarkStart w:id="246" w:name="SubSectionTitle:4.1.4_Other_associated_w"/>
      <w:bookmarkStart w:id="247" w:name=":4.1.4_Other_associated_workers_(includi"/>
      <w:bookmarkStart w:id="248" w:name="SubSectionTitle:4.1.5_Other_populations_"/>
      <w:bookmarkStart w:id="249" w:name=":4.1.5_Other_populations_likely_to_be_af"/>
      <w:bookmarkStart w:id="250" w:name="EndSectionTitle:4.1___PRECAUTIONS_IN_USE"/>
      <w:bookmarkStart w:id="251" w:name="SectionTitle:4.2___ENTRY_OF_PERSON_INTO_"/>
      <w:bookmarkStart w:id="252" w:name="EndSectionTitle:4.2___ENTRY_OF_PERSON_IN"/>
      <w:bookmarkStart w:id="253" w:name="SectionTitle:4.3___SAFE_DISPOSAL_OF_CONT"/>
      <w:bookmarkStart w:id="254" w:name="EndSectionTitle:4.3___SAFE_DISPOSAL_OF_C"/>
      <w:bookmarkStart w:id="255" w:name="SectionTitle:4.4___EMERGENCY_AID"/>
      <w:bookmarkStart w:id="256" w:name="SubSectionTitle:4.4.1_Early_symptoms_of_"/>
      <w:bookmarkStart w:id="257" w:name=":4.4.2_Treatment_before_person_is_seen_b"/>
      <w:bookmarkStart w:id="258" w:name="EndSectionTitle:4.4___EMERGENCY_AID"/>
      <w:bookmarkStart w:id="259" w:name="EndPartTitle:4.____PREVENTION_OF_POISONI"/>
      <w:bookmarkStart w:id="260" w:name="PartTitle:5.____FOR_MEDICAL_AND_LABORATO"/>
      <w:bookmarkStart w:id="261" w:name="SectionTitle:5.1___MEDICAL_DIAGNOSIS_AND"/>
      <w:bookmarkStart w:id="262" w:name="SubSectionTitle:5.1.1_General_informatio"/>
      <w:bookmarkStart w:id="263" w:name=":5.1.1_General_information"/>
      <w:bookmarkStart w:id="264" w:name="SubSectionTitle:5.1.2_Symptoms_and_signs"/>
      <w:bookmarkStart w:id="265" w:name=":5.1.2_Symptoms_and_signs"/>
      <w:bookmarkStart w:id="266" w:name="SubSectionTitle:5.1.3_Laboratory"/>
      <w:bookmarkStart w:id="267" w:name=":5.1.3_Laboratory"/>
      <w:bookmarkStart w:id="268" w:name="SubSectionTitle:5.1.4_Treatment"/>
      <w:bookmarkStart w:id="269" w:name=":5.1.4_Treatment"/>
      <w:bookmarkStart w:id="270" w:name="SubSectionTitle:5.1.5_Prognosis"/>
      <w:bookmarkStart w:id="271" w:name=":5.1.5_Prognosis"/>
      <w:bookmarkStart w:id="272" w:name="SubSectionTitle:5.1.6_References_of_prev"/>
      <w:bookmarkStart w:id="273" w:name=":5.1.6_References_of_previously_reported"/>
      <w:bookmarkStart w:id="274" w:name="EndSectionTitle:5.1___MEDICAL_DIAGNOSIS_"/>
      <w:bookmarkStart w:id="275" w:name="SectionTitle:5.2___SURVEILLANCE"/>
      <w:bookmarkStart w:id="276" w:name="EndSectionTitle:5.2___SURVEILLANCE"/>
      <w:bookmarkStart w:id="277" w:name="SectionTitle:5.3___LABORATORY_METHODS"/>
      <w:bookmarkStart w:id="278" w:name="SubSectionTitle:5.3.1_Detection_and_assa"/>
      <w:bookmarkStart w:id="279" w:name=":5.3.1_Detection_and_assay_of_compounds"/>
      <w:bookmarkStart w:id="280" w:name="SubSectionTitle:5.3.2_Other_tests_in_cas"/>
      <w:bookmarkStart w:id="281" w:name=":5.3.2_Other_tests_in_cases_of_poisoning"/>
      <w:bookmarkStart w:id="282" w:name="EndSectionTitle:5.3___LABORATORY_METHODS"/>
      <w:bookmarkStart w:id="283" w:name="EndPartTitle:5.____FOR_MEDICAL_AND_LABOR"/>
      <w:bookmarkStart w:id="284" w:name="PartTitle:REFERENCES"/>
      <w:bookmarkStart w:id="285" w:name="EndPartTitle:REFERENCES"/>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B92FD5">
        <w:rPr>
          <w:lang w:val="es-ES_tradnl" w:eastAsia="es-ES" w:bidi="es-ES"/>
        </w:rPr>
        <w:br w:type="page"/>
      </w:r>
    </w:p>
    <w:tbl>
      <w:tblPr>
        <w:tblW w:w="0" w:type="auto"/>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50"/>
      </w:tblGrid>
      <w:tr w:rsidR="00114789" w:rsidRPr="00ED5AB4" w14:paraId="76F9B81A" w14:textId="77777777" w:rsidTr="00A642F9">
        <w:trPr>
          <w:cantSplit/>
        </w:trPr>
        <w:tc>
          <w:tcPr>
            <w:tcW w:w="9450" w:type="dxa"/>
            <w:shd w:val="pct12" w:color="000000" w:fill="FFFFFF"/>
          </w:tcPr>
          <w:p w14:paraId="438F9952" w14:textId="77777777" w:rsidR="00114789" w:rsidRPr="00B92FD5" w:rsidRDefault="00114789" w:rsidP="00A642F9">
            <w:pPr>
              <w:spacing w:before="80"/>
              <w:rPr>
                <w:b/>
                <w:sz w:val="28"/>
                <w:szCs w:val="28"/>
                <w:lang w:val="es-ES_tradnl" w:eastAsia="es-ES" w:bidi="es-ES"/>
              </w:rPr>
            </w:pP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r w:rsidRPr="00B92FD5">
              <w:rPr>
                <w:lang w:val="es-ES_tradnl" w:eastAsia="es-ES" w:bidi="es-ES"/>
              </w:rPr>
              <w:br w:type="page"/>
            </w:r>
            <w:proofErr w:type="spellStart"/>
            <w:r w:rsidRPr="00ED5AB4">
              <w:rPr>
                <w:b/>
                <w:sz w:val="24"/>
                <w:szCs w:val="24"/>
                <w:lang w:val="fr-CH"/>
              </w:rPr>
              <w:t>Anexo</w:t>
            </w:r>
            <w:proofErr w:type="spellEnd"/>
            <w:r w:rsidRPr="00ED5AB4">
              <w:rPr>
                <w:b/>
                <w:sz w:val="24"/>
                <w:szCs w:val="24"/>
                <w:lang w:val="fr-CH"/>
              </w:rPr>
              <w:t xml:space="preserve"> IV </w:t>
            </w:r>
            <w:proofErr w:type="spellStart"/>
            <w:r w:rsidRPr="00ED5AB4">
              <w:rPr>
                <w:b/>
                <w:sz w:val="24"/>
                <w:szCs w:val="24"/>
                <w:lang w:val="fr-CH"/>
              </w:rPr>
              <w:t>Información</w:t>
            </w:r>
            <w:proofErr w:type="spellEnd"/>
            <w:r w:rsidRPr="00ED5AB4">
              <w:rPr>
                <w:b/>
                <w:sz w:val="24"/>
                <w:szCs w:val="24"/>
                <w:lang w:val="fr-CH"/>
              </w:rPr>
              <w:t xml:space="preserve"> </w:t>
            </w:r>
            <w:proofErr w:type="spellStart"/>
            <w:r w:rsidRPr="00ED5AB4">
              <w:rPr>
                <w:b/>
                <w:sz w:val="24"/>
                <w:szCs w:val="24"/>
                <w:lang w:val="fr-CH"/>
              </w:rPr>
              <w:t>adicional</w:t>
            </w:r>
            <w:proofErr w:type="spellEnd"/>
            <w:r w:rsidRPr="00ED5AB4">
              <w:rPr>
                <w:b/>
                <w:sz w:val="24"/>
                <w:szCs w:val="24"/>
                <w:lang w:val="fr-CH"/>
              </w:rPr>
              <w:t xml:space="preserve"> sobre el </w:t>
            </w:r>
            <w:proofErr w:type="spellStart"/>
            <w:r w:rsidRPr="00ED5AB4">
              <w:rPr>
                <w:b/>
                <w:sz w:val="24"/>
                <w:szCs w:val="24"/>
                <w:lang w:val="fr-CH"/>
              </w:rPr>
              <w:t>ingrediente</w:t>
            </w:r>
            <w:proofErr w:type="spellEnd"/>
            <w:r w:rsidRPr="00ED5AB4">
              <w:rPr>
                <w:b/>
                <w:sz w:val="24"/>
                <w:szCs w:val="24"/>
                <w:lang w:val="fr-CH"/>
              </w:rPr>
              <w:t xml:space="preserve"> </w:t>
            </w:r>
            <w:proofErr w:type="spellStart"/>
            <w:r w:rsidRPr="00ED5AB4">
              <w:rPr>
                <w:b/>
                <w:sz w:val="24"/>
                <w:szCs w:val="24"/>
                <w:lang w:val="fr-CH"/>
              </w:rPr>
              <w:t>activo</w:t>
            </w:r>
            <w:proofErr w:type="spellEnd"/>
            <w:r w:rsidRPr="00ED5AB4">
              <w:rPr>
                <w:b/>
                <w:sz w:val="24"/>
                <w:szCs w:val="24"/>
                <w:lang w:val="fr-CH"/>
              </w:rPr>
              <w:t xml:space="preserve"> del </w:t>
            </w:r>
            <w:proofErr w:type="spellStart"/>
            <w:r w:rsidRPr="00ED5AB4">
              <w:rPr>
                <w:b/>
                <w:sz w:val="24"/>
                <w:szCs w:val="24"/>
                <w:lang w:val="fr-CH"/>
              </w:rPr>
              <w:t>plaguicida</w:t>
            </w:r>
            <w:proofErr w:type="spellEnd"/>
          </w:p>
        </w:tc>
      </w:tr>
    </w:tbl>
    <w:p w14:paraId="6518AB10" w14:textId="77777777" w:rsidR="00114789" w:rsidRPr="00B92FD5" w:rsidRDefault="00114789" w:rsidP="00114789">
      <w:pPr>
        <w:spacing w:before="240" w:after="240"/>
        <w:rPr>
          <w:b/>
          <w:lang w:val="es-ES_tradnl" w:eastAsia="es-ES" w:bidi="es-ES"/>
        </w:rPr>
      </w:pPr>
      <w:r w:rsidRPr="00B92FD5">
        <w:rPr>
          <w:b/>
          <w:lang w:val="es-ES_tradnl" w:eastAsia="es-ES" w:bidi="es-ES"/>
        </w:rPr>
        <w:t>Introducción</w:t>
      </w:r>
    </w:p>
    <w:p w14:paraId="7E677B1F" w14:textId="77777777" w:rsidR="00114789" w:rsidRPr="00B92FD5" w:rsidRDefault="00114789" w:rsidP="00EB5595">
      <w:pPr>
        <w:spacing w:after="240"/>
        <w:rPr>
          <w:lang w:val="es-ES_tradnl" w:eastAsia="es-ES" w:bidi="es-ES"/>
        </w:rPr>
      </w:pPr>
      <w:r w:rsidRPr="00B92FD5">
        <w:rPr>
          <w:lang w:val="es-ES_tradnl" w:eastAsia="es-ES" w:bidi="es-ES"/>
        </w:rPr>
        <w:t xml:space="preserve">Este anexo brinda información adicional sobre las propiedades </w:t>
      </w:r>
      <w:proofErr w:type="gramStart"/>
      <w:r w:rsidRPr="00B92FD5">
        <w:rPr>
          <w:lang w:val="es-ES_tradnl" w:eastAsia="es-ES" w:bidi="es-ES"/>
        </w:rPr>
        <w:t>físico-químicas</w:t>
      </w:r>
      <w:proofErr w:type="gramEnd"/>
      <w:r w:rsidRPr="00B92FD5">
        <w:rPr>
          <w:lang w:val="es-ES_tradnl" w:eastAsia="es-ES" w:bidi="es-ES"/>
        </w:rPr>
        <w:t xml:space="preserve">, toxicológicas y ambientales del ingrediente activo del plaguicida </w:t>
      </w:r>
      <w:proofErr w:type="spellStart"/>
      <w:r w:rsidRPr="00B92FD5">
        <w:rPr>
          <w:lang w:val="es-ES_tradnl" w:eastAsia="es-ES" w:bidi="es-ES"/>
        </w:rPr>
        <w:t>fentión</w:t>
      </w:r>
      <w:proofErr w:type="spellEnd"/>
      <w:r w:rsidRPr="00B92FD5">
        <w:rPr>
          <w:lang w:val="es-ES_tradnl" w:eastAsia="es-ES" w:bidi="es-ES"/>
        </w:rPr>
        <w:t xml:space="preserve">. Esta información se ha extraído de documentos reunidos por la secretaría conforme con la parte 2 del anexo IV del Convenio y se puso a disposición del Comité de Examen de Productos Químicos en los documentos UNEP/FAO/RC/CRC.9/4/Add.2. Estos documentos incluyen el examen del </w:t>
      </w:r>
      <w:proofErr w:type="spellStart"/>
      <w:r w:rsidRPr="00B92FD5">
        <w:rPr>
          <w:lang w:val="es-ES_tradnl" w:eastAsia="es-ES" w:bidi="es-ES"/>
        </w:rPr>
        <w:t>fentión</w:t>
      </w:r>
      <w:proofErr w:type="spellEnd"/>
      <w:r w:rsidRPr="00B92FD5">
        <w:rPr>
          <w:lang w:val="es-ES_tradnl" w:eastAsia="es-ES" w:bidi="es-ES"/>
        </w:rPr>
        <w:t xml:space="preserve"> realizado por la Unión Europea (2003); información de la Agencia de Protección del Medio Ambiente de los Estados Unidos (US EPA) y Australia, y Especificaciones y evaluaciones de la FAO para el </w:t>
      </w:r>
      <w:proofErr w:type="spellStart"/>
      <w:r w:rsidRPr="00B92FD5">
        <w:rPr>
          <w:lang w:val="es-ES_tradnl" w:eastAsia="es-ES" w:bidi="es-ES"/>
        </w:rPr>
        <w:t>fentión</w:t>
      </w:r>
      <w:proofErr w:type="spellEnd"/>
      <w:r w:rsidRPr="00B92FD5">
        <w:rPr>
          <w:lang w:val="es-ES_tradnl" w:eastAsia="es-ES" w:bidi="es-ES"/>
        </w:rPr>
        <w:t xml:space="preserve"> (2004). </w:t>
      </w:r>
    </w:p>
    <w:p w14:paraId="62EB4D32" w14:textId="77777777" w:rsidR="00114789" w:rsidRPr="00B92FD5" w:rsidRDefault="00114789" w:rsidP="00EB5595">
      <w:pPr>
        <w:spacing w:after="120"/>
        <w:rPr>
          <w:lang w:val="es-ES_tradnl" w:eastAsia="es-ES" w:bidi="es-ES"/>
        </w:rPr>
      </w:pPr>
      <w:r w:rsidRPr="00B92FD5">
        <w:rPr>
          <w:lang w:val="es-ES_tradnl" w:eastAsia="es-ES" w:bidi="es-ES"/>
        </w:rPr>
        <w:t xml:space="preserve">En las hojas de datos de seguridad de los respectivos productos, disponibles en internet, puede encontrarse información adicional sobre las propiedades </w:t>
      </w:r>
      <w:proofErr w:type="gramStart"/>
      <w:r w:rsidRPr="00B92FD5">
        <w:rPr>
          <w:lang w:val="es-ES_tradnl" w:eastAsia="es-ES" w:bidi="es-ES"/>
        </w:rPr>
        <w:t>físico-químicas</w:t>
      </w:r>
      <w:proofErr w:type="gramEnd"/>
      <w:r w:rsidRPr="00B92FD5">
        <w:rPr>
          <w:lang w:val="es-ES_tradnl" w:eastAsia="es-ES" w:bidi="es-ES"/>
        </w:rPr>
        <w:t xml:space="preserve">, toxicológicas y ambientales de las formulaciones plaguicidas que contienen </w:t>
      </w:r>
      <w:proofErr w:type="spellStart"/>
      <w:r w:rsidRPr="00B92FD5">
        <w:rPr>
          <w:lang w:val="es-ES_tradnl" w:eastAsia="es-ES" w:bidi="es-ES"/>
        </w:rPr>
        <w:t>fentión</w:t>
      </w:r>
      <w:proofErr w:type="spellEnd"/>
      <w:r w:rsidRPr="00B92FD5">
        <w:rPr>
          <w:lang w:val="es-ES_tradnl" w:eastAsia="es-ES" w:bidi="es-ES"/>
        </w:rPr>
        <w:t xml:space="preserve">. </w:t>
      </w:r>
    </w:p>
    <w:tbl>
      <w:tblPr>
        <w:tblW w:w="9498" w:type="dxa"/>
        <w:tblInd w:w="108" w:type="dxa"/>
        <w:tblLayout w:type="fixed"/>
        <w:tblLook w:val="0000" w:firstRow="0" w:lastRow="0" w:firstColumn="0" w:lastColumn="0" w:noHBand="0" w:noVBand="0"/>
      </w:tblPr>
      <w:tblGrid>
        <w:gridCol w:w="709"/>
        <w:gridCol w:w="1703"/>
        <w:gridCol w:w="6993"/>
        <w:gridCol w:w="93"/>
      </w:tblGrid>
      <w:tr w:rsidR="00114789" w:rsidRPr="00B92FD5" w14:paraId="6D7A4A2F" w14:textId="77777777" w:rsidTr="00A642F9">
        <w:tc>
          <w:tcPr>
            <w:tcW w:w="709" w:type="dxa"/>
            <w:tcBorders>
              <w:bottom w:val="single" w:sz="4" w:space="0" w:color="auto"/>
            </w:tcBorders>
            <w:shd w:val="clear" w:color="auto" w:fill="auto"/>
          </w:tcPr>
          <w:p w14:paraId="77FD5798" w14:textId="77777777" w:rsidR="00114789" w:rsidRPr="00B92FD5" w:rsidRDefault="00114789" w:rsidP="00A642F9">
            <w:pPr>
              <w:outlineLvl w:val="1"/>
              <w:rPr>
                <w:b/>
                <w:bCs/>
                <w:szCs w:val="24"/>
                <w:lang w:val="es-ES_tradnl" w:eastAsia="es-ES" w:bidi="es-ES"/>
              </w:rPr>
            </w:pPr>
            <w:r w:rsidRPr="00B92FD5">
              <w:rPr>
                <w:b/>
                <w:lang w:val="es-ES_tradnl" w:eastAsia="es-ES" w:bidi="es-ES"/>
              </w:rPr>
              <w:t>1.</w:t>
            </w:r>
          </w:p>
        </w:tc>
        <w:tc>
          <w:tcPr>
            <w:tcW w:w="8789" w:type="dxa"/>
            <w:gridSpan w:val="3"/>
            <w:tcBorders>
              <w:bottom w:val="single" w:sz="4" w:space="0" w:color="auto"/>
            </w:tcBorders>
            <w:shd w:val="clear" w:color="auto" w:fill="auto"/>
          </w:tcPr>
          <w:p w14:paraId="4D1659A7" w14:textId="77777777" w:rsidR="00114789" w:rsidRPr="00B92FD5" w:rsidRDefault="00114789" w:rsidP="00A642F9">
            <w:pPr>
              <w:outlineLvl w:val="1"/>
              <w:rPr>
                <w:b/>
                <w:bCs/>
                <w:szCs w:val="24"/>
                <w:lang w:val="es-ES_tradnl" w:eastAsia="es-ES" w:bidi="es-ES"/>
              </w:rPr>
            </w:pPr>
            <w:r w:rsidRPr="00B92FD5">
              <w:rPr>
                <w:b/>
                <w:lang w:val="es-ES_tradnl" w:eastAsia="es-ES" w:bidi="es-ES"/>
              </w:rPr>
              <w:t xml:space="preserve">Propiedades </w:t>
            </w:r>
            <w:proofErr w:type="gramStart"/>
            <w:r w:rsidRPr="00B92FD5">
              <w:rPr>
                <w:b/>
                <w:lang w:val="es-ES_tradnl" w:eastAsia="es-ES" w:bidi="es-ES"/>
              </w:rPr>
              <w:t>físico-químicas</w:t>
            </w:r>
            <w:proofErr w:type="gramEnd"/>
            <w:r w:rsidRPr="00B92FD5">
              <w:rPr>
                <w:b/>
                <w:lang w:val="es-ES_tradnl" w:eastAsia="es-ES" w:bidi="es-ES"/>
              </w:rPr>
              <w:t xml:space="preserve"> </w:t>
            </w:r>
          </w:p>
        </w:tc>
      </w:tr>
      <w:tr w:rsidR="00114789" w:rsidRPr="00B92FD5" w14:paraId="77923B8F"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077CEA35" w14:textId="77777777" w:rsidR="00114789" w:rsidRPr="00B92FD5" w:rsidRDefault="00114789" w:rsidP="00A642F9">
            <w:pPr>
              <w:spacing w:after="60"/>
              <w:rPr>
                <w:b/>
                <w:bCs/>
                <w:lang w:val="es-ES_tradnl" w:eastAsia="es-ES" w:bidi="es-ES"/>
              </w:rPr>
            </w:pPr>
            <w:r w:rsidRPr="00B92FD5">
              <w:rPr>
                <w:b/>
                <w:lang w:val="es-ES_tradnl" w:eastAsia="es-ES" w:bidi="es-ES"/>
              </w:rPr>
              <w:t>1.1</w:t>
            </w:r>
          </w:p>
        </w:tc>
        <w:tc>
          <w:tcPr>
            <w:tcW w:w="1703" w:type="dxa"/>
            <w:tcBorders>
              <w:top w:val="nil"/>
              <w:left w:val="nil"/>
              <w:bottom w:val="nil"/>
              <w:right w:val="nil"/>
            </w:tcBorders>
            <w:shd w:val="clear" w:color="auto" w:fill="auto"/>
          </w:tcPr>
          <w:p w14:paraId="5E31B3EA" w14:textId="77777777" w:rsidR="00114789" w:rsidRPr="00B92FD5" w:rsidRDefault="00114789" w:rsidP="00A642F9">
            <w:pPr>
              <w:rPr>
                <w:b/>
                <w:lang w:val="es-ES_tradnl" w:eastAsia="es-ES" w:bidi="es-ES"/>
              </w:rPr>
            </w:pPr>
            <w:r w:rsidRPr="00B92FD5">
              <w:rPr>
                <w:b/>
                <w:lang w:val="es-ES_tradnl" w:eastAsia="es-ES" w:bidi="es-ES"/>
              </w:rPr>
              <w:t>Nombre común</w:t>
            </w:r>
          </w:p>
          <w:p w14:paraId="33D00ED8" w14:textId="77777777" w:rsidR="00114789" w:rsidRPr="00B92FD5" w:rsidRDefault="00114789" w:rsidP="00A642F9">
            <w:pPr>
              <w:rPr>
                <w:b/>
                <w:iCs/>
                <w:lang w:val="es-ES_tradnl" w:eastAsia="es-ES" w:bidi="es-ES"/>
              </w:rPr>
            </w:pPr>
            <w:r w:rsidRPr="00B92FD5">
              <w:rPr>
                <w:b/>
                <w:lang w:val="es-ES_tradnl" w:eastAsia="es-ES" w:bidi="es-ES"/>
              </w:rPr>
              <w:t>Nombres químicos</w:t>
            </w:r>
          </w:p>
          <w:p w14:paraId="4FD65174" w14:textId="77777777" w:rsidR="00114789" w:rsidRPr="00B92FD5" w:rsidRDefault="00114789" w:rsidP="00A642F9">
            <w:pPr>
              <w:rPr>
                <w:b/>
                <w:lang w:val="es-ES_tradnl" w:eastAsia="es-ES" w:bidi="es-ES"/>
              </w:rPr>
            </w:pPr>
          </w:p>
        </w:tc>
        <w:tc>
          <w:tcPr>
            <w:tcW w:w="7086" w:type="dxa"/>
            <w:gridSpan w:val="2"/>
            <w:tcBorders>
              <w:top w:val="nil"/>
              <w:left w:val="nil"/>
              <w:bottom w:val="nil"/>
              <w:right w:val="nil"/>
            </w:tcBorders>
            <w:shd w:val="clear" w:color="auto" w:fill="auto"/>
          </w:tcPr>
          <w:p w14:paraId="6BFFB8F0" w14:textId="77777777" w:rsidR="00114789" w:rsidRPr="00B92FD5" w:rsidRDefault="00114789" w:rsidP="00A642F9">
            <w:pPr>
              <w:spacing w:before="20"/>
              <w:rPr>
                <w:lang w:val="es-ES_tradnl" w:eastAsia="es-ES" w:bidi="es-ES"/>
              </w:rPr>
            </w:pPr>
            <w:proofErr w:type="spellStart"/>
            <w:r w:rsidRPr="00B92FD5">
              <w:rPr>
                <w:lang w:val="es-ES_tradnl" w:eastAsia="es-ES" w:bidi="es-ES"/>
              </w:rPr>
              <w:t>Fentión</w:t>
            </w:r>
            <w:proofErr w:type="spellEnd"/>
          </w:p>
          <w:p w14:paraId="4C66BB4F" w14:textId="77777777" w:rsidR="00114789" w:rsidRPr="00B92FD5" w:rsidRDefault="00114789" w:rsidP="00A642F9">
            <w:pPr>
              <w:spacing w:before="20"/>
              <w:rPr>
                <w:iCs/>
                <w:lang w:val="es-ES_tradnl" w:eastAsia="es-ES" w:bidi="es-ES"/>
              </w:rPr>
            </w:pPr>
            <w:r w:rsidRPr="00B92FD5">
              <w:rPr>
                <w:i/>
                <w:lang w:val="es-ES_tradnl" w:eastAsia="es-ES" w:bidi="es-ES"/>
              </w:rPr>
              <w:t>O</w:t>
            </w:r>
            <w:r w:rsidRPr="00B92FD5">
              <w:rPr>
                <w:lang w:val="es-ES_tradnl" w:eastAsia="es-ES" w:bidi="es-ES"/>
              </w:rPr>
              <w:t>,</w:t>
            </w:r>
            <w:r w:rsidRPr="00B92FD5">
              <w:rPr>
                <w:i/>
                <w:lang w:val="es-ES_tradnl" w:eastAsia="es-ES" w:bidi="es-ES"/>
              </w:rPr>
              <w:t>O</w:t>
            </w:r>
            <w:r w:rsidRPr="00B92FD5">
              <w:rPr>
                <w:lang w:val="es-ES_tradnl" w:eastAsia="es-ES" w:bidi="es-ES"/>
              </w:rPr>
              <w:t>-</w:t>
            </w:r>
            <w:proofErr w:type="spellStart"/>
            <w:r w:rsidRPr="00B92FD5">
              <w:rPr>
                <w:lang w:val="es-ES_tradnl" w:eastAsia="es-ES" w:bidi="es-ES"/>
              </w:rPr>
              <w:t>dimetil</w:t>
            </w:r>
            <w:proofErr w:type="spellEnd"/>
            <w:r w:rsidRPr="00B92FD5">
              <w:rPr>
                <w:lang w:val="es-ES_tradnl" w:eastAsia="es-ES" w:bidi="es-ES"/>
              </w:rPr>
              <w:t xml:space="preserve"> </w:t>
            </w:r>
            <w:r w:rsidRPr="00B92FD5">
              <w:rPr>
                <w:i/>
                <w:lang w:val="es-ES_tradnl" w:eastAsia="es-ES" w:bidi="es-ES"/>
              </w:rPr>
              <w:t>O</w:t>
            </w:r>
            <w:r w:rsidRPr="00B92FD5">
              <w:rPr>
                <w:lang w:val="es-ES_tradnl" w:eastAsia="es-ES" w:bidi="es-ES"/>
              </w:rPr>
              <w:t>-(4-(</w:t>
            </w:r>
            <w:proofErr w:type="spellStart"/>
            <w:r w:rsidRPr="00B92FD5">
              <w:rPr>
                <w:lang w:val="es-ES_tradnl" w:eastAsia="es-ES" w:bidi="es-ES"/>
              </w:rPr>
              <w:t>metiltio</w:t>
            </w:r>
            <w:proofErr w:type="spellEnd"/>
            <w:r w:rsidRPr="00B92FD5">
              <w:rPr>
                <w:lang w:val="es-ES_tradnl" w:eastAsia="es-ES" w:bidi="es-ES"/>
              </w:rPr>
              <w:t>)-</w:t>
            </w:r>
            <w:r w:rsidRPr="00B92FD5">
              <w:rPr>
                <w:i/>
                <w:lang w:val="es-ES_tradnl" w:eastAsia="es-ES" w:bidi="es-ES"/>
              </w:rPr>
              <w:t>m</w:t>
            </w:r>
            <w:r w:rsidRPr="00B92FD5">
              <w:rPr>
                <w:lang w:val="es-ES_tradnl" w:eastAsia="es-ES" w:bidi="es-ES"/>
              </w:rPr>
              <w:t>-</w:t>
            </w:r>
            <w:proofErr w:type="spellStart"/>
            <w:r w:rsidRPr="00B92FD5">
              <w:rPr>
                <w:lang w:val="es-ES_tradnl" w:eastAsia="es-ES" w:bidi="es-ES"/>
              </w:rPr>
              <w:t>tolil</w:t>
            </w:r>
            <w:proofErr w:type="spellEnd"/>
            <w:r w:rsidRPr="00B92FD5">
              <w:rPr>
                <w:lang w:val="es-ES_tradnl" w:eastAsia="es-ES" w:bidi="es-ES"/>
              </w:rPr>
              <w:t>)</w:t>
            </w:r>
            <w:proofErr w:type="spellStart"/>
            <w:r w:rsidRPr="00B92FD5">
              <w:rPr>
                <w:lang w:val="es-ES_tradnl" w:eastAsia="es-ES" w:bidi="es-ES"/>
              </w:rPr>
              <w:t>fosforotiato</w:t>
            </w:r>
            <w:proofErr w:type="spellEnd"/>
            <w:r w:rsidRPr="00B92FD5">
              <w:rPr>
                <w:lang w:val="es-ES_tradnl" w:eastAsia="es-ES" w:bidi="es-ES"/>
              </w:rPr>
              <w:t xml:space="preserve"> (IUPAC)</w:t>
            </w:r>
          </w:p>
          <w:p w14:paraId="1C2CA3BD" w14:textId="77777777" w:rsidR="00114789" w:rsidRPr="00B92FD5" w:rsidRDefault="00114789" w:rsidP="00A642F9">
            <w:pPr>
              <w:spacing w:before="20"/>
              <w:rPr>
                <w:lang w:val="es-ES_tradnl" w:eastAsia="es-ES" w:bidi="es-ES"/>
              </w:rPr>
            </w:pPr>
            <w:r w:rsidRPr="00B92FD5">
              <w:rPr>
                <w:i/>
                <w:lang w:val="es-ES_tradnl" w:eastAsia="es-ES" w:bidi="es-ES"/>
              </w:rPr>
              <w:t>O</w:t>
            </w:r>
            <w:r w:rsidRPr="00B92FD5">
              <w:rPr>
                <w:lang w:val="es-ES_tradnl" w:eastAsia="es-ES" w:bidi="es-ES"/>
              </w:rPr>
              <w:t>,</w:t>
            </w:r>
            <w:r w:rsidRPr="00B92FD5">
              <w:rPr>
                <w:i/>
                <w:lang w:val="es-ES_tradnl" w:eastAsia="es-ES" w:bidi="es-ES"/>
              </w:rPr>
              <w:t>O</w:t>
            </w:r>
            <w:r w:rsidRPr="00B92FD5">
              <w:rPr>
                <w:lang w:val="es-ES_tradnl" w:eastAsia="es-ES" w:bidi="es-ES"/>
              </w:rPr>
              <w:t>-</w:t>
            </w:r>
            <w:proofErr w:type="spellStart"/>
            <w:r w:rsidRPr="00B92FD5">
              <w:rPr>
                <w:lang w:val="es-ES_tradnl" w:eastAsia="es-ES" w:bidi="es-ES"/>
              </w:rPr>
              <w:t>dimetil</w:t>
            </w:r>
            <w:proofErr w:type="spellEnd"/>
            <w:r w:rsidRPr="00B92FD5">
              <w:rPr>
                <w:lang w:val="es-ES_tradnl" w:eastAsia="es-ES" w:bidi="es-ES"/>
              </w:rPr>
              <w:t xml:space="preserve"> </w:t>
            </w:r>
            <w:r w:rsidRPr="00B92FD5">
              <w:rPr>
                <w:i/>
                <w:lang w:val="es-ES_tradnl" w:eastAsia="es-ES" w:bidi="es-ES"/>
              </w:rPr>
              <w:t>O</w:t>
            </w:r>
            <w:r w:rsidRPr="00B92FD5">
              <w:rPr>
                <w:lang w:val="es-ES_tradnl" w:eastAsia="es-ES" w:bidi="es-ES"/>
              </w:rPr>
              <w:t>-[3-metil-4-(</w:t>
            </w:r>
            <w:proofErr w:type="spellStart"/>
            <w:r w:rsidRPr="00B92FD5">
              <w:rPr>
                <w:lang w:val="es-ES_tradnl" w:eastAsia="es-ES" w:bidi="es-ES"/>
              </w:rPr>
              <w:t>metiltio</w:t>
            </w:r>
            <w:proofErr w:type="spellEnd"/>
            <w:r w:rsidRPr="00B92FD5">
              <w:rPr>
                <w:lang w:val="es-ES_tradnl" w:eastAsia="es-ES" w:bidi="es-ES"/>
              </w:rPr>
              <w:t>)</w:t>
            </w:r>
            <w:proofErr w:type="spellStart"/>
            <w:r w:rsidRPr="00B92FD5">
              <w:rPr>
                <w:lang w:val="es-ES_tradnl" w:eastAsia="es-ES" w:bidi="es-ES"/>
              </w:rPr>
              <w:t>fenil</w:t>
            </w:r>
            <w:proofErr w:type="spellEnd"/>
            <w:r w:rsidRPr="00B92FD5">
              <w:rPr>
                <w:lang w:val="es-ES_tradnl" w:eastAsia="es-ES" w:bidi="es-ES"/>
              </w:rPr>
              <w:t xml:space="preserve">] </w:t>
            </w:r>
            <w:proofErr w:type="spellStart"/>
            <w:r w:rsidRPr="00B92FD5">
              <w:rPr>
                <w:lang w:val="es-ES_tradnl" w:eastAsia="es-ES" w:bidi="es-ES"/>
              </w:rPr>
              <w:t>fosforotiato</w:t>
            </w:r>
            <w:proofErr w:type="spellEnd"/>
            <w:r w:rsidRPr="00B92FD5">
              <w:rPr>
                <w:lang w:val="es-ES_tradnl" w:eastAsia="es-ES" w:bidi="es-ES"/>
              </w:rPr>
              <w:t xml:space="preserve"> (CA)</w:t>
            </w:r>
          </w:p>
        </w:tc>
      </w:tr>
      <w:tr w:rsidR="00114789" w:rsidRPr="00B92FD5" w14:paraId="166FD19E"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4003DC1A" w14:textId="77777777" w:rsidR="00114789" w:rsidRPr="00B92FD5" w:rsidRDefault="00114789" w:rsidP="00A642F9">
            <w:pPr>
              <w:rPr>
                <w:b/>
                <w:lang w:val="es-ES_tradnl" w:eastAsia="es-ES" w:bidi="es-ES"/>
              </w:rPr>
            </w:pPr>
            <w:r w:rsidRPr="00B92FD5">
              <w:rPr>
                <w:b/>
                <w:lang w:val="es-ES_tradnl" w:eastAsia="es-ES" w:bidi="es-ES"/>
              </w:rPr>
              <w:t>1.2</w:t>
            </w:r>
          </w:p>
          <w:p w14:paraId="6F1FB4B9" w14:textId="77777777" w:rsidR="00114789" w:rsidRPr="00B92FD5" w:rsidRDefault="00114789" w:rsidP="00A642F9">
            <w:pPr>
              <w:rPr>
                <w:b/>
                <w:lang w:val="es-ES_tradnl" w:eastAsia="es-ES" w:bidi="es-ES"/>
              </w:rPr>
            </w:pPr>
            <w:r w:rsidRPr="00B92FD5">
              <w:rPr>
                <w:b/>
                <w:lang w:val="es-ES_tradnl" w:eastAsia="es-ES" w:bidi="es-ES"/>
              </w:rPr>
              <w:t>1.3</w:t>
            </w:r>
          </w:p>
        </w:tc>
        <w:tc>
          <w:tcPr>
            <w:tcW w:w="1703" w:type="dxa"/>
            <w:tcBorders>
              <w:top w:val="nil"/>
              <w:left w:val="nil"/>
              <w:bottom w:val="nil"/>
              <w:right w:val="nil"/>
            </w:tcBorders>
            <w:shd w:val="clear" w:color="auto" w:fill="auto"/>
          </w:tcPr>
          <w:p w14:paraId="2E6510E6" w14:textId="77777777" w:rsidR="00114789" w:rsidRPr="00B92FD5" w:rsidRDefault="00114789" w:rsidP="00A642F9">
            <w:pPr>
              <w:rPr>
                <w:b/>
                <w:lang w:val="es-ES_tradnl" w:eastAsia="es-ES" w:bidi="es-ES"/>
              </w:rPr>
            </w:pPr>
            <w:r w:rsidRPr="00B92FD5">
              <w:rPr>
                <w:b/>
                <w:lang w:val="es-ES_tradnl" w:eastAsia="es-ES" w:bidi="es-ES"/>
              </w:rPr>
              <w:t>Fórmula</w:t>
            </w:r>
          </w:p>
          <w:p w14:paraId="76460C69" w14:textId="77777777" w:rsidR="00114789" w:rsidRPr="00B92FD5" w:rsidRDefault="00114789" w:rsidP="00A642F9">
            <w:pPr>
              <w:rPr>
                <w:b/>
                <w:lang w:val="es-ES_tradnl" w:eastAsia="es-ES" w:bidi="es-ES"/>
              </w:rPr>
            </w:pPr>
            <w:r w:rsidRPr="00B92FD5">
              <w:rPr>
                <w:b/>
                <w:lang w:val="es-ES_tradnl" w:eastAsia="es-ES" w:bidi="es-ES"/>
              </w:rPr>
              <w:t>Masa molar</w:t>
            </w:r>
          </w:p>
        </w:tc>
        <w:tc>
          <w:tcPr>
            <w:tcW w:w="7086" w:type="dxa"/>
            <w:gridSpan w:val="2"/>
            <w:tcBorders>
              <w:top w:val="nil"/>
              <w:left w:val="nil"/>
              <w:bottom w:val="nil"/>
              <w:right w:val="nil"/>
            </w:tcBorders>
            <w:shd w:val="clear" w:color="auto" w:fill="auto"/>
          </w:tcPr>
          <w:p w14:paraId="78571592" w14:textId="77777777" w:rsidR="00114789" w:rsidRPr="00B92FD5" w:rsidRDefault="00114789" w:rsidP="00A642F9">
            <w:pPr>
              <w:spacing w:before="20"/>
              <w:rPr>
                <w:lang w:val="es-ES_tradnl" w:eastAsia="es-ES" w:bidi="es-ES"/>
              </w:rPr>
            </w:pPr>
            <w:r w:rsidRPr="00B92FD5">
              <w:rPr>
                <w:lang w:val="es-ES_tradnl" w:eastAsia="es-ES" w:bidi="es-ES"/>
              </w:rPr>
              <w:t>C</w:t>
            </w:r>
            <w:r w:rsidRPr="00B92FD5">
              <w:rPr>
                <w:sz w:val="12"/>
                <w:lang w:val="es-ES_tradnl" w:eastAsia="es-ES" w:bidi="es-ES"/>
              </w:rPr>
              <w:t>10</w:t>
            </w:r>
            <w:r w:rsidRPr="00B92FD5">
              <w:rPr>
                <w:lang w:val="es-ES_tradnl" w:eastAsia="es-ES" w:bidi="es-ES"/>
              </w:rPr>
              <w:t>H</w:t>
            </w:r>
            <w:r w:rsidRPr="00B92FD5">
              <w:rPr>
                <w:sz w:val="12"/>
                <w:lang w:val="es-ES_tradnl" w:eastAsia="es-ES" w:bidi="es-ES"/>
              </w:rPr>
              <w:t>15</w:t>
            </w:r>
            <w:r w:rsidRPr="00B92FD5">
              <w:rPr>
                <w:lang w:val="es-ES_tradnl" w:eastAsia="es-ES" w:bidi="es-ES"/>
              </w:rPr>
              <w:t>O</w:t>
            </w:r>
            <w:r w:rsidRPr="00B92FD5">
              <w:rPr>
                <w:sz w:val="12"/>
                <w:lang w:val="es-ES_tradnl" w:eastAsia="es-ES" w:bidi="es-ES"/>
              </w:rPr>
              <w:t>3</w:t>
            </w:r>
            <w:r w:rsidRPr="00B92FD5">
              <w:rPr>
                <w:lang w:val="es-ES_tradnl" w:eastAsia="es-ES" w:bidi="es-ES"/>
              </w:rPr>
              <w:t>PS</w:t>
            </w:r>
            <w:r w:rsidRPr="00B92FD5">
              <w:rPr>
                <w:sz w:val="12"/>
                <w:lang w:val="es-ES_tradnl" w:eastAsia="es-ES" w:bidi="es-ES"/>
              </w:rPr>
              <w:t>2</w:t>
            </w:r>
          </w:p>
          <w:p w14:paraId="3FE384F0" w14:textId="77777777" w:rsidR="00114789" w:rsidRPr="00B92FD5" w:rsidRDefault="00114789" w:rsidP="00A642F9">
            <w:pPr>
              <w:spacing w:before="20"/>
              <w:rPr>
                <w:lang w:val="es-ES_tradnl" w:eastAsia="es-ES" w:bidi="es-ES"/>
              </w:rPr>
            </w:pPr>
            <w:r w:rsidRPr="00B92FD5">
              <w:rPr>
                <w:lang w:val="es-ES_tradnl" w:eastAsia="es-ES" w:bidi="es-ES"/>
              </w:rPr>
              <w:t>278,3 g/mol</w:t>
            </w:r>
          </w:p>
        </w:tc>
      </w:tr>
      <w:tr w:rsidR="00114789" w:rsidRPr="00B92FD5" w14:paraId="0FC75068"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6"/>
        </w:trPr>
        <w:tc>
          <w:tcPr>
            <w:tcW w:w="709" w:type="dxa"/>
            <w:tcBorders>
              <w:top w:val="nil"/>
              <w:left w:val="nil"/>
              <w:bottom w:val="nil"/>
              <w:right w:val="nil"/>
            </w:tcBorders>
            <w:shd w:val="clear" w:color="auto" w:fill="auto"/>
          </w:tcPr>
          <w:p w14:paraId="5AC9597D" w14:textId="77777777" w:rsidR="00114789" w:rsidRPr="00B92FD5" w:rsidRDefault="00114789" w:rsidP="00A642F9">
            <w:pPr>
              <w:rPr>
                <w:b/>
                <w:lang w:val="es-ES_tradnl" w:eastAsia="es-ES" w:bidi="es-ES"/>
              </w:rPr>
            </w:pPr>
            <w:r w:rsidRPr="00B92FD5">
              <w:rPr>
                <w:b/>
                <w:lang w:val="es-ES_tradnl" w:eastAsia="es-ES" w:bidi="es-ES"/>
              </w:rPr>
              <w:t>1.4</w:t>
            </w:r>
          </w:p>
        </w:tc>
        <w:tc>
          <w:tcPr>
            <w:tcW w:w="1703" w:type="dxa"/>
            <w:tcBorders>
              <w:top w:val="nil"/>
              <w:left w:val="nil"/>
              <w:bottom w:val="nil"/>
              <w:right w:val="nil"/>
            </w:tcBorders>
            <w:shd w:val="clear" w:color="auto" w:fill="auto"/>
          </w:tcPr>
          <w:p w14:paraId="797AE800" w14:textId="77777777" w:rsidR="00114789" w:rsidRPr="00B92FD5" w:rsidRDefault="00114789" w:rsidP="00A642F9">
            <w:pPr>
              <w:rPr>
                <w:b/>
                <w:lang w:val="es-ES_tradnl" w:eastAsia="es-ES" w:bidi="es-ES"/>
              </w:rPr>
            </w:pPr>
            <w:r w:rsidRPr="00B92FD5">
              <w:rPr>
                <w:b/>
                <w:lang w:val="es-ES_tradnl" w:eastAsia="es-ES" w:bidi="es-ES"/>
              </w:rPr>
              <w:t>Aspecto</w:t>
            </w:r>
          </w:p>
        </w:tc>
        <w:tc>
          <w:tcPr>
            <w:tcW w:w="7086" w:type="dxa"/>
            <w:gridSpan w:val="2"/>
            <w:tcBorders>
              <w:top w:val="nil"/>
              <w:left w:val="nil"/>
              <w:bottom w:val="nil"/>
              <w:right w:val="nil"/>
            </w:tcBorders>
            <w:shd w:val="clear" w:color="auto" w:fill="auto"/>
          </w:tcPr>
          <w:p w14:paraId="7B232ECC" w14:textId="77777777" w:rsidR="00114789" w:rsidRPr="00B92FD5" w:rsidRDefault="00114789" w:rsidP="00A642F9">
            <w:pPr>
              <w:autoSpaceDE w:val="0"/>
              <w:autoSpaceDN w:val="0"/>
              <w:adjustRightInd w:val="0"/>
              <w:spacing w:before="2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puro es un líquido incoloro y prácticamente incoloro. El </w:t>
            </w:r>
            <w:proofErr w:type="spellStart"/>
            <w:r w:rsidRPr="00B92FD5">
              <w:rPr>
                <w:lang w:val="es-ES_tradnl" w:eastAsia="es-ES" w:bidi="es-ES"/>
              </w:rPr>
              <w:t>fentión</w:t>
            </w:r>
            <w:proofErr w:type="spellEnd"/>
            <w:r w:rsidRPr="00B92FD5">
              <w:rPr>
                <w:lang w:val="es-ES_tradnl" w:eastAsia="es-ES" w:bidi="es-ES"/>
              </w:rPr>
              <w:t xml:space="preserve"> técnico es un líquido oleoso amarillo o marrón con un leve olor a ajo.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tc>
      </w:tr>
      <w:tr w:rsidR="00114789" w:rsidRPr="00B92FD5" w14:paraId="088BA5B8"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6C6468D7" w14:textId="77777777" w:rsidR="00114789" w:rsidRPr="00B92FD5" w:rsidRDefault="00114789" w:rsidP="00A642F9">
            <w:pPr>
              <w:rPr>
                <w:b/>
                <w:lang w:val="es-ES_tradnl" w:eastAsia="es-ES" w:bidi="es-ES"/>
              </w:rPr>
            </w:pPr>
            <w:r w:rsidRPr="00B92FD5">
              <w:rPr>
                <w:b/>
                <w:lang w:val="es-ES_tradnl" w:eastAsia="es-ES" w:bidi="es-ES"/>
              </w:rPr>
              <w:t>1.5</w:t>
            </w:r>
          </w:p>
          <w:p w14:paraId="6316EFBF" w14:textId="77777777" w:rsidR="00114789" w:rsidRPr="00B92FD5" w:rsidRDefault="00114789" w:rsidP="00A642F9">
            <w:pPr>
              <w:rPr>
                <w:b/>
                <w:lang w:val="es-ES_tradnl" w:eastAsia="es-ES" w:bidi="es-ES"/>
              </w:rPr>
            </w:pPr>
            <w:r w:rsidRPr="00B92FD5">
              <w:rPr>
                <w:b/>
                <w:lang w:val="es-ES_tradnl" w:eastAsia="es-ES" w:bidi="es-ES"/>
              </w:rPr>
              <w:t>1.6</w:t>
            </w:r>
          </w:p>
          <w:p w14:paraId="01F8651B" w14:textId="77777777" w:rsidR="00114789" w:rsidRPr="00B92FD5" w:rsidRDefault="00114789" w:rsidP="00A642F9">
            <w:pPr>
              <w:rPr>
                <w:b/>
                <w:lang w:val="es-ES_tradnl" w:eastAsia="es-ES" w:bidi="es-ES"/>
              </w:rPr>
            </w:pPr>
            <w:r w:rsidRPr="00B92FD5">
              <w:rPr>
                <w:b/>
                <w:lang w:val="es-ES_tradnl" w:eastAsia="es-ES" w:bidi="es-ES"/>
              </w:rPr>
              <w:t>1.7</w:t>
            </w:r>
          </w:p>
        </w:tc>
        <w:tc>
          <w:tcPr>
            <w:tcW w:w="1703" w:type="dxa"/>
            <w:tcBorders>
              <w:top w:val="nil"/>
              <w:left w:val="nil"/>
              <w:bottom w:val="nil"/>
              <w:right w:val="nil"/>
            </w:tcBorders>
            <w:shd w:val="clear" w:color="auto" w:fill="auto"/>
          </w:tcPr>
          <w:p w14:paraId="314B73CF" w14:textId="77777777" w:rsidR="00114789" w:rsidRPr="00B92FD5" w:rsidRDefault="00114789" w:rsidP="00A642F9">
            <w:pPr>
              <w:rPr>
                <w:b/>
                <w:lang w:val="es-ES_tradnl" w:eastAsia="es-ES" w:bidi="es-ES"/>
              </w:rPr>
            </w:pPr>
            <w:r w:rsidRPr="00B92FD5">
              <w:rPr>
                <w:b/>
                <w:lang w:val="es-ES_tradnl" w:eastAsia="es-ES" w:bidi="es-ES"/>
              </w:rPr>
              <w:t>Densidad</w:t>
            </w:r>
          </w:p>
          <w:p w14:paraId="36A68C1E" w14:textId="77777777" w:rsidR="00114789" w:rsidRPr="00B92FD5" w:rsidRDefault="00114789" w:rsidP="00A642F9">
            <w:pPr>
              <w:rPr>
                <w:b/>
                <w:lang w:val="es-ES_tradnl" w:eastAsia="es-ES" w:bidi="es-ES"/>
              </w:rPr>
            </w:pPr>
            <w:r w:rsidRPr="00B92FD5">
              <w:rPr>
                <w:b/>
                <w:lang w:val="es-ES_tradnl" w:eastAsia="es-ES" w:bidi="es-ES"/>
              </w:rPr>
              <w:t>Punto de fusión</w:t>
            </w:r>
          </w:p>
          <w:p w14:paraId="2E5A230E" w14:textId="77777777" w:rsidR="00114789" w:rsidRPr="00B92FD5" w:rsidRDefault="00114789" w:rsidP="00A642F9">
            <w:pPr>
              <w:rPr>
                <w:rFonts w:eastAsia="Batang"/>
                <w:b/>
                <w:lang w:val="es-ES_tradnl" w:eastAsia="es-ES" w:bidi="es-ES"/>
              </w:rPr>
            </w:pPr>
            <w:r w:rsidRPr="00B92FD5">
              <w:rPr>
                <w:b/>
                <w:lang w:val="es-ES_tradnl" w:eastAsia="es-ES" w:bidi="es-ES"/>
              </w:rPr>
              <w:t>Punto de ebullición</w:t>
            </w:r>
          </w:p>
          <w:p w14:paraId="52FFA6DA" w14:textId="77777777" w:rsidR="00114789" w:rsidRPr="00B92FD5" w:rsidRDefault="00114789" w:rsidP="00A642F9">
            <w:pPr>
              <w:rPr>
                <w:b/>
                <w:lang w:val="es-ES_tradnl" w:eastAsia="es-ES" w:bidi="es-ES"/>
              </w:rPr>
            </w:pPr>
            <w:r w:rsidRPr="00B92FD5">
              <w:rPr>
                <w:b/>
                <w:lang w:val="es-ES_tradnl" w:eastAsia="es-ES" w:bidi="es-ES"/>
              </w:rPr>
              <w:t>Punto de ignición</w:t>
            </w:r>
          </w:p>
        </w:tc>
        <w:tc>
          <w:tcPr>
            <w:tcW w:w="7086" w:type="dxa"/>
            <w:gridSpan w:val="2"/>
            <w:tcBorders>
              <w:top w:val="nil"/>
              <w:left w:val="nil"/>
              <w:bottom w:val="nil"/>
              <w:right w:val="nil"/>
            </w:tcBorders>
            <w:shd w:val="clear" w:color="auto" w:fill="auto"/>
          </w:tcPr>
          <w:p w14:paraId="34B0E013" w14:textId="77777777" w:rsidR="00114789" w:rsidRPr="00B92FD5" w:rsidRDefault="00114789" w:rsidP="00A642F9">
            <w:pPr>
              <w:autoSpaceDE w:val="0"/>
              <w:autoSpaceDN w:val="0"/>
              <w:adjustRightInd w:val="0"/>
              <w:spacing w:before="20"/>
              <w:rPr>
                <w:rFonts w:eastAsia="Batang"/>
                <w:lang w:val="es-ES_tradnl" w:eastAsia="es-ES" w:bidi="es-ES"/>
              </w:rPr>
            </w:pPr>
            <w:r w:rsidRPr="00B92FD5">
              <w:rPr>
                <w:lang w:val="es-ES_tradnl" w:eastAsia="es-ES" w:bidi="es-ES"/>
              </w:rPr>
              <w:t>1,250 g/cm</w:t>
            </w:r>
            <w:r w:rsidRPr="00B92FD5">
              <w:rPr>
                <w:vertAlign w:val="superscript"/>
                <w:lang w:val="es-ES_tradnl" w:eastAsia="es-ES" w:bidi="es-ES"/>
              </w:rPr>
              <w:t>3</w:t>
            </w:r>
            <w:r w:rsidRPr="00B92FD5">
              <w:rPr>
                <w:lang w:val="es-ES_tradnl" w:eastAsia="es-ES" w:bidi="es-ES"/>
              </w:rPr>
              <w:t xml:space="preserve"> (a 20°C / 4°C)</w:t>
            </w:r>
          </w:p>
          <w:p w14:paraId="0090FB71" w14:textId="77777777" w:rsidR="00114789" w:rsidRPr="00B92FD5" w:rsidRDefault="00114789" w:rsidP="00A642F9">
            <w:pPr>
              <w:spacing w:before="20"/>
              <w:rPr>
                <w:rFonts w:eastAsia="Batang"/>
                <w:lang w:val="es-ES_tradnl" w:eastAsia="es-ES" w:bidi="es-ES"/>
              </w:rPr>
            </w:pPr>
            <w:r w:rsidRPr="00B92FD5">
              <w:rPr>
                <w:lang w:val="es-ES_tradnl" w:eastAsia="es-ES" w:bidi="es-ES"/>
              </w:rPr>
              <w:t>7°C, 280 K, 45°F</w:t>
            </w:r>
          </w:p>
          <w:p w14:paraId="550ADCEA" w14:textId="77777777" w:rsidR="00114789" w:rsidRPr="00B92FD5" w:rsidRDefault="00114789" w:rsidP="00A642F9">
            <w:pPr>
              <w:spacing w:before="20"/>
              <w:rPr>
                <w:rFonts w:eastAsia="Batang"/>
                <w:lang w:val="es-ES_tradnl" w:eastAsia="es-ES" w:bidi="es-ES"/>
              </w:rPr>
            </w:pPr>
            <w:r w:rsidRPr="00B92FD5">
              <w:rPr>
                <w:lang w:val="es-ES_tradnl" w:eastAsia="es-ES" w:bidi="es-ES"/>
              </w:rPr>
              <w:t xml:space="preserve">87°C, 360 K, 189°F (a 0,01 </w:t>
            </w:r>
            <w:proofErr w:type="spellStart"/>
            <w:r w:rsidRPr="00B92FD5">
              <w:rPr>
                <w:lang w:val="es-ES_tradnl" w:eastAsia="es-ES" w:bidi="es-ES"/>
              </w:rPr>
              <w:t>mmHg</w:t>
            </w:r>
            <w:proofErr w:type="spellEnd"/>
            <w:r w:rsidRPr="00B92FD5">
              <w:rPr>
                <w:lang w:val="es-ES_tradnl" w:eastAsia="es-ES" w:bidi="es-ES"/>
              </w:rPr>
              <w:t>)</w:t>
            </w:r>
          </w:p>
          <w:p w14:paraId="1CC9E610" w14:textId="77777777" w:rsidR="00114789" w:rsidRPr="00B92FD5" w:rsidRDefault="00114789" w:rsidP="00A642F9">
            <w:pPr>
              <w:spacing w:before="20"/>
              <w:rPr>
                <w:lang w:val="es-ES_tradnl" w:eastAsia="es-ES" w:bidi="es-ES"/>
              </w:rPr>
            </w:pPr>
            <w:r w:rsidRPr="00B92FD5">
              <w:rPr>
                <w:lang w:val="es-ES_tradnl" w:eastAsia="es-ES" w:bidi="es-ES"/>
              </w:rPr>
              <w:t>&gt;82°C, 180°F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tc>
      </w:tr>
      <w:tr w:rsidR="00114789" w:rsidRPr="00ED5AB4" w14:paraId="6368AF7A"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70613645" w14:textId="77777777" w:rsidR="00114789" w:rsidRPr="00B92FD5" w:rsidRDefault="00114789" w:rsidP="00A642F9">
            <w:pPr>
              <w:rPr>
                <w:b/>
                <w:lang w:val="es-ES_tradnl" w:eastAsia="es-ES" w:bidi="es-ES"/>
              </w:rPr>
            </w:pPr>
            <w:r w:rsidRPr="00B92FD5">
              <w:rPr>
                <w:b/>
                <w:lang w:val="es-ES_tradnl" w:eastAsia="es-ES" w:bidi="es-ES"/>
              </w:rPr>
              <w:t>1.8</w:t>
            </w:r>
          </w:p>
        </w:tc>
        <w:tc>
          <w:tcPr>
            <w:tcW w:w="1703" w:type="dxa"/>
            <w:tcBorders>
              <w:top w:val="nil"/>
              <w:left w:val="nil"/>
              <w:bottom w:val="nil"/>
              <w:right w:val="nil"/>
            </w:tcBorders>
            <w:shd w:val="clear" w:color="auto" w:fill="auto"/>
          </w:tcPr>
          <w:p w14:paraId="5C6BD845"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Solubilidad</w:t>
            </w:r>
          </w:p>
        </w:tc>
        <w:tc>
          <w:tcPr>
            <w:tcW w:w="7086" w:type="dxa"/>
            <w:gridSpan w:val="2"/>
            <w:tcBorders>
              <w:top w:val="nil"/>
              <w:left w:val="nil"/>
              <w:bottom w:val="nil"/>
              <w:right w:val="nil"/>
            </w:tcBorders>
            <w:shd w:val="clear" w:color="auto" w:fill="auto"/>
          </w:tcPr>
          <w:p w14:paraId="3054BBCA" w14:textId="77777777" w:rsidR="00114789" w:rsidRPr="00B92FD5" w:rsidRDefault="00114789" w:rsidP="00A642F9">
            <w:pPr>
              <w:autoSpaceDE w:val="0"/>
              <w:autoSpaceDN w:val="0"/>
              <w:adjustRightInd w:val="0"/>
              <w:spacing w:before="20"/>
              <w:rPr>
                <w:lang w:val="es-ES_tradnl" w:eastAsia="es-ES" w:bidi="es-ES"/>
              </w:rPr>
            </w:pPr>
            <w:r w:rsidRPr="00B92FD5">
              <w:rPr>
                <w:lang w:val="es-ES_tradnl" w:eastAsia="es-ES" w:bidi="es-ES"/>
              </w:rPr>
              <w:t>en agua: 4,2 mg/l (a 20°C)</w:t>
            </w:r>
          </w:p>
          <w:p w14:paraId="3DB4FD5D" w14:textId="77777777" w:rsidR="00114789" w:rsidRPr="00B92FD5" w:rsidRDefault="00114789" w:rsidP="00A642F9">
            <w:pPr>
              <w:autoSpaceDE w:val="0"/>
              <w:autoSpaceDN w:val="0"/>
              <w:adjustRightInd w:val="0"/>
              <w:spacing w:before="20"/>
              <w:rPr>
                <w:lang w:val="es-ES_tradnl" w:eastAsia="es-ES" w:bidi="es-ES"/>
              </w:rPr>
            </w:pPr>
            <w:r w:rsidRPr="00B92FD5">
              <w:rPr>
                <w:lang w:val="es-ES_tradnl" w:eastAsia="es-ES" w:bidi="es-ES"/>
              </w:rPr>
              <w:t xml:space="preserve">en aceites glicéridos, metanol, etanol, éter, acetona, y la mayoría de solventes orgánicos, especialmente hidrocarburos clorados: soluble (FAO 2004) </w:t>
            </w:r>
          </w:p>
        </w:tc>
      </w:tr>
      <w:tr w:rsidR="00114789" w:rsidRPr="00B92FD5" w14:paraId="76492DF9"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4220BB3B" w14:textId="77777777" w:rsidR="00114789" w:rsidRPr="00B92FD5" w:rsidRDefault="00114789" w:rsidP="00A642F9">
            <w:pPr>
              <w:rPr>
                <w:b/>
                <w:lang w:val="es-ES_tradnl" w:eastAsia="es-ES" w:bidi="es-ES"/>
              </w:rPr>
            </w:pPr>
            <w:r w:rsidRPr="00B92FD5">
              <w:rPr>
                <w:b/>
                <w:lang w:val="es-ES_tradnl" w:eastAsia="es-ES" w:bidi="es-ES"/>
              </w:rPr>
              <w:t>1.9</w:t>
            </w:r>
          </w:p>
        </w:tc>
        <w:tc>
          <w:tcPr>
            <w:tcW w:w="1703" w:type="dxa"/>
            <w:tcBorders>
              <w:top w:val="nil"/>
              <w:left w:val="nil"/>
              <w:bottom w:val="nil"/>
              <w:right w:val="nil"/>
            </w:tcBorders>
            <w:shd w:val="clear" w:color="auto" w:fill="auto"/>
          </w:tcPr>
          <w:p w14:paraId="7CBB8D16" w14:textId="77777777" w:rsidR="00114789" w:rsidRPr="00B92FD5" w:rsidRDefault="00114789" w:rsidP="00A642F9">
            <w:pPr>
              <w:spacing w:before="20" w:after="20"/>
              <w:outlineLvl w:val="2"/>
              <w:rPr>
                <w:rFonts w:eastAsia="Batang"/>
                <w:b/>
                <w:lang w:val="es-ES_tradnl" w:eastAsia="es-ES" w:bidi="es-ES"/>
              </w:rPr>
            </w:pPr>
            <w:r w:rsidRPr="00B92FD5">
              <w:rPr>
                <w:b/>
                <w:lang w:val="es-ES_tradnl" w:eastAsia="es-ES" w:bidi="es-ES"/>
              </w:rPr>
              <w:t>Presión de vapor</w:t>
            </w:r>
          </w:p>
        </w:tc>
        <w:tc>
          <w:tcPr>
            <w:tcW w:w="7086" w:type="dxa"/>
            <w:gridSpan w:val="2"/>
            <w:tcBorders>
              <w:top w:val="nil"/>
              <w:left w:val="nil"/>
              <w:bottom w:val="nil"/>
              <w:right w:val="nil"/>
            </w:tcBorders>
            <w:shd w:val="clear" w:color="auto" w:fill="auto"/>
          </w:tcPr>
          <w:p w14:paraId="42209036" w14:textId="77777777" w:rsidR="00114789" w:rsidRPr="00B92FD5" w:rsidRDefault="00114789" w:rsidP="00A642F9">
            <w:pPr>
              <w:autoSpaceDE w:val="0"/>
              <w:autoSpaceDN w:val="0"/>
              <w:adjustRightInd w:val="0"/>
              <w:spacing w:before="20"/>
              <w:rPr>
                <w:rFonts w:eastAsia="Batang"/>
                <w:lang w:val="es-ES_tradnl" w:eastAsia="es-ES" w:bidi="es-ES"/>
              </w:rPr>
            </w:pPr>
            <w:r w:rsidRPr="00B92FD5">
              <w:rPr>
                <w:lang w:val="es-ES_tradnl" w:eastAsia="es-ES" w:bidi="es-ES"/>
              </w:rPr>
              <w:t>7,4 x 10</w:t>
            </w:r>
            <w:r w:rsidRPr="00B92FD5">
              <w:rPr>
                <w:vertAlign w:val="superscript"/>
                <w:lang w:val="es-ES_tradnl" w:eastAsia="es-ES" w:bidi="es-ES"/>
              </w:rPr>
              <w:t>-4</w:t>
            </w:r>
            <w:r w:rsidRPr="00B92FD5">
              <w:rPr>
                <w:lang w:val="es-ES_tradnl" w:eastAsia="es-ES" w:bidi="es-ES"/>
              </w:rPr>
              <w:t xml:space="preserve"> </w:t>
            </w:r>
            <w:proofErr w:type="spellStart"/>
            <w:r w:rsidRPr="00B92FD5">
              <w:rPr>
                <w:lang w:val="es-ES_tradnl" w:eastAsia="es-ES" w:bidi="es-ES"/>
              </w:rPr>
              <w:t>Pa</w:t>
            </w:r>
            <w:proofErr w:type="spellEnd"/>
            <w:r w:rsidRPr="00B92FD5">
              <w:rPr>
                <w:lang w:val="es-ES_tradnl" w:eastAsia="es-ES" w:bidi="es-ES"/>
              </w:rPr>
              <w:t xml:space="preserve"> a 20°C, extrapolado, pureza 99,</w:t>
            </w:r>
            <w:proofErr w:type="gramStart"/>
            <w:r w:rsidRPr="00B92FD5">
              <w:rPr>
                <w:lang w:val="es-ES_tradnl" w:eastAsia="es-ES" w:bidi="es-ES"/>
              </w:rPr>
              <w:t>7  %</w:t>
            </w:r>
            <w:proofErr w:type="gramEnd"/>
            <w:r w:rsidRPr="00B92FD5">
              <w:rPr>
                <w:lang w:val="es-ES_tradnl" w:eastAsia="es-ES" w:bidi="es-ES"/>
              </w:rPr>
              <w:t xml:space="preserve"> p/p (FAO 2004)</w:t>
            </w:r>
          </w:p>
        </w:tc>
      </w:tr>
      <w:tr w:rsidR="00114789" w:rsidRPr="00B92FD5" w14:paraId="6A73C750" w14:textId="77777777" w:rsidTr="00A642F9">
        <w:tblPrEx>
          <w:tblBorders>
            <w:top w:val="single" w:sz="6" w:space="0" w:color="C0C0C0"/>
            <w:left w:val="single" w:sz="6" w:space="0" w:color="C0C0C0"/>
            <w:bottom w:val="single" w:sz="6" w:space="0" w:color="C0C0C0"/>
            <w:right w:val="single" w:sz="6" w:space="0" w:color="C0C0C0"/>
          </w:tblBorders>
        </w:tblPrEx>
        <w:tc>
          <w:tcPr>
            <w:tcW w:w="9498" w:type="dxa"/>
            <w:gridSpan w:val="4"/>
            <w:tcBorders>
              <w:top w:val="nil"/>
              <w:left w:val="nil"/>
              <w:bottom w:val="nil"/>
              <w:right w:val="nil"/>
            </w:tcBorders>
            <w:shd w:val="clear" w:color="auto" w:fill="auto"/>
          </w:tcPr>
          <w:p w14:paraId="707598CC" w14:textId="77777777" w:rsidR="00114789" w:rsidRPr="00B92FD5" w:rsidRDefault="00114789" w:rsidP="00A642F9">
            <w:pPr>
              <w:rPr>
                <w:lang w:val="es-ES_tradnl" w:eastAsia="es-ES" w:bidi="es-ES"/>
              </w:rPr>
            </w:pPr>
          </w:p>
        </w:tc>
      </w:tr>
      <w:tr w:rsidR="00114789" w:rsidRPr="00B92FD5" w14:paraId="4AC89118" w14:textId="77777777" w:rsidTr="00A642F9">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single" w:sz="4" w:space="0" w:color="auto"/>
              <w:right w:val="nil"/>
            </w:tcBorders>
            <w:shd w:val="clear" w:color="auto" w:fill="auto"/>
          </w:tcPr>
          <w:p w14:paraId="76B235FB" w14:textId="77777777" w:rsidR="00114789" w:rsidRPr="00B92FD5" w:rsidRDefault="00114789" w:rsidP="00A642F9">
            <w:pPr>
              <w:keepNext/>
              <w:spacing w:before="40" w:after="60"/>
              <w:outlineLvl w:val="0"/>
              <w:rPr>
                <w:b/>
                <w:bCs/>
                <w:kern w:val="28"/>
                <w:szCs w:val="24"/>
                <w:lang w:val="es-ES_tradnl" w:eastAsia="es-ES" w:bidi="es-ES"/>
              </w:rPr>
            </w:pPr>
            <w:r w:rsidRPr="00B92FD5">
              <w:rPr>
                <w:b/>
                <w:kern w:val="28"/>
                <w:lang w:val="es-ES_tradnl" w:eastAsia="es-ES" w:bidi="es-ES"/>
              </w:rPr>
              <w:t>2</w:t>
            </w:r>
          </w:p>
        </w:tc>
        <w:tc>
          <w:tcPr>
            <w:tcW w:w="8789" w:type="dxa"/>
            <w:gridSpan w:val="3"/>
            <w:tcBorders>
              <w:top w:val="nil"/>
              <w:left w:val="nil"/>
              <w:bottom w:val="single" w:sz="4" w:space="0" w:color="auto"/>
              <w:right w:val="nil"/>
            </w:tcBorders>
            <w:shd w:val="clear" w:color="auto" w:fill="auto"/>
          </w:tcPr>
          <w:p w14:paraId="2DCDC9EF" w14:textId="77777777" w:rsidR="00114789" w:rsidRPr="00B92FD5" w:rsidRDefault="00114789" w:rsidP="00A642F9">
            <w:pPr>
              <w:keepNext/>
              <w:spacing w:before="40" w:after="60"/>
              <w:outlineLvl w:val="0"/>
              <w:rPr>
                <w:b/>
                <w:bCs/>
                <w:kern w:val="28"/>
                <w:szCs w:val="24"/>
                <w:lang w:val="es-ES_tradnl" w:eastAsia="es-ES" w:bidi="es-ES"/>
              </w:rPr>
            </w:pPr>
            <w:r w:rsidRPr="00B92FD5">
              <w:rPr>
                <w:b/>
                <w:kern w:val="28"/>
                <w:lang w:val="es-ES_tradnl" w:eastAsia="es-ES" w:bidi="es-ES"/>
              </w:rPr>
              <w:t xml:space="preserve">Propiedades toxicológicas </w:t>
            </w:r>
          </w:p>
        </w:tc>
      </w:tr>
      <w:tr w:rsidR="00114789" w:rsidRPr="00B92FD5" w14:paraId="16C1DFF1"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0B731333" w14:textId="77777777" w:rsidR="00114789" w:rsidRPr="00B92FD5" w:rsidRDefault="00114789" w:rsidP="00A642F9">
            <w:pPr>
              <w:spacing w:after="60"/>
              <w:rPr>
                <w:b/>
                <w:bCs/>
                <w:color w:val="000000"/>
                <w:lang w:val="es-ES_tradnl" w:eastAsia="es-ES" w:bidi="es-ES"/>
              </w:rPr>
            </w:pPr>
            <w:r w:rsidRPr="00B92FD5">
              <w:rPr>
                <w:b/>
                <w:color w:val="000000"/>
                <w:lang w:val="es-ES_tradnl" w:eastAsia="es-ES" w:bidi="es-ES"/>
              </w:rPr>
              <w:t>2.1</w:t>
            </w:r>
          </w:p>
        </w:tc>
        <w:tc>
          <w:tcPr>
            <w:tcW w:w="1703" w:type="dxa"/>
            <w:tcBorders>
              <w:top w:val="nil"/>
              <w:left w:val="nil"/>
              <w:bottom w:val="nil"/>
              <w:right w:val="nil"/>
            </w:tcBorders>
            <w:shd w:val="clear" w:color="auto" w:fill="auto"/>
          </w:tcPr>
          <w:p w14:paraId="58B437F5"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 xml:space="preserve">General </w:t>
            </w:r>
          </w:p>
        </w:tc>
        <w:tc>
          <w:tcPr>
            <w:tcW w:w="6993" w:type="dxa"/>
            <w:tcBorders>
              <w:top w:val="nil"/>
              <w:left w:val="nil"/>
              <w:bottom w:val="nil"/>
              <w:right w:val="nil"/>
            </w:tcBorders>
            <w:shd w:val="clear" w:color="auto" w:fill="auto"/>
          </w:tcPr>
          <w:p w14:paraId="14D3A732" w14:textId="77777777" w:rsidR="00114789" w:rsidRPr="00B92FD5" w:rsidRDefault="00114789" w:rsidP="00A642F9">
            <w:pPr>
              <w:spacing w:after="40"/>
              <w:rPr>
                <w:lang w:val="es-ES_tradnl" w:eastAsia="es-ES" w:bidi="es-ES"/>
              </w:rPr>
            </w:pPr>
          </w:p>
        </w:tc>
      </w:tr>
      <w:tr w:rsidR="00114789" w:rsidRPr="00ED5AB4" w14:paraId="1E8470D4"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26B8CB90" w14:textId="77777777" w:rsidR="00114789" w:rsidRPr="00B92FD5" w:rsidRDefault="00114789" w:rsidP="00A642F9">
            <w:pPr>
              <w:rPr>
                <w:b/>
                <w:lang w:val="es-ES_tradnl" w:eastAsia="es-ES" w:bidi="es-ES"/>
              </w:rPr>
            </w:pPr>
            <w:r w:rsidRPr="00B92FD5">
              <w:rPr>
                <w:b/>
                <w:lang w:val="es-ES_tradnl" w:eastAsia="es-ES" w:bidi="es-ES"/>
              </w:rPr>
              <w:t>2.1.1</w:t>
            </w:r>
          </w:p>
        </w:tc>
        <w:tc>
          <w:tcPr>
            <w:tcW w:w="1703" w:type="dxa"/>
            <w:tcBorders>
              <w:top w:val="nil"/>
              <w:left w:val="nil"/>
              <w:bottom w:val="nil"/>
              <w:right w:val="nil"/>
            </w:tcBorders>
            <w:shd w:val="clear" w:color="auto" w:fill="auto"/>
          </w:tcPr>
          <w:p w14:paraId="1A6610D5" w14:textId="77777777" w:rsidR="00114789" w:rsidRPr="00B92FD5" w:rsidRDefault="00114789" w:rsidP="00A642F9">
            <w:pPr>
              <w:rPr>
                <w:b/>
                <w:bCs/>
                <w:lang w:val="es-ES_tradnl" w:eastAsia="es-ES" w:bidi="es-ES"/>
              </w:rPr>
            </w:pPr>
            <w:r w:rsidRPr="00B92FD5">
              <w:rPr>
                <w:b/>
                <w:lang w:val="es-ES_tradnl" w:eastAsia="es-ES" w:bidi="es-ES"/>
              </w:rPr>
              <w:t>Modo de acción</w:t>
            </w:r>
          </w:p>
        </w:tc>
        <w:tc>
          <w:tcPr>
            <w:tcW w:w="6993" w:type="dxa"/>
            <w:tcBorders>
              <w:top w:val="nil"/>
              <w:left w:val="nil"/>
              <w:bottom w:val="nil"/>
              <w:right w:val="nil"/>
            </w:tcBorders>
            <w:shd w:val="clear" w:color="auto" w:fill="auto"/>
          </w:tcPr>
          <w:p w14:paraId="58A073B9" w14:textId="77777777" w:rsidR="00114789" w:rsidRPr="00B92FD5" w:rsidRDefault="00114789" w:rsidP="00A642F9">
            <w:pPr>
              <w:spacing w:before="20" w:after="40"/>
              <w:rPr>
                <w:lang w:val="es-ES_tradnl" w:eastAsia="es-ES" w:bidi="es-ES"/>
              </w:rPr>
            </w:pPr>
            <w:r w:rsidRPr="00B92FD5">
              <w:rPr>
                <w:lang w:val="es-ES_tradnl" w:eastAsia="es-ES" w:bidi="es-ES"/>
              </w:rPr>
              <w:t>Inhibición de colinesterasa después de conversión en el análogo oxigenado más tóxico en el cuerpo (Hojas de datos sobre plaguicidas No. 23, PISSQ)</w:t>
            </w:r>
          </w:p>
        </w:tc>
      </w:tr>
      <w:tr w:rsidR="00114789" w:rsidRPr="00ED5AB4" w14:paraId="21244B47"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59E928B7" w14:textId="77777777" w:rsidR="00114789" w:rsidRPr="00B92FD5" w:rsidRDefault="00114789" w:rsidP="00A642F9">
            <w:pPr>
              <w:rPr>
                <w:b/>
                <w:lang w:val="es-ES_tradnl" w:eastAsia="es-ES" w:bidi="es-ES"/>
              </w:rPr>
            </w:pPr>
            <w:r w:rsidRPr="00B92FD5">
              <w:rPr>
                <w:b/>
                <w:lang w:val="es-ES_tradnl" w:eastAsia="es-ES" w:bidi="es-ES"/>
              </w:rPr>
              <w:t>2.1.2</w:t>
            </w:r>
          </w:p>
        </w:tc>
        <w:tc>
          <w:tcPr>
            <w:tcW w:w="1703" w:type="dxa"/>
            <w:tcBorders>
              <w:top w:val="nil"/>
              <w:left w:val="nil"/>
              <w:bottom w:val="nil"/>
              <w:right w:val="nil"/>
            </w:tcBorders>
            <w:shd w:val="clear" w:color="auto" w:fill="auto"/>
          </w:tcPr>
          <w:p w14:paraId="60CBDB0E" w14:textId="77777777" w:rsidR="00114789" w:rsidRPr="00B92FD5" w:rsidRDefault="00114789" w:rsidP="00A642F9">
            <w:pPr>
              <w:rPr>
                <w:b/>
                <w:bCs/>
                <w:lang w:val="es-ES_tradnl" w:eastAsia="es-ES" w:bidi="es-ES"/>
              </w:rPr>
            </w:pPr>
            <w:r w:rsidRPr="00B92FD5">
              <w:rPr>
                <w:b/>
                <w:lang w:val="es-ES_tradnl" w:eastAsia="es-ES" w:bidi="es-ES"/>
              </w:rPr>
              <w:t>Síntomas de envenenamiento</w:t>
            </w:r>
          </w:p>
        </w:tc>
        <w:tc>
          <w:tcPr>
            <w:tcW w:w="6993" w:type="dxa"/>
            <w:tcBorders>
              <w:top w:val="nil"/>
              <w:left w:val="nil"/>
              <w:bottom w:val="nil"/>
              <w:right w:val="nil"/>
            </w:tcBorders>
            <w:shd w:val="clear" w:color="auto" w:fill="auto"/>
          </w:tcPr>
          <w:p w14:paraId="079F9B7B" w14:textId="77777777" w:rsidR="00114789" w:rsidRPr="00B92FD5" w:rsidRDefault="00114789" w:rsidP="003F3C32">
            <w:pPr>
              <w:autoSpaceDE w:val="0"/>
              <w:autoSpaceDN w:val="0"/>
              <w:adjustRightInd w:val="0"/>
              <w:spacing w:before="20" w:after="12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es moderadamente tóxico por ingesta, inhalación o absorción por vía dérmica. Afecta los sistemas nervioso central, cardiovascular y respiratorio y puede producir irritación en los ojos y membranas mucosas. Como sucede con todos los organofosforados, el </w:t>
            </w:r>
            <w:proofErr w:type="spellStart"/>
            <w:r w:rsidRPr="00B92FD5">
              <w:rPr>
                <w:lang w:val="es-ES_tradnl" w:eastAsia="es-ES" w:bidi="es-ES"/>
              </w:rPr>
              <w:t>fentión</w:t>
            </w:r>
            <w:proofErr w:type="spellEnd"/>
            <w:r w:rsidRPr="00B92FD5">
              <w:rPr>
                <w:lang w:val="es-ES_tradnl" w:eastAsia="es-ES" w:bidi="es-ES"/>
              </w:rPr>
              <w:t xml:space="preserve"> se absorbe fácilmente por vía dérmica. Si bien los síntomas de envenenamiento pueden ser más tardíos en los animales, en los casos de envenenamiento de seres humanos, los síntomas suelen ser inmediatos. Las muertes se deben principalmente a insuficiencia respiratoria. Se conocen varios casos de envenenamiento intencional o accidental por ingesta y/o exposición de la piel.</w:t>
            </w:r>
          </w:p>
          <w:p w14:paraId="099B95AD" w14:textId="77777777" w:rsidR="00114789" w:rsidRPr="00B92FD5" w:rsidRDefault="00114789" w:rsidP="003F3C32">
            <w:pPr>
              <w:autoSpaceDE w:val="0"/>
              <w:autoSpaceDN w:val="0"/>
              <w:adjustRightInd w:val="0"/>
              <w:spacing w:before="20" w:after="40"/>
              <w:rPr>
                <w:lang w:val="es-ES_tradnl" w:eastAsia="es-ES" w:bidi="es-ES"/>
              </w:rPr>
            </w:pPr>
            <w:r w:rsidRPr="00B92FD5">
              <w:rPr>
                <w:lang w:val="es-ES_tradnl" w:eastAsia="es-ES" w:bidi="es-ES"/>
              </w:rPr>
              <w:t xml:space="preserve">Los insecticidas organofosforados son inhibidores de colinesterasa. Son muy tóxicos a través de todas las vías de exposición. Cuando se inhalan, los primeros efectos suelen ser respiratorios; pueden incluir sangrado nasal o rinorrea, tos, molestia torácica, dificultades para respirar o falta de aire y sibilancia debida a la constricción o exceso de fluido en los tubos bronquiales. El contacto de la piel con los organofosforados puede causar sudoración y contracciones musculares involuntarias. El contacto con los ojos causa dolor, sangrado, lágrimas, constricción de las pupilas y visión borrosa. Después de la exposición por cualquier vía, los efectos sistémicos pueden iniciarse a los pocos minutos o retrasarse hasta unas 12 horas. Estos pueden incluir: palidez, náuseas, vómitos, diarrea, cólicos abdominales, cefalea, mareos, dolor en los ojos, visión borrosa, constricción o dilatación de las pupilas, lágrimas, salivación, sudoración y confusión. El envenenamiento grave afectará el sistema nervioso central, produciendo falta de coordinación, dificultad para hablar, pérdida de reflejos, debilidad, fatiga, contracción muscular involuntaria, temblores musculares, temblores de la lengua o de los párpados y, finalmente, parálisis de las extremidades y los músculos respiratorios. En casos graves también puede existir incontinencia fecal o enuresis, psicosis, ritmo cardíaco irregular, inconsciencia, convulsiones y coma. La muerte puede ser causada por insuficiencia respiratoria o paro cardíaco (UNEP/FAO/RC/CRC.9/4/Add.2, fuente: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p w14:paraId="47329D03" w14:textId="77777777" w:rsidR="00114789" w:rsidRPr="00B92FD5" w:rsidRDefault="00114789" w:rsidP="003F3C32">
            <w:pPr>
              <w:spacing w:before="20" w:after="20"/>
              <w:rPr>
                <w:lang w:val="es-ES_tradnl" w:eastAsia="es-ES" w:bidi="es-ES"/>
              </w:rPr>
            </w:pPr>
            <w:r w:rsidRPr="00B92FD5">
              <w:rPr>
                <w:lang w:val="es-ES_tradnl" w:eastAsia="es-ES" w:bidi="es-ES"/>
              </w:rPr>
              <w:t xml:space="preserve">El envenenamiento ocurre cuando la inhibición de la colinesterasa lleva a la acumulación de acetilcolina en las sinapsis nerviosas, lo que causa efectos en el sistema muscarínico y nicotínico y en el sistema nervioso central. Los síntomas de envenenamiento son agudos pero más tarde también pueden ser causados por una acumulación de acetilcolina. El envenenamiento se caracteriza por miosis, hipersecreción, náuseas, vómitos, diarrea, dolor abdominal, constricción bronquial, depresión respiratoria y temblores musculares. El tratamiento consiste en mejorar la oxigenación de los tejidos y en la administración de atropina intravenosa. (UNEP/FAO/RC/CRC.9/4/Add.2, p. 186, fuente: </w:t>
            </w:r>
            <w:proofErr w:type="spellStart"/>
            <w:r w:rsidRPr="00B92FD5">
              <w:rPr>
                <w:lang w:val="es-ES_tradnl" w:eastAsia="es-ES" w:bidi="es-ES"/>
              </w:rPr>
              <w:t>Haavik</w:t>
            </w:r>
            <w:proofErr w:type="spellEnd"/>
            <w:r w:rsidRPr="00B92FD5">
              <w:rPr>
                <w:lang w:val="es-ES_tradnl" w:eastAsia="es-ES" w:bidi="es-ES"/>
              </w:rPr>
              <w:t xml:space="preserve"> TK - </w:t>
            </w:r>
            <w:proofErr w:type="spellStart"/>
            <w:r w:rsidRPr="00B92FD5">
              <w:rPr>
                <w:lang w:val="es-ES_tradnl" w:eastAsia="es-ES" w:bidi="es-ES"/>
              </w:rPr>
              <w:t>Ihlen</w:t>
            </w:r>
            <w:proofErr w:type="spellEnd"/>
            <w:r w:rsidRPr="00B92FD5">
              <w:rPr>
                <w:lang w:val="es-ES_tradnl" w:eastAsia="es-ES" w:bidi="es-ES"/>
              </w:rPr>
              <w:t xml:space="preserve"> H (1974): </w:t>
            </w:r>
            <w:proofErr w:type="spellStart"/>
            <w:r w:rsidRPr="00B92FD5">
              <w:rPr>
                <w:lang w:val="es-ES_tradnl" w:eastAsia="es-ES" w:bidi="es-ES"/>
              </w:rPr>
              <w:t>Alkyl</w:t>
            </w:r>
            <w:proofErr w:type="spellEnd"/>
            <w:r w:rsidRPr="00B92FD5">
              <w:rPr>
                <w:lang w:val="es-ES_tradnl" w:eastAsia="es-ES" w:bidi="es-ES"/>
              </w:rPr>
              <w:t xml:space="preserve"> </w:t>
            </w:r>
            <w:proofErr w:type="spellStart"/>
            <w:r w:rsidRPr="00B92FD5">
              <w:rPr>
                <w:lang w:val="es-ES_tradnl" w:eastAsia="es-ES" w:bidi="es-ES"/>
              </w:rPr>
              <w:t>phosphate</w:t>
            </w:r>
            <w:proofErr w:type="spellEnd"/>
            <w:r w:rsidRPr="00B92FD5">
              <w:rPr>
                <w:lang w:val="es-ES_tradnl" w:eastAsia="es-ES" w:bidi="es-ES"/>
              </w:rPr>
              <w:t xml:space="preserve"> </w:t>
            </w:r>
            <w:proofErr w:type="spellStart"/>
            <w:r w:rsidRPr="00B92FD5">
              <w:rPr>
                <w:lang w:val="es-ES_tradnl" w:eastAsia="es-ES" w:bidi="es-ES"/>
              </w:rPr>
              <w:t>poisoning</w:t>
            </w:r>
            <w:proofErr w:type="spellEnd"/>
            <w:r w:rsidRPr="00B92FD5">
              <w:rPr>
                <w:lang w:val="es-ES_tradnl" w:eastAsia="es-ES" w:bidi="es-ES"/>
              </w:rPr>
              <w:t xml:space="preserve">. A case of </w:t>
            </w:r>
            <w:proofErr w:type="spellStart"/>
            <w:r w:rsidRPr="00B92FD5">
              <w:rPr>
                <w:lang w:val="es-ES_tradnl" w:eastAsia="es-ES" w:bidi="es-ES"/>
              </w:rPr>
              <w:t>Lebaycid</w:t>
            </w:r>
            <w:proofErr w:type="spellEnd"/>
            <w:r w:rsidRPr="00B92FD5">
              <w:rPr>
                <w:lang w:val="es-ES_tradnl" w:eastAsia="es-ES" w:bidi="es-ES"/>
              </w:rPr>
              <w:t xml:space="preserve"> (</w:t>
            </w:r>
            <w:proofErr w:type="spellStart"/>
            <w:r w:rsidRPr="00B92FD5">
              <w:rPr>
                <w:lang w:val="es-ES_tradnl" w:eastAsia="es-ES" w:bidi="es-ES"/>
              </w:rPr>
              <w:t>Fenthion</w:t>
            </w:r>
            <w:proofErr w:type="spellEnd"/>
            <w:r w:rsidRPr="00B92FD5">
              <w:rPr>
                <w:lang w:val="es-ES_tradnl" w:eastAsia="es-ES" w:bidi="es-ES"/>
              </w:rPr>
              <w:t xml:space="preserve">) </w:t>
            </w:r>
            <w:proofErr w:type="spellStart"/>
            <w:r w:rsidRPr="00B92FD5">
              <w:rPr>
                <w:lang w:val="es-ES_tradnl" w:eastAsia="es-ES" w:bidi="es-ES"/>
              </w:rPr>
              <w:t>poisoning</w:t>
            </w:r>
            <w:proofErr w:type="spellEnd"/>
            <w:r w:rsidRPr="00B92FD5">
              <w:rPr>
                <w:lang w:val="es-ES_tradnl" w:eastAsia="es-ES" w:bidi="es-ES"/>
              </w:rPr>
              <w:t xml:space="preserve">. </w:t>
            </w:r>
            <w:proofErr w:type="spellStart"/>
            <w:r w:rsidRPr="00B92FD5">
              <w:rPr>
                <w:lang w:val="es-ES_tradnl" w:eastAsia="es-ES" w:bidi="es-ES"/>
              </w:rPr>
              <w:t>Nor</w:t>
            </w:r>
            <w:proofErr w:type="spellEnd"/>
            <w:r w:rsidRPr="00B92FD5">
              <w:rPr>
                <w:lang w:val="es-ES_tradnl" w:eastAsia="es-ES" w:bidi="es-ES"/>
              </w:rPr>
              <w:t xml:space="preserve"> </w:t>
            </w:r>
            <w:proofErr w:type="spellStart"/>
            <w:r w:rsidRPr="00B92FD5">
              <w:rPr>
                <w:lang w:val="es-ES_tradnl" w:eastAsia="es-ES" w:bidi="es-ES"/>
              </w:rPr>
              <w:t>Laegeforen</w:t>
            </w:r>
            <w:proofErr w:type="spellEnd"/>
            <w:r w:rsidRPr="00B92FD5">
              <w:rPr>
                <w:lang w:val="es-ES_tradnl" w:eastAsia="es-ES" w:bidi="es-ES"/>
              </w:rPr>
              <w:t xml:space="preserve"> (94(19):1251-3, 1974 Jul 10).</w:t>
            </w:r>
          </w:p>
          <w:p w14:paraId="52BC3D0F" w14:textId="77777777" w:rsidR="00114789" w:rsidRPr="00B92FD5" w:rsidRDefault="00114789" w:rsidP="00A642F9">
            <w:pPr>
              <w:spacing w:before="20"/>
              <w:rPr>
                <w:lang w:val="es-ES_tradnl" w:eastAsia="es-ES" w:bidi="es-ES"/>
              </w:rPr>
            </w:pPr>
            <w:r w:rsidRPr="00B92FD5">
              <w:rPr>
                <w:lang w:val="es-ES_tradnl" w:eastAsia="es-ES" w:bidi="es-ES"/>
              </w:rPr>
              <w:t>Se ha probado que la ingesta es una causa importante de envenenamiento grave con este compuesto. También puede absorberse por vía dérmica y por inhalación de partículas de polvo.</w:t>
            </w:r>
          </w:p>
          <w:p w14:paraId="1A7F4FC7" w14:textId="77777777" w:rsidR="00114789" w:rsidRPr="00B92FD5" w:rsidRDefault="00114789" w:rsidP="00A642F9">
            <w:pPr>
              <w:spacing w:before="2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se ha utilizado ampliamente en muchos lugares del mundo para el control de plagas domésticas y de mosquitos. Veintisiete de 28 trabajadores que fumigaron </w:t>
            </w:r>
            <w:proofErr w:type="spellStart"/>
            <w:r w:rsidRPr="00B92FD5">
              <w:rPr>
                <w:lang w:val="es-ES_tradnl" w:eastAsia="es-ES" w:bidi="es-ES"/>
              </w:rPr>
              <w:t>fentión</w:t>
            </w:r>
            <w:proofErr w:type="spellEnd"/>
            <w:r w:rsidRPr="00B92FD5">
              <w:rPr>
                <w:lang w:val="es-ES_tradnl" w:eastAsia="es-ES" w:bidi="es-ES"/>
              </w:rPr>
              <w:t xml:space="preserve"> como una aplicación residual en un lugar cerrado durante 15 días, en un ensayo de control de paludismo, sin tomar las precauciones adecuadas, demostraron varios grados de envenenamiento. Los síntomas comprendían: cefalea, vértigo, visión borrosa, dolores musculares y abdominales, calambres, diarrea y vómitos prolongados. Se observó una reducción muy grave de la actividad de la colinesterasa en sangre y todavía seguía siendo reducida un mes después de haber finalizado la fumigación. Sin embargo, en una segunda fumigación más restringida, realizada tomando precauciones más estrictas, solo uno de los 12 hombres mostró síntomas leves. En operaciones de eliminación de larvas de mosquitos, se encontró un promedio de exposición dérmica de 3,6 mg/h tanto con pulverizadores a motor o manuales y 12,3 mg/h usando formulación granular dispersada a mano. Algunos trabajadores mostraron depresión en la colinesterasa plasmática, pero en ningún caso se encontró depresión de la colinesterasa eritrocitaria. (UNEP/FAO/RC/CRC.9/4/Add.2, fuente: HOJAS DE DATOS SOBRE PLAGUICIDAS Núm. 23, PISSQ).</w:t>
            </w:r>
          </w:p>
        </w:tc>
      </w:tr>
      <w:tr w:rsidR="00114789" w:rsidRPr="00ED5AB4" w14:paraId="3319BB8B"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0868AF4C" w14:textId="77777777" w:rsidR="00114789" w:rsidRPr="00B92FD5" w:rsidRDefault="00114789" w:rsidP="00A642F9">
            <w:pPr>
              <w:spacing w:after="40"/>
              <w:rPr>
                <w:lang w:val="es-ES_tradnl" w:eastAsia="es-ES" w:bidi="es-ES"/>
              </w:rPr>
            </w:pPr>
          </w:p>
        </w:tc>
      </w:tr>
      <w:tr w:rsidR="00114789" w:rsidRPr="00ED5AB4" w14:paraId="17B1CCDF"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7D3CA187" w14:textId="77777777" w:rsidR="00114789" w:rsidRPr="00B92FD5" w:rsidRDefault="00114789" w:rsidP="00A642F9">
            <w:pPr>
              <w:rPr>
                <w:b/>
                <w:lang w:val="es-ES_tradnl" w:eastAsia="es-ES" w:bidi="es-ES"/>
              </w:rPr>
            </w:pPr>
            <w:r w:rsidRPr="00B92FD5">
              <w:rPr>
                <w:b/>
                <w:lang w:val="es-ES_tradnl" w:eastAsia="es-ES" w:bidi="es-ES"/>
              </w:rPr>
              <w:t>2.1.3</w:t>
            </w:r>
          </w:p>
        </w:tc>
        <w:tc>
          <w:tcPr>
            <w:tcW w:w="1703" w:type="dxa"/>
            <w:tcBorders>
              <w:top w:val="nil"/>
              <w:left w:val="nil"/>
              <w:bottom w:val="nil"/>
              <w:right w:val="nil"/>
            </w:tcBorders>
            <w:shd w:val="clear" w:color="auto" w:fill="auto"/>
          </w:tcPr>
          <w:p w14:paraId="1A0DB6AD" w14:textId="77777777" w:rsidR="00114789" w:rsidRPr="00B92FD5" w:rsidRDefault="00114789" w:rsidP="00A642F9">
            <w:pPr>
              <w:rPr>
                <w:b/>
                <w:bCs/>
                <w:lang w:val="es-ES_tradnl" w:eastAsia="es-ES" w:bidi="es-ES"/>
              </w:rPr>
            </w:pPr>
            <w:r w:rsidRPr="00B92FD5">
              <w:rPr>
                <w:b/>
                <w:lang w:val="es-ES_tradnl" w:eastAsia="es-ES" w:bidi="es-ES"/>
              </w:rPr>
              <w:t>Absorción, distribución, excreción y metabolismo en mamíferos</w:t>
            </w:r>
          </w:p>
        </w:tc>
        <w:tc>
          <w:tcPr>
            <w:tcW w:w="6993" w:type="dxa"/>
            <w:tcBorders>
              <w:top w:val="nil"/>
              <w:left w:val="nil"/>
              <w:bottom w:val="nil"/>
              <w:right w:val="nil"/>
            </w:tcBorders>
            <w:shd w:val="clear" w:color="auto" w:fill="auto"/>
          </w:tcPr>
          <w:p w14:paraId="1B25BD6D" w14:textId="77777777" w:rsidR="00114789" w:rsidRPr="00B92FD5" w:rsidRDefault="00114789" w:rsidP="003F3C32">
            <w:pPr>
              <w:autoSpaceDE w:val="0"/>
              <w:autoSpaceDN w:val="0"/>
              <w:adjustRightInd w:val="0"/>
              <w:spacing w:after="40"/>
              <w:rPr>
                <w:lang w:val="es-ES_tradnl" w:eastAsia="es-ES" w:bidi="es-ES"/>
              </w:rPr>
            </w:pPr>
            <w:r w:rsidRPr="00B92FD5">
              <w:rPr>
                <w:lang w:val="es-ES_tradnl" w:eastAsia="es-ES" w:bidi="es-ES"/>
              </w:rPr>
              <w:t xml:space="preserve">Se absorbe a través de la piel intacta, del tracto gastrointestinal y también por inhalación. Inhibición de colinesterasa después de conversión en el análogo oxigenado más tóxico en el cuerpo. </w:t>
            </w:r>
          </w:p>
          <w:p w14:paraId="11E0C961" w14:textId="77777777" w:rsidR="00114789" w:rsidRPr="00B92FD5" w:rsidRDefault="00114789" w:rsidP="00A642F9">
            <w:pPr>
              <w:autoSpaceDE w:val="0"/>
              <w:autoSpaceDN w:val="0"/>
              <w:adjustRightInd w:val="0"/>
              <w:rPr>
                <w:lang w:val="es-ES_tradnl" w:eastAsia="es-ES" w:bidi="es-ES"/>
              </w:rPr>
            </w:pPr>
            <w:r w:rsidRPr="00B92FD5">
              <w:rPr>
                <w:lang w:val="es-ES_tradnl" w:eastAsia="es-ES" w:bidi="es-ES"/>
              </w:rPr>
              <w:t xml:space="preserve">En ratas, el 86 % de una dosis oral se elimina en siete días (orina 45 % y heces 40 %). Los metabolitos incluyen la sulfona y el </w:t>
            </w:r>
            <w:proofErr w:type="spellStart"/>
            <w:r w:rsidRPr="00B92FD5">
              <w:rPr>
                <w:lang w:val="es-ES_tradnl" w:eastAsia="es-ES" w:bidi="es-ES"/>
              </w:rPr>
              <w:t>sulfóxido</w:t>
            </w:r>
            <w:proofErr w:type="spellEnd"/>
            <w:r w:rsidRPr="00B92FD5">
              <w:rPr>
                <w:lang w:val="es-ES_tradnl" w:eastAsia="es-ES" w:bidi="es-ES"/>
              </w:rPr>
              <w:t xml:space="preserve"> tanto del compuesto primario como de su análogo oxigenado.</w:t>
            </w:r>
          </w:p>
          <w:p w14:paraId="779A4C5A" w14:textId="77777777" w:rsidR="00114789" w:rsidRPr="00B92FD5" w:rsidRDefault="00114789" w:rsidP="00A642F9">
            <w:pPr>
              <w:spacing w:before="120" w:after="120"/>
              <w:rPr>
                <w:lang w:val="es-ES_tradnl" w:eastAsia="es-ES" w:bidi="es-ES"/>
              </w:rPr>
            </w:pPr>
            <w:r w:rsidRPr="00B92FD5">
              <w:rPr>
                <w:lang w:val="es-ES_tradnl" w:eastAsia="es-ES" w:bidi="es-ES"/>
              </w:rPr>
              <w:t xml:space="preserve">En los animales, el </w:t>
            </w:r>
            <w:proofErr w:type="spellStart"/>
            <w:r w:rsidRPr="00B92FD5">
              <w:rPr>
                <w:lang w:val="es-ES_tradnl" w:eastAsia="es-ES" w:bidi="es-ES"/>
              </w:rPr>
              <w:t>fentión</w:t>
            </w:r>
            <w:proofErr w:type="spellEnd"/>
            <w:r w:rsidRPr="00B92FD5">
              <w:rPr>
                <w:lang w:val="es-ES_tradnl" w:eastAsia="es-ES" w:bidi="es-ES"/>
              </w:rPr>
              <w:t xml:space="preserve"> se absorbe rápidamente hacia el torrente sanguíneo a través del tracto digestivo, los pulmones y la piel y luego se degrada. Sus productos de degradación se eliminan por orina y heces en un lapso de tres días. Una dosis única de insecticida tiene acción prolongada, lo que indica que buena parte de él se almacena y luego se libera al metabolismo. El </w:t>
            </w:r>
            <w:proofErr w:type="spellStart"/>
            <w:r w:rsidRPr="00B92FD5">
              <w:rPr>
                <w:lang w:val="es-ES_tradnl" w:eastAsia="es-ES" w:bidi="es-ES"/>
              </w:rPr>
              <w:t>fentión</w:t>
            </w:r>
            <w:proofErr w:type="spellEnd"/>
            <w:r w:rsidRPr="00B92FD5">
              <w:rPr>
                <w:lang w:val="es-ES_tradnl" w:eastAsia="es-ES" w:bidi="es-ES"/>
              </w:rPr>
              <w:t xml:space="preserve"> tiene propiedades 'lipofílicas' y tiende a depositarse en el tejido graso. Se encontraron </w:t>
            </w:r>
            <w:proofErr w:type="spellStart"/>
            <w:r w:rsidRPr="00B92FD5">
              <w:rPr>
                <w:lang w:val="es-ES_tradnl" w:eastAsia="es-ES" w:bidi="es-ES"/>
              </w:rPr>
              <w:t>fentión</w:t>
            </w:r>
            <w:proofErr w:type="spellEnd"/>
            <w:r w:rsidRPr="00B92FD5">
              <w:rPr>
                <w:lang w:val="es-ES_tradnl" w:eastAsia="es-ES" w:bidi="es-ES"/>
              </w:rPr>
              <w:t xml:space="preserve"> y sus metabolitos en grasa de novillos sacrificados tres días después de la aplicación de </w:t>
            </w:r>
            <w:proofErr w:type="spellStart"/>
            <w:r w:rsidRPr="00B92FD5">
              <w:rPr>
                <w:lang w:val="es-ES_tradnl" w:eastAsia="es-ES" w:bidi="es-ES"/>
              </w:rPr>
              <w:t>fentión</w:t>
            </w:r>
            <w:proofErr w:type="spellEnd"/>
            <w:r w:rsidRPr="00B92FD5">
              <w:rPr>
                <w:lang w:val="es-ES_tradnl" w:eastAsia="es-ES" w:bidi="es-ES"/>
              </w:rPr>
              <w:t xml:space="preserve"> por piel. Cuando se aplicaron por piel a vacas 9 mg de </w:t>
            </w:r>
            <w:proofErr w:type="spellStart"/>
            <w:r w:rsidRPr="00B92FD5">
              <w:rPr>
                <w:lang w:val="es-ES_tradnl" w:eastAsia="es-ES" w:bidi="es-ES"/>
              </w:rPr>
              <w:t>fentión</w:t>
            </w:r>
            <w:proofErr w:type="spellEnd"/>
            <w:r w:rsidRPr="00B92FD5">
              <w:rPr>
                <w:lang w:val="es-ES_tradnl" w:eastAsia="es-ES" w:bidi="es-ES"/>
              </w:rPr>
              <w:t xml:space="preserve"> con marcado radioactivo por kilo, entre el 45 % y el 55 % de la dosis se excretó en la orina, entre el 2 % y el 2,5 % en las heces y entre el 1,5 % y el 2 % se recuperó en la leche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p w14:paraId="757008C9" w14:textId="77777777" w:rsidR="00114789" w:rsidRPr="00B92FD5" w:rsidRDefault="00114789" w:rsidP="00A642F9">
            <w:pPr>
              <w:rPr>
                <w:lang w:val="es-ES_tradnl" w:eastAsia="es-ES" w:bidi="es-ES"/>
              </w:rPr>
            </w:pPr>
            <w:r w:rsidRPr="00B92FD5">
              <w:rPr>
                <w:lang w:val="es-ES_tradnl" w:eastAsia="es-ES" w:bidi="es-ES"/>
              </w:rPr>
              <w:t xml:space="preserve">Las pautas de absorción, distribución, metabolismo y eliminación del </w:t>
            </w:r>
            <w:proofErr w:type="spellStart"/>
            <w:r w:rsidRPr="00B92FD5">
              <w:rPr>
                <w:lang w:val="es-ES_tradnl" w:eastAsia="es-ES" w:bidi="es-ES"/>
              </w:rPr>
              <w:t>fentión</w:t>
            </w:r>
            <w:proofErr w:type="spellEnd"/>
            <w:r w:rsidRPr="00B92FD5">
              <w:rPr>
                <w:lang w:val="es-ES_tradnl" w:eastAsia="es-ES" w:bidi="es-ES"/>
              </w:rPr>
              <w:t xml:space="preserve"> administrado son ampliamente comparables entre ratas, cerdos, vacas y cabras. La absorción es rápida luego de exposición por cualquier vía; la distribución es amplia, especialmente en depósitos de lípidos; el compuesto es ampliamente metabolizado y puede generar intermediarios activos </w:t>
            </w:r>
            <w:proofErr w:type="spellStart"/>
            <w:r w:rsidRPr="00B92FD5">
              <w:rPr>
                <w:lang w:val="es-ES_tradnl" w:eastAsia="es-ES" w:bidi="es-ES"/>
              </w:rPr>
              <w:t>anticolinesterasa</w:t>
            </w:r>
            <w:proofErr w:type="spellEnd"/>
            <w:r w:rsidRPr="00B92FD5">
              <w:rPr>
                <w:lang w:val="es-ES_tradnl" w:eastAsia="es-ES" w:bidi="es-ES"/>
              </w:rPr>
              <w:t xml:space="preserve">; la eliminación es prácticamente completa. Los residuos en tejidos fueron bajos en todas las especies. </w:t>
            </w:r>
          </w:p>
          <w:p w14:paraId="660DFD08" w14:textId="77777777" w:rsidR="00114789" w:rsidRPr="00B92FD5" w:rsidRDefault="00114789" w:rsidP="00A642F9">
            <w:pPr>
              <w:rPr>
                <w:lang w:val="es-ES_tradnl" w:eastAsia="es-ES" w:bidi="es-ES"/>
              </w:rPr>
            </w:pPr>
            <w:r w:rsidRPr="00B92FD5">
              <w:rPr>
                <w:lang w:val="es-ES_tradnl" w:eastAsia="es-ES" w:bidi="es-ES"/>
              </w:rPr>
              <w:t xml:space="preserve">El metabolismo del </w:t>
            </w:r>
            <w:proofErr w:type="spellStart"/>
            <w:r w:rsidRPr="00B92FD5">
              <w:rPr>
                <w:lang w:val="es-ES_tradnl" w:eastAsia="es-ES" w:bidi="es-ES"/>
              </w:rPr>
              <w:t>fentión</w:t>
            </w:r>
            <w:proofErr w:type="spellEnd"/>
            <w:r w:rsidRPr="00B92FD5">
              <w:rPr>
                <w:lang w:val="es-ES_tradnl" w:eastAsia="es-ES" w:bidi="es-ES"/>
              </w:rPr>
              <w:t xml:space="preserve"> generalmente comienza con la desulfuración de la porción éster-</w:t>
            </w:r>
            <w:proofErr w:type="spellStart"/>
            <w:r w:rsidRPr="00B92FD5">
              <w:rPr>
                <w:lang w:val="es-ES_tradnl" w:eastAsia="es-ES" w:bidi="es-ES"/>
              </w:rPr>
              <w:t>tiosfosfórico</w:t>
            </w:r>
            <w:proofErr w:type="spellEnd"/>
            <w:r w:rsidRPr="00B92FD5">
              <w:rPr>
                <w:lang w:val="es-ES_tradnl" w:eastAsia="es-ES" w:bidi="es-ES"/>
              </w:rPr>
              <w:t xml:space="preserve"> del </w:t>
            </w:r>
            <w:proofErr w:type="spellStart"/>
            <w:r w:rsidRPr="00B92FD5">
              <w:rPr>
                <w:lang w:val="es-ES_tradnl" w:eastAsia="es-ES" w:bidi="es-ES"/>
              </w:rPr>
              <w:t>fentión</w:t>
            </w:r>
            <w:proofErr w:type="spellEnd"/>
            <w:r w:rsidRPr="00B92FD5">
              <w:rPr>
                <w:lang w:val="es-ES_tradnl" w:eastAsia="es-ES" w:bidi="es-ES"/>
              </w:rPr>
              <w:t xml:space="preserve"> (PS) para producir el análogo </w:t>
            </w:r>
            <w:proofErr w:type="spellStart"/>
            <w:r w:rsidRPr="00B92FD5">
              <w:rPr>
                <w:lang w:val="es-ES_tradnl" w:eastAsia="es-ES" w:bidi="es-ES"/>
              </w:rPr>
              <w:t>fosfooxonado</w:t>
            </w:r>
            <w:proofErr w:type="spellEnd"/>
            <w:r w:rsidRPr="00B92FD5">
              <w:rPr>
                <w:lang w:val="es-ES_tradnl" w:eastAsia="es-ES" w:bidi="es-ES"/>
              </w:rPr>
              <w:t xml:space="preserve"> (</w:t>
            </w:r>
            <w:proofErr w:type="spellStart"/>
            <w:r w:rsidRPr="00B92FD5">
              <w:rPr>
                <w:lang w:val="es-ES_tradnl" w:eastAsia="es-ES" w:bidi="es-ES"/>
              </w:rPr>
              <w:t>fentoxón</w:t>
            </w:r>
            <w:proofErr w:type="spellEnd"/>
            <w:r w:rsidRPr="00B92FD5">
              <w:rPr>
                <w:lang w:val="es-ES_tradnl" w:eastAsia="es-ES" w:bidi="es-ES"/>
              </w:rPr>
              <w:t xml:space="preserve">; POS). </w:t>
            </w:r>
          </w:p>
          <w:p w14:paraId="41B0F90B" w14:textId="77777777" w:rsidR="00114789" w:rsidRPr="00B92FD5" w:rsidRDefault="00114789" w:rsidP="00A642F9">
            <w:pPr>
              <w:rPr>
                <w:lang w:val="es-ES_tradnl" w:eastAsia="es-ES" w:bidi="es-ES"/>
              </w:rPr>
            </w:pPr>
          </w:p>
          <w:p w14:paraId="3D4EEC5E" w14:textId="77777777" w:rsidR="00114789" w:rsidRPr="00B92FD5" w:rsidRDefault="00114789" w:rsidP="00A642F9">
            <w:pPr>
              <w:rPr>
                <w:lang w:val="es-ES_tradnl" w:eastAsia="es-ES" w:bidi="es-ES"/>
              </w:rPr>
            </w:pPr>
            <w:r w:rsidRPr="00B92FD5">
              <w:rPr>
                <w:lang w:val="es-ES_tradnl" w:eastAsia="es-ES" w:bidi="es-ES"/>
              </w:rPr>
              <w:t xml:space="preserve">Tanto el </w:t>
            </w:r>
            <w:proofErr w:type="spellStart"/>
            <w:r w:rsidRPr="00B92FD5">
              <w:rPr>
                <w:lang w:val="es-ES_tradnl" w:eastAsia="es-ES" w:bidi="es-ES"/>
              </w:rPr>
              <w:t>fentión</w:t>
            </w:r>
            <w:proofErr w:type="spellEnd"/>
            <w:r w:rsidRPr="00B92FD5">
              <w:rPr>
                <w:lang w:val="es-ES_tradnl" w:eastAsia="es-ES" w:bidi="es-ES"/>
              </w:rPr>
              <w:t xml:space="preserve"> como el </w:t>
            </w:r>
            <w:proofErr w:type="spellStart"/>
            <w:r w:rsidRPr="00B92FD5">
              <w:rPr>
                <w:lang w:val="es-ES_tradnl" w:eastAsia="es-ES" w:bidi="es-ES"/>
              </w:rPr>
              <w:t>fentoxón</w:t>
            </w:r>
            <w:proofErr w:type="spellEnd"/>
            <w:r w:rsidRPr="00B92FD5">
              <w:rPr>
                <w:lang w:val="es-ES_tradnl" w:eastAsia="es-ES" w:bidi="es-ES"/>
              </w:rPr>
              <w:t xml:space="preserve"> pueden ser oxidados a sus </w:t>
            </w:r>
            <w:proofErr w:type="spellStart"/>
            <w:r w:rsidRPr="00B92FD5">
              <w:rPr>
                <w:lang w:val="es-ES_tradnl" w:eastAsia="es-ES" w:bidi="es-ES"/>
              </w:rPr>
              <w:t>sulfóxidos</w:t>
            </w:r>
            <w:proofErr w:type="spellEnd"/>
            <w:r w:rsidRPr="00B92FD5">
              <w:rPr>
                <w:lang w:val="es-ES_tradnl" w:eastAsia="es-ES" w:bidi="es-ES"/>
              </w:rPr>
              <w:t xml:space="preserve"> correspondientes (PSSO, POSO) y sulfonas (PSSO</w:t>
            </w:r>
            <w:r w:rsidRPr="00B92FD5">
              <w:rPr>
                <w:vertAlign w:val="subscript"/>
                <w:lang w:val="es-ES_tradnl" w:eastAsia="es-ES" w:bidi="es-ES"/>
              </w:rPr>
              <w:t>2</w:t>
            </w:r>
            <w:r w:rsidRPr="00B92FD5">
              <w:rPr>
                <w:lang w:val="es-ES_tradnl" w:eastAsia="es-ES" w:bidi="es-ES"/>
              </w:rPr>
              <w:t>, POSO</w:t>
            </w:r>
            <w:r w:rsidRPr="00B92FD5">
              <w:rPr>
                <w:vertAlign w:val="subscript"/>
                <w:lang w:val="es-ES_tradnl" w:eastAsia="es-ES" w:bidi="es-ES"/>
              </w:rPr>
              <w:t>2</w:t>
            </w:r>
            <w:r w:rsidRPr="00B92FD5">
              <w:rPr>
                <w:lang w:val="es-ES_tradnl" w:eastAsia="es-ES" w:bidi="es-ES"/>
              </w:rPr>
              <w:t>) por oxidación del grupo -SCH</w:t>
            </w:r>
            <w:r w:rsidRPr="00B92FD5">
              <w:rPr>
                <w:vertAlign w:val="subscript"/>
                <w:lang w:val="es-ES_tradnl" w:eastAsia="es-ES" w:bidi="es-ES"/>
              </w:rPr>
              <w:t>3</w:t>
            </w:r>
            <w:r w:rsidRPr="00B92FD5">
              <w:rPr>
                <w:lang w:val="es-ES_tradnl" w:eastAsia="es-ES" w:bidi="es-ES"/>
              </w:rPr>
              <w:t xml:space="preserve"> anular. Se pueden formar metabolitos sucesivos por desmetilación de uno de los dos grupos </w:t>
            </w:r>
            <w:proofErr w:type="spellStart"/>
            <w:r w:rsidRPr="00B92FD5">
              <w:rPr>
                <w:lang w:val="es-ES_tradnl" w:eastAsia="es-ES" w:bidi="es-ES"/>
              </w:rPr>
              <w:t>oximetilos</w:t>
            </w:r>
            <w:proofErr w:type="spellEnd"/>
            <w:r w:rsidRPr="00B92FD5">
              <w:rPr>
                <w:lang w:val="es-ES_tradnl" w:eastAsia="es-ES" w:bidi="es-ES"/>
              </w:rPr>
              <w:t xml:space="preserve">. La hidrólisis del enlace P-O anular lleva a la pérdida de la entidad OP y da lugar a un “fenol” de </w:t>
            </w:r>
            <w:proofErr w:type="spellStart"/>
            <w:r w:rsidRPr="00B92FD5">
              <w:rPr>
                <w:lang w:val="es-ES_tradnl" w:eastAsia="es-ES" w:bidi="es-ES"/>
              </w:rPr>
              <w:t>fentión</w:t>
            </w:r>
            <w:proofErr w:type="spellEnd"/>
            <w:r w:rsidRPr="00B92FD5">
              <w:rPr>
                <w:lang w:val="es-ES_tradnl" w:eastAsia="es-ES" w:bidi="es-ES"/>
              </w:rPr>
              <w:t xml:space="preserve"> (</w:t>
            </w:r>
            <w:proofErr w:type="spellStart"/>
            <w:r w:rsidRPr="00B92FD5">
              <w:rPr>
                <w:lang w:val="es-ES_tradnl" w:eastAsia="es-ES" w:bidi="es-ES"/>
              </w:rPr>
              <w:t>PhS</w:t>
            </w:r>
            <w:proofErr w:type="spellEnd"/>
            <w:r w:rsidRPr="00B92FD5">
              <w:rPr>
                <w:lang w:val="es-ES_tradnl" w:eastAsia="es-ES" w:bidi="es-ES"/>
              </w:rPr>
              <w:t xml:space="preserve">) que también puede ser oxidado al </w:t>
            </w:r>
            <w:proofErr w:type="spellStart"/>
            <w:r w:rsidRPr="00B92FD5">
              <w:rPr>
                <w:lang w:val="es-ES_tradnl" w:eastAsia="es-ES" w:bidi="es-ES"/>
              </w:rPr>
              <w:t>sulfóxido</w:t>
            </w:r>
            <w:proofErr w:type="spellEnd"/>
            <w:r w:rsidRPr="00B92FD5">
              <w:rPr>
                <w:lang w:val="es-ES_tradnl" w:eastAsia="es-ES" w:bidi="es-ES"/>
              </w:rPr>
              <w:t xml:space="preserve"> (</w:t>
            </w:r>
            <w:proofErr w:type="spellStart"/>
            <w:r w:rsidRPr="00B92FD5">
              <w:rPr>
                <w:lang w:val="es-ES_tradnl" w:eastAsia="es-ES" w:bidi="es-ES"/>
              </w:rPr>
              <w:t>PhSO</w:t>
            </w:r>
            <w:proofErr w:type="spellEnd"/>
            <w:r w:rsidRPr="00B92FD5">
              <w:rPr>
                <w:lang w:val="es-ES_tradnl" w:eastAsia="es-ES" w:bidi="es-ES"/>
              </w:rPr>
              <w:t>) o sulfona (PhSO</w:t>
            </w:r>
            <w:r w:rsidRPr="00B92FD5">
              <w:rPr>
                <w:vertAlign w:val="subscript"/>
                <w:lang w:val="es-ES_tradnl" w:eastAsia="es-ES" w:bidi="es-ES"/>
              </w:rPr>
              <w:t>2</w:t>
            </w:r>
            <w:r w:rsidRPr="00B92FD5">
              <w:rPr>
                <w:lang w:val="es-ES_tradnl" w:eastAsia="es-ES" w:bidi="es-ES"/>
              </w:rPr>
              <w:t xml:space="preserve">) correspondiente. El análogo oxigenado del </w:t>
            </w:r>
            <w:proofErr w:type="spellStart"/>
            <w:r w:rsidRPr="00B92FD5">
              <w:rPr>
                <w:lang w:val="es-ES_tradnl" w:eastAsia="es-ES" w:bidi="es-ES"/>
              </w:rPr>
              <w:t>fentión</w:t>
            </w:r>
            <w:proofErr w:type="spellEnd"/>
            <w:r w:rsidRPr="00B92FD5">
              <w:rPr>
                <w:lang w:val="es-ES_tradnl" w:eastAsia="es-ES" w:bidi="es-ES"/>
              </w:rPr>
              <w:t xml:space="preserve"> y sus derivados </w:t>
            </w:r>
            <w:proofErr w:type="spellStart"/>
            <w:r w:rsidRPr="00B92FD5">
              <w:rPr>
                <w:lang w:val="es-ES_tradnl" w:eastAsia="es-ES" w:bidi="es-ES"/>
              </w:rPr>
              <w:t>sulfóxido</w:t>
            </w:r>
            <w:proofErr w:type="spellEnd"/>
            <w:r w:rsidRPr="00B92FD5">
              <w:rPr>
                <w:lang w:val="es-ES_tradnl" w:eastAsia="es-ES" w:bidi="es-ES"/>
              </w:rPr>
              <w:t xml:space="preserve"> y sulfona suelen reconocerse como los metabolitos activos principales, más que el propio </w:t>
            </w:r>
            <w:proofErr w:type="spellStart"/>
            <w:r w:rsidRPr="00B92FD5">
              <w:rPr>
                <w:lang w:val="es-ES_tradnl" w:eastAsia="es-ES" w:bidi="es-ES"/>
              </w:rPr>
              <w:t>fentión</w:t>
            </w:r>
            <w:proofErr w:type="spellEnd"/>
            <w:r w:rsidRPr="00B92FD5">
              <w:rPr>
                <w:lang w:val="es-ES_tradnl" w:eastAsia="es-ES" w:bidi="es-ES"/>
              </w:rPr>
              <w:t>.</w:t>
            </w:r>
          </w:p>
          <w:p w14:paraId="17CEB608" w14:textId="77777777" w:rsidR="00114789" w:rsidRPr="00B92FD5" w:rsidRDefault="00114789" w:rsidP="00A642F9">
            <w:pPr>
              <w:spacing w:before="120"/>
              <w:rPr>
                <w:lang w:val="es-ES_tradnl" w:eastAsia="es-ES" w:bidi="es-ES"/>
              </w:rPr>
            </w:pPr>
            <w:r w:rsidRPr="00B92FD5">
              <w:rPr>
                <w:lang w:val="es-ES_tradnl" w:eastAsia="es-ES" w:bidi="es-ES"/>
              </w:rPr>
              <w:t xml:space="preserve">La administración de </w:t>
            </w:r>
            <w:proofErr w:type="spellStart"/>
            <w:r w:rsidRPr="00B92FD5">
              <w:rPr>
                <w:lang w:val="es-ES_tradnl" w:eastAsia="es-ES" w:bidi="es-ES"/>
              </w:rPr>
              <w:t>fentión</w:t>
            </w:r>
            <w:proofErr w:type="spellEnd"/>
            <w:r w:rsidRPr="00B92FD5">
              <w:rPr>
                <w:lang w:val="es-ES_tradnl" w:eastAsia="es-ES" w:bidi="es-ES"/>
              </w:rPr>
              <w:t xml:space="preserve"> por vía oral, dérmica, subcutánea o intraperitoneal a varias especies (rata, cerdo, vaca, cabra y conejos) generó una pauta comparable de absorción y metabolismo en todos los animales. Las dosis únicas se absorben rápidamente con todas las vías de administración y se excretan rápidamente en la orina (aproximadamente el 90 %) y heces. Por ejemplo, en varios estudios con ratas tratadas con </w:t>
            </w:r>
            <w:proofErr w:type="spellStart"/>
            <w:r w:rsidRPr="00B92FD5">
              <w:rPr>
                <w:lang w:val="es-ES_tradnl" w:eastAsia="es-ES" w:bidi="es-ES"/>
              </w:rPr>
              <w:t>fentión</w:t>
            </w:r>
            <w:proofErr w:type="spellEnd"/>
            <w:r w:rsidRPr="00B92FD5">
              <w:rPr>
                <w:lang w:val="es-ES_tradnl" w:eastAsia="es-ES" w:bidi="es-ES"/>
              </w:rPr>
              <w:t xml:space="preserve"> marcado con C</w:t>
            </w:r>
            <w:r w:rsidRPr="00B92FD5">
              <w:rPr>
                <w:vertAlign w:val="superscript"/>
                <w:lang w:val="es-ES_tradnl" w:eastAsia="es-ES" w:bidi="es-ES"/>
              </w:rPr>
              <w:t>14</w:t>
            </w:r>
            <w:r w:rsidRPr="00B92FD5">
              <w:rPr>
                <w:lang w:val="es-ES_tradnl" w:eastAsia="es-ES" w:bidi="es-ES"/>
              </w:rPr>
              <w:t xml:space="preserve">, ya sea con administración oral o intravenosa, no se encontraron diferencias importantes en los perfiles de metabolitos teniendo en cuenta las siguientes variables: vía de administración, dosis, sexo y tratamiento previo de 14 días con </w:t>
            </w:r>
            <w:proofErr w:type="spellStart"/>
            <w:r w:rsidRPr="00B92FD5">
              <w:rPr>
                <w:lang w:val="es-ES_tradnl" w:eastAsia="es-ES" w:bidi="es-ES"/>
              </w:rPr>
              <w:t>fentión</w:t>
            </w:r>
            <w:proofErr w:type="spellEnd"/>
            <w:r w:rsidRPr="00B92FD5">
              <w:rPr>
                <w:lang w:val="es-ES_tradnl" w:eastAsia="es-ES" w:bidi="es-ES"/>
              </w:rPr>
              <w:t xml:space="preserve"> no marcado. No se detectó compuesto primario sin cambios en orina y muy poco (&lt;2 %) en heces. Se identificaron 14 metabolitos de excreción urinaria que recuperan entre el 93 % y el 96 % de la marca total. Los principales grupos de metabolitos (correspondientes al 60 % de la marca total) se componen de los tres fenol </w:t>
            </w:r>
            <w:proofErr w:type="spellStart"/>
            <w:r w:rsidRPr="00B92FD5">
              <w:rPr>
                <w:lang w:val="es-ES_tradnl" w:eastAsia="es-ES" w:bidi="es-ES"/>
              </w:rPr>
              <w:t>tioésteres</w:t>
            </w:r>
            <w:proofErr w:type="spellEnd"/>
            <w:r w:rsidRPr="00B92FD5">
              <w:rPr>
                <w:lang w:val="es-ES_tradnl" w:eastAsia="es-ES" w:bidi="es-ES"/>
              </w:rPr>
              <w:t xml:space="preserve"> resultantes de la hidrólisis del grupo OP (fenol </w:t>
            </w:r>
            <w:proofErr w:type="spellStart"/>
            <w:r w:rsidRPr="00B92FD5">
              <w:rPr>
                <w:lang w:val="es-ES_tradnl" w:eastAsia="es-ES" w:bidi="es-ES"/>
              </w:rPr>
              <w:t>fentión</w:t>
            </w:r>
            <w:proofErr w:type="spellEnd"/>
            <w:r w:rsidRPr="00B92FD5">
              <w:rPr>
                <w:lang w:val="es-ES_tradnl" w:eastAsia="es-ES" w:bidi="es-ES"/>
              </w:rPr>
              <w:t xml:space="preserve">, fenol </w:t>
            </w:r>
            <w:proofErr w:type="spellStart"/>
            <w:r w:rsidRPr="00B92FD5">
              <w:rPr>
                <w:lang w:val="es-ES_tradnl" w:eastAsia="es-ES" w:bidi="es-ES"/>
              </w:rPr>
              <w:t>sulfóxido</w:t>
            </w:r>
            <w:proofErr w:type="spellEnd"/>
            <w:r w:rsidRPr="00B92FD5">
              <w:rPr>
                <w:lang w:val="es-ES_tradnl" w:eastAsia="es-ES" w:bidi="es-ES"/>
              </w:rPr>
              <w:t xml:space="preserve"> y fenol sulfona) y sus conjugados </w:t>
            </w:r>
            <w:proofErr w:type="spellStart"/>
            <w:r w:rsidRPr="00B92FD5">
              <w:rPr>
                <w:lang w:val="es-ES_tradnl" w:eastAsia="es-ES" w:bidi="es-ES"/>
              </w:rPr>
              <w:t>glucurónidos</w:t>
            </w:r>
            <w:proofErr w:type="spellEnd"/>
            <w:r w:rsidRPr="00B92FD5">
              <w:rPr>
                <w:lang w:val="es-ES_tradnl" w:eastAsia="es-ES" w:bidi="es-ES"/>
              </w:rPr>
              <w:t xml:space="preserve">, </w:t>
            </w:r>
            <w:proofErr w:type="spellStart"/>
            <w:r w:rsidRPr="00B92FD5">
              <w:rPr>
                <w:lang w:val="es-ES_tradnl" w:eastAsia="es-ES" w:bidi="es-ES"/>
              </w:rPr>
              <w:t>sulfóxidos</w:t>
            </w:r>
            <w:proofErr w:type="spellEnd"/>
            <w:r w:rsidRPr="00B92FD5">
              <w:rPr>
                <w:lang w:val="es-ES_tradnl" w:eastAsia="es-ES" w:bidi="es-ES"/>
              </w:rPr>
              <w:t xml:space="preserve"> y sulfonas. También se identificaron cuatro metabolitos </w:t>
            </w:r>
            <w:proofErr w:type="spellStart"/>
            <w:r w:rsidRPr="00B92FD5">
              <w:rPr>
                <w:lang w:val="es-ES_tradnl" w:eastAsia="es-ES" w:bidi="es-ES"/>
              </w:rPr>
              <w:t>desmetilados</w:t>
            </w:r>
            <w:proofErr w:type="spellEnd"/>
            <w:r w:rsidRPr="00B92FD5">
              <w:rPr>
                <w:lang w:val="es-ES_tradnl" w:eastAsia="es-ES" w:bidi="es-ES"/>
              </w:rPr>
              <w:t xml:space="preserve">, correspondientes a aproximadamente el 30 % de la marca, mientras que el </w:t>
            </w:r>
            <w:proofErr w:type="spellStart"/>
            <w:r w:rsidRPr="00B92FD5">
              <w:rPr>
                <w:lang w:val="es-ES_tradnl" w:eastAsia="es-ES" w:bidi="es-ES"/>
              </w:rPr>
              <w:t>sulfóxido</w:t>
            </w:r>
            <w:proofErr w:type="spellEnd"/>
            <w:r w:rsidRPr="00B92FD5">
              <w:rPr>
                <w:lang w:val="es-ES_tradnl" w:eastAsia="es-ES" w:bidi="es-ES"/>
              </w:rPr>
              <w:t xml:space="preserve"> del análogo oxigenado constituyó solamente entre el 1 % y el 4 % de la marca. Los niveles medios de residuos en tejidos de </w:t>
            </w:r>
            <w:proofErr w:type="spellStart"/>
            <w:r w:rsidRPr="00B92FD5">
              <w:rPr>
                <w:lang w:val="es-ES_tradnl" w:eastAsia="es-ES" w:bidi="es-ES"/>
              </w:rPr>
              <w:t>fentión</w:t>
            </w:r>
            <w:proofErr w:type="spellEnd"/>
            <w:r w:rsidRPr="00B92FD5">
              <w:rPr>
                <w:lang w:val="es-ES_tradnl" w:eastAsia="es-ES" w:bidi="es-ES"/>
              </w:rPr>
              <w:t xml:space="preserve"> o sus metabolitos fueron en general bajos, excepto en el lugar real de administración dérmica o subcutánea, lo que indica que no existe tendencia a que el </w:t>
            </w:r>
            <w:proofErr w:type="spellStart"/>
            <w:r w:rsidRPr="00B92FD5">
              <w:rPr>
                <w:lang w:val="es-ES_tradnl" w:eastAsia="es-ES" w:bidi="es-ES"/>
              </w:rPr>
              <w:t>fentión</w:t>
            </w:r>
            <w:proofErr w:type="spellEnd"/>
            <w:r w:rsidRPr="00B92FD5">
              <w:rPr>
                <w:lang w:val="es-ES_tradnl" w:eastAsia="es-ES" w:bidi="es-ES"/>
              </w:rPr>
              <w:t xml:space="preserve"> se bioacumule en las ratas o en los animales domésticos.</w:t>
            </w:r>
          </w:p>
          <w:p w14:paraId="702A0940" w14:textId="77777777" w:rsidR="00114789" w:rsidRPr="00B92FD5" w:rsidRDefault="00114789" w:rsidP="00A642F9">
            <w:pPr>
              <w:spacing w:before="120" w:after="120"/>
              <w:rPr>
                <w:lang w:val="es-ES_tradnl" w:eastAsia="es-ES" w:bidi="es-ES"/>
              </w:rPr>
            </w:pPr>
            <w:r w:rsidRPr="00B92FD5">
              <w:rPr>
                <w:lang w:val="es-ES_tradnl" w:eastAsia="es-ES" w:bidi="es-ES"/>
              </w:rPr>
              <w:t>La administración oral da lugar a un establecimiento más temprano de la inhibición de la colinesterasa y a una recuperación más rápida, si se compara con la administración dérmica o subcutánea, que presentan un establecimiento más tardío de la inhibición y una duración más prolongada de los efectos (</w:t>
            </w:r>
            <w:proofErr w:type="spellStart"/>
            <w:r w:rsidRPr="00B92FD5">
              <w:rPr>
                <w:lang w:val="es-ES_tradnl" w:eastAsia="es-ES" w:bidi="es-ES"/>
              </w:rPr>
              <w:t>Emteres</w:t>
            </w:r>
            <w:proofErr w:type="spellEnd"/>
            <w:r w:rsidRPr="00B92FD5">
              <w:rPr>
                <w:lang w:val="es-ES_tradnl" w:eastAsia="es-ES" w:bidi="es-ES"/>
              </w:rPr>
              <w:t xml:space="preserve"> et al 1985; </w:t>
            </w:r>
            <w:proofErr w:type="spellStart"/>
            <w:r w:rsidRPr="00B92FD5">
              <w:rPr>
                <w:lang w:val="es-ES_tradnl" w:eastAsia="es-ES" w:bidi="es-ES"/>
              </w:rPr>
              <w:t>Christenson</w:t>
            </w:r>
            <w:proofErr w:type="spellEnd"/>
            <w:r w:rsidRPr="00B92FD5">
              <w:rPr>
                <w:lang w:val="es-ES_tradnl" w:eastAsia="es-ES" w:bidi="es-ES"/>
              </w:rPr>
              <w:t xml:space="preserve"> 1990c, APVMA 2012a).</w:t>
            </w:r>
          </w:p>
        </w:tc>
      </w:tr>
      <w:tr w:rsidR="00114789" w:rsidRPr="00B92FD5" w14:paraId="515948DA"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1B0D3ACA" w14:textId="77777777" w:rsidR="00114789" w:rsidRPr="00B92FD5" w:rsidRDefault="00114789" w:rsidP="00A642F9">
            <w:pPr>
              <w:rPr>
                <w:b/>
                <w:lang w:val="es-ES_tradnl" w:eastAsia="es-ES" w:bidi="es-ES"/>
              </w:rPr>
            </w:pPr>
            <w:r w:rsidRPr="00B92FD5">
              <w:rPr>
                <w:b/>
                <w:lang w:val="es-ES_tradnl" w:eastAsia="es-ES" w:bidi="es-ES"/>
              </w:rPr>
              <w:t>2.2</w:t>
            </w:r>
          </w:p>
        </w:tc>
        <w:tc>
          <w:tcPr>
            <w:tcW w:w="1703" w:type="dxa"/>
            <w:tcBorders>
              <w:top w:val="nil"/>
              <w:left w:val="nil"/>
              <w:bottom w:val="nil"/>
              <w:right w:val="nil"/>
            </w:tcBorders>
            <w:shd w:val="clear" w:color="auto" w:fill="auto"/>
          </w:tcPr>
          <w:p w14:paraId="65951E90" w14:textId="77777777" w:rsidR="00114789" w:rsidRPr="00B92FD5" w:rsidRDefault="00114789" w:rsidP="00A642F9">
            <w:pPr>
              <w:rPr>
                <w:b/>
                <w:bCs/>
                <w:lang w:val="es-ES_tradnl" w:eastAsia="es-ES" w:bidi="es-ES"/>
              </w:rPr>
            </w:pPr>
            <w:r w:rsidRPr="00B92FD5">
              <w:rPr>
                <w:b/>
                <w:lang w:val="es-ES_tradnl" w:eastAsia="es-ES" w:bidi="es-ES"/>
              </w:rPr>
              <w:t>Estudios toxicológicos</w:t>
            </w:r>
          </w:p>
        </w:tc>
        <w:tc>
          <w:tcPr>
            <w:tcW w:w="6993" w:type="dxa"/>
            <w:tcBorders>
              <w:top w:val="nil"/>
              <w:left w:val="nil"/>
              <w:bottom w:val="nil"/>
              <w:right w:val="nil"/>
            </w:tcBorders>
            <w:shd w:val="clear" w:color="auto" w:fill="auto"/>
          </w:tcPr>
          <w:p w14:paraId="24C26995" w14:textId="77777777" w:rsidR="00114789" w:rsidRPr="00B92FD5" w:rsidRDefault="00114789" w:rsidP="00A642F9">
            <w:pPr>
              <w:spacing w:after="40"/>
              <w:rPr>
                <w:lang w:val="es-ES_tradnl" w:eastAsia="es-ES" w:bidi="es-ES"/>
              </w:rPr>
            </w:pPr>
          </w:p>
        </w:tc>
      </w:tr>
      <w:tr w:rsidR="00114789" w:rsidRPr="00ED5AB4" w14:paraId="367611BB"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694CB739" w14:textId="77777777" w:rsidR="00114789" w:rsidRPr="00B92FD5" w:rsidRDefault="00114789" w:rsidP="00EB5595">
            <w:pPr>
              <w:rPr>
                <w:b/>
                <w:lang w:val="es-ES_tradnl" w:eastAsia="es-ES" w:bidi="es-ES"/>
              </w:rPr>
            </w:pPr>
            <w:r w:rsidRPr="00B92FD5">
              <w:rPr>
                <w:b/>
                <w:lang w:val="es-ES_tradnl" w:eastAsia="es-ES" w:bidi="es-ES"/>
              </w:rPr>
              <w:t>2.2.1</w:t>
            </w:r>
          </w:p>
        </w:tc>
        <w:tc>
          <w:tcPr>
            <w:tcW w:w="1703" w:type="dxa"/>
            <w:tcBorders>
              <w:top w:val="nil"/>
              <w:left w:val="nil"/>
              <w:bottom w:val="nil"/>
              <w:right w:val="nil"/>
            </w:tcBorders>
            <w:shd w:val="clear" w:color="auto" w:fill="auto"/>
          </w:tcPr>
          <w:p w14:paraId="3F1DF25A" w14:textId="77777777" w:rsidR="00114789" w:rsidRPr="00B92FD5" w:rsidRDefault="00114789" w:rsidP="00EB5595">
            <w:pPr>
              <w:rPr>
                <w:b/>
                <w:bCs/>
                <w:lang w:val="es-ES_tradnl" w:eastAsia="es-ES" w:bidi="es-ES"/>
              </w:rPr>
            </w:pPr>
            <w:r w:rsidRPr="00B92FD5">
              <w:rPr>
                <w:b/>
                <w:lang w:val="es-ES_tradnl" w:eastAsia="es-ES" w:bidi="es-ES"/>
              </w:rPr>
              <w:t>Toxicidad aguda</w:t>
            </w:r>
          </w:p>
        </w:tc>
        <w:tc>
          <w:tcPr>
            <w:tcW w:w="6993" w:type="dxa"/>
            <w:tcBorders>
              <w:top w:val="nil"/>
              <w:left w:val="nil"/>
              <w:bottom w:val="nil"/>
              <w:right w:val="nil"/>
            </w:tcBorders>
            <w:shd w:val="clear" w:color="auto" w:fill="auto"/>
          </w:tcPr>
          <w:p w14:paraId="7AE74F11" w14:textId="77777777" w:rsidR="00114789" w:rsidRPr="00B92FD5" w:rsidRDefault="00114789" w:rsidP="00EB5595">
            <w:pPr>
              <w:spacing w:after="40"/>
              <w:rPr>
                <w:lang w:val="es-ES_tradnl" w:eastAsia="es-ES" w:bidi="es-ES"/>
              </w:rPr>
            </w:pPr>
            <w:r w:rsidRPr="00B92FD5">
              <w:rPr>
                <w:lang w:val="es-ES_tradnl" w:eastAsia="es-ES" w:bidi="es-ES"/>
              </w:rPr>
              <w:t>LD</w:t>
            </w:r>
            <w:r w:rsidRPr="00B92FD5">
              <w:rPr>
                <w:vertAlign w:val="subscript"/>
                <w:lang w:val="es-ES_tradnl" w:eastAsia="es-ES" w:bidi="es-ES"/>
              </w:rPr>
              <w:t>50</w:t>
            </w:r>
            <w:r w:rsidRPr="00B92FD5">
              <w:rPr>
                <w:lang w:val="es-ES_tradnl" w:eastAsia="es-ES" w:bidi="es-ES"/>
              </w:rPr>
              <w:t xml:space="preserve"> oral en ratas: ca. 250 mg/kg pc (FAO 2004), 140-615 mg/kg pc (APVMA 2012a)</w:t>
            </w:r>
          </w:p>
          <w:p w14:paraId="16D1405B" w14:textId="77777777" w:rsidR="00114789" w:rsidRPr="00B92FD5" w:rsidRDefault="00114789" w:rsidP="00EB5595">
            <w:pPr>
              <w:spacing w:after="40"/>
              <w:rPr>
                <w:lang w:val="es-ES_tradnl" w:eastAsia="es-ES" w:bidi="es-ES"/>
              </w:rPr>
            </w:pPr>
            <w:r w:rsidRPr="00B92FD5">
              <w:rPr>
                <w:lang w:val="es-ES_tradnl" w:eastAsia="es-ES" w:bidi="es-ES"/>
              </w:rPr>
              <w:t>DL</w:t>
            </w:r>
            <w:r w:rsidRPr="00B92FD5">
              <w:rPr>
                <w:vertAlign w:val="subscript"/>
                <w:lang w:val="es-ES_tradnl" w:eastAsia="es-ES" w:bidi="es-ES"/>
              </w:rPr>
              <w:t>50</w:t>
            </w:r>
            <w:r w:rsidRPr="00B92FD5">
              <w:rPr>
                <w:lang w:val="es-ES_tradnl" w:eastAsia="es-ES" w:bidi="es-ES"/>
              </w:rPr>
              <w:t xml:space="preserve"> oral en ratones: 150-290 mg/kg pc (APVMA 2012a)</w:t>
            </w:r>
          </w:p>
          <w:p w14:paraId="749E9C3A" w14:textId="77777777" w:rsidR="00114789" w:rsidRPr="00B92FD5" w:rsidRDefault="00114789" w:rsidP="00EB5595">
            <w:pPr>
              <w:spacing w:after="40"/>
              <w:rPr>
                <w:lang w:val="es-ES_tradnl" w:eastAsia="es-ES" w:bidi="es-ES"/>
              </w:rPr>
            </w:pPr>
            <w:r w:rsidRPr="00B92FD5">
              <w:rPr>
                <w:lang w:val="es-ES_tradnl" w:eastAsia="es-ES" w:bidi="es-ES"/>
              </w:rPr>
              <w:t>LD</w:t>
            </w:r>
            <w:r w:rsidRPr="00B92FD5">
              <w:rPr>
                <w:vertAlign w:val="subscript"/>
                <w:lang w:val="es-ES_tradnl" w:eastAsia="es-ES" w:bidi="es-ES"/>
              </w:rPr>
              <w:t>50</w:t>
            </w:r>
            <w:r w:rsidRPr="00B92FD5">
              <w:rPr>
                <w:lang w:val="es-ES_tradnl" w:eastAsia="es-ES" w:bidi="es-ES"/>
              </w:rPr>
              <w:t xml:space="preserve"> dérmica en ratas: ca. 586 (machos)/ca. 800 (hembras) mg/kg pc (FAO, 2004); 325</w:t>
            </w:r>
          </w:p>
          <w:p w14:paraId="03DC4D9E" w14:textId="77777777" w:rsidR="00114789" w:rsidRPr="00B92FD5" w:rsidRDefault="00114789" w:rsidP="00EB5595">
            <w:pPr>
              <w:spacing w:after="40"/>
              <w:rPr>
                <w:lang w:val="es-ES_tradnl" w:eastAsia="es-ES" w:bidi="es-ES"/>
              </w:rPr>
            </w:pPr>
            <w:r w:rsidRPr="00B92FD5">
              <w:rPr>
                <w:lang w:val="es-ES_tradnl" w:eastAsia="es-ES" w:bidi="es-ES"/>
              </w:rPr>
              <w:t>- &gt;5.000 mg/kg (APVMA 2012a)</w:t>
            </w:r>
          </w:p>
          <w:p w14:paraId="359A5348" w14:textId="77777777" w:rsidR="00114789" w:rsidRPr="00B92FD5" w:rsidRDefault="00114789" w:rsidP="00EB5595">
            <w:pPr>
              <w:spacing w:after="40"/>
              <w:rPr>
                <w:lang w:val="es-ES_tradnl" w:eastAsia="es-ES" w:bidi="es-ES"/>
              </w:rPr>
            </w:pPr>
            <w:r w:rsidRPr="00B92FD5">
              <w:rPr>
                <w:lang w:val="es-ES_tradnl" w:eastAsia="es-ES" w:bidi="es-ES"/>
              </w:rPr>
              <w:t>LD</w:t>
            </w:r>
            <w:r w:rsidRPr="00B92FD5">
              <w:rPr>
                <w:vertAlign w:val="subscript"/>
                <w:lang w:val="es-ES_tradnl" w:eastAsia="es-ES" w:bidi="es-ES"/>
              </w:rPr>
              <w:t>50</w:t>
            </w:r>
            <w:r w:rsidRPr="00B92FD5">
              <w:rPr>
                <w:lang w:val="es-ES_tradnl" w:eastAsia="es-ES" w:bidi="es-ES"/>
              </w:rPr>
              <w:t xml:space="preserve"> dérmica en ratones: 500 - 2000 mg/kg pc (APVMA 2012a)</w:t>
            </w:r>
          </w:p>
          <w:p w14:paraId="7C79C36D" w14:textId="77777777" w:rsidR="00114789" w:rsidRPr="00B92FD5" w:rsidRDefault="00114789" w:rsidP="00EB5595">
            <w:pPr>
              <w:spacing w:after="40"/>
              <w:rPr>
                <w:lang w:val="es-ES_tradnl" w:eastAsia="es-ES" w:bidi="es-ES"/>
              </w:rPr>
            </w:pPr>
            <w:r w:rsidRPr="00B92FD5">
              <w:rPr>
                <w:lang w:val="es-ES_tradnl" w:eastAsia="es-ES" w:bidi="es-ES"/>
              </w:rPr>
              <w:t>LC</w:t>
            </w:r>
            <w:r w:rsidRPr="00B92FD5">
              <w:rPr>
                <w:vertAlign w:val="subscript"/>
                <w:lang w:val="es-ES_tradnl" w:eastAsia="es-ES" w:bidi="es-ES"/>
              </w:rPr>
              <w:t>50</w:t>
            </w:r>
            <w:r w:rsidRPr="00B92FD5">
              <w:rPr>
                <w:lang w:val="es-ES_tradnl" w:eastAsia="es-ES" w:bidi="es-ES"/>
              </w:rPr>
              <w:t xml:space="preserve"> inhalación en ratas ca. 507 (machos) / ca. 454 (hembras) mg/m</w:t>
            </w:r>
            <w:r w:rsidRPr="00B92FD5">
              <w:rPr>
                <w:vertAlign w:val="superscript"/>
                <w:lang w:val="es-ES_tradnl" w:eastAsia="es-ES" w:bidi="es-ES"/>
              </w:rPr>
              <w:t>3</w:t>
            </w:r>
            <w:r w:rsidRPr="00B92FD5">
              <w:rPr>
                <w:lang w:val="es-ES_tradnl" w:eastAsia="es-ES" w:bidi="es-ES"/>
              </w:rPr>
              <w:t xml:space="preserve"> (polvo, 4 h de exposición) (FAO 2004) </w:t>
            </w:r>
          </w:p>
          <w:p w14:paraId="664B175E" w14:textId="77777777" w:rsidR="00114789" w:rsidRPr="00B92FD5" w:rsidRDefault="00114789" w:rsidP="00EB5595">
            <w:pPr>
              <w:spacing w:after="40"/>
              <w:rPr>
                <w:lang w:val="es-ES_tradnl" w:eastAsia="es-ES" w:bidi="es-ES"/>
              </w:rPr>
            </w:pPr>
            <w:r w:rsidRPr="00B92FD5">
              <w:rPr>
                <w:lang w:val="es-ES_tradnl" w:eastAsia="es-ES" w:bidi="es-ES"/>
              </w:rPr>
              <w:t>Irritación de la piel y de los ojos en conejos: no irritante (FAO 2004 APVMA 2012a)</w:t>
            </w:r>
          </w:p>
          <w:p w14:paraId="69CC6B34" w14:textId="77777777" w:rsidR="00114789" w:rsidRPr="00B92FD5" w:rsidRDefault="00114789" w:rsidP="00EB5595">
            <w:pPr>
              <w:spacing w:after="40"/>
              <w:rPr>
                <w:lang w:val="es-ES_tradnl" w:eastAsia="es-ES" w:bidi="es-ES"/>
              </w:rPr>
            </w:pPr>
            <w:r w:rsidRPr="00B92FD5">
              <w:rPr>
                <w:lang w:val="es-ES_tradnl" w:eastAsia="es-ES" w:bidi="es-ES"/>
              </w:rPr>
              <w:t>Sensibilización de la piel en conejillo de Indias: sin sensibilización (FAO 2004, APVMA 2012a)</w:t>
            </w:r>
          </w:p>
          <w:p w14:paraId="6239A5F8" w14:textId="77777777" w:rsidR="00114789" w:rsidRPr="00B92FD5" w:rsidRDefault="00114789" w:rsidP="00EB5595">
            <w:pPr>
              <w:spacing w:after="40"/>
              <w:rPr>
                <w:lang w:val="es-ES_tradnl" w:eastAsia="es-ES" w:bidi="es-ES"/>
              </w:rPr>
            </w:pPr>
            <w:r w:rsidRPr="00B92FD5">
              <w:rPr>
                <w:lang w:val="es-ES_tradnl" w:eastAsia="es-ES" w:bidi="es-ES"/>
              </w:rPr>
              <w:t xml:space="preserve">La toxicidad aguda oral e intraperitoneal del análogo oxigenado de </w:t>
            </w:r>
            <w:proofErr w:type="spellStart"/>
            <w:r w:rsidRPr="00B92FD5">
              <w:rPr>
                <w:lang w:val="es-ES_tradnl" w:eastAsia="es-ES" w:bidi="es-ES"/>
              </w:rPr>
              <w:t>fentión</w:t>
            </w:r>
            <w:proofErr w:type="spellEnd"/>
            <w:r w:rsidRPr="00B92FD5">
              <w:rPr>
                <w:lang w:val="es-ES_tradnl" w:eastAsia="es-ES" w:bidi="es-ES"/>
              </w:rPr>
              <w:t xml:space="preserve"> y de sus derivados </w:t>
            </w:r>
            <w:proofErr w:type="spellStart"/>
            <w:r w:rsidRPr="00B92FD5">
              <w:rPr>
                <w:lang w:val="es-ES_tradnl" w:eastAsia="es-ES" w:bidi="es-ES"/>
              </w:rPr>
              <w:t>sulfóxido</w:t>
            </w:r>
            <w:proofErr w:type="spellEnd"/>
            <w:r w:rsidRPr="00B92FD5">
              <w:rPr>
                <w:lang w:val="es-ES_tradnl" w:eastAsia="es-ES" w:bidi="es-ES"/>
              </w:rPr>
              <w:t xml:space="preserve"> y sulfona, que se consideran sus metabolitos activos principales, fue de 5 a 10 veces mayor que la del </w:t>
            </w:r>
            <w:proofErr w:type="spellStart"/>
            <w:r w:rsidRPr="00B92FD5">
              <w:rPr>
                <w:lang w:val="es-ES_tradnl" w:eastAsia="es-ES" w:bidi="es-ES"/>
              </w:rPr>
              <w:t>fentión</w:t>
            </w:r>
            <w:proofErr w:type="spellEnd"/>
            <w:r w:rsidRPr="00B92FD5">
              <w:rPr>
                <w:lang w:val="es-ES_tradnl" w:eastAsia="es-ES" w:bidi="es-ES"/>
              </w:rPr>
              <w:t xml:space="preserve"> (APVMA 2012a).</w:t>
            </w:r>
          </w:p>
          <w:p w14:paraId="58A11381" w14:textId="77777777" w:rsidR="00114789" w:rsidRPr="00B92FD5" w:rsidRDefault="00114789" w:rsidP="00EB5595">
            <w:pPr>
              <w:spacing w:after="4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potenció la toxicidad aguda del malatión, </w:t>
            </w:r>
            <w:proofErr w:type="spellStart"/>
            <w:r w:rsidRPr="00B92FD5">
              <w:rPr>
                <w:lang w:val="es-ES_tradnl" w:eastAsia="es-ES" w:bidi="es-ES"/>
              </w:rPr>
              <w:t>dioxatión</w:t>
            </w:r>
            <w:proofErr w:type="spellEnd"/>
            <w:r w:rsidRPr="00B92FD5">
              <w:rPr>
                <w:lang w:val="es-ES_tradnl" w:eastAsia="es-ES" w:bidi="es-ES"/>
              </w:rPr>
              <w:t xml:space="preserve"> y </w:t>
            </w:r>
            <w:proofErr w:type="spellStart"/>
            <w:r w:rsidRPr="00B92FD5">
              <w:rPr>
                <w:lang w:val="es-ES_tradnl" w:eastAsia="es-ES" w:bidi="es-ES"/>
              </w:rPr>
              <w:t>cumafós</w:t>
            </w:r>
            <w:proofErr w:type="spellEnd"/>
            <w:r w:rsidRPr="00B92FD5">
              <w:rPr>
                <w:lang w:val="es-ES_tradnl" w:eastAsia="es-ES" w:bidi="es-ES"/>
              </w:rPr>
              <w:t xml:space="preserve"> en ratas, en tanto que en perros, el </w:t>
            </w:r>
            <w:proofErr w:type="spellStart"/>
            <w:r w:rsidRPr="00B92FD5">
              <w:rPr>
                <w:lang w:val="es-ES_tradnl" w:eastAsia="es-ES" w:bidi="es-ES"/>
              </w:rPr>
              <w:t>fentión</w:t>
            </w:r>
            <w:proofErr w:type="spellEnd"/>
            <w:r w:rsidRPr="00B92FD5">
              <w:rPr>
                <w:lang w:val="es-ES_tradnl" w:eastAsia="es-ES" w:bidi="es-ES"/>
              </w:rPr>
              <w:t xml:space="preserve"> potenció el malatión y el </w:t>
            </w:r>
            <w:proofErr w:type="spellStart"/>
            <w:r w:rsidRPr="00B92FD5">
              <w:rPr>
                <w:lang w:val="es-ES_tradnl" w:eastAsia="es-ES" w:bidi="es-ES"/>
              </w:rPr>
              <w:t>cumafós</w:t>
            </w:r>
            <w:proofErr w:type="spellEnd"/>
            <w:r w:rsidRPr="00B92FD5">
              <w:rPr>
                <w:lang w:val="es-ES_tradnl" w:eastAsia="es-ES" w:bidi="es-ES"/>
              </w:rPr>
              <w:t xml:space="preserve">, pero no el </w:t>
            </w:r>
            <w:proofErr w:type="spellStart"/>
            <w:r w:rsidRPr="00B92FD5">
              <w:rPr>
                <w:lang w:val="es-ES_tradnl" w:eastAsia="es-ES" w:bidi="es-ES"/>
              </w:rPr>
              <w:t>dioxatión</w:t>
            </w:r>
            <w:proofErr w:type="spellEnd"/>
            <w:r w:rsidRPr="00B92FD5">
              <w:rPr>
                <w:lang w:val="es-ES_tradnl" w:eastAsia="es-ES" w:bidi="es-ES"/>
              </w:rPr>
              <w:t xml:space="preserve"> (APVMA 2012a).</w:t>
            </w:r>
          </w:p>
        </w:tc>
      </w:tr>
      <w:tr w:rsidR="00114789" w:rsidRPr="00ED5AB4" w14:paraId="2AAADC19"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6A9312EA" w14:textId="77777777" w:rsidR="00114789" w:rsidRPr="00B92FD5" w:rsidRDefault="00114789" w:rsidP="00A642F9">
            <w:pPr>
              <w:rPr>
                <w:b/>
                <w:lang w:val="es-ES_tradnl" w:eastAsia="es-ES" w:bidi="es-ES"/>
              </w:rPr>
            </w:pPr>
          </w:p>
        </w:tc>
        <w:tc>
          <w:tcPr>
            <w:tcW w:w="1703" w:type="dxa"/>
            <w:tcBorders>
              <w:top w:val="nil"/>
              <w:left w:val="nil"/>
              <w:bottom w:val="nil"/>
              <w:right w:val="nil"/>
            </w:tcBorders>
            <w:shd w:val="clear" w:color="auto" w:fill="auto"/>
          </w:tcPr>
          <w:p w14:paraId="27498F00" w14:textId="77777777" w:rsidR="00114789" w:rsidRPr="00B92FD5" w:rsidRDefault="00114789" w:rsidP="00A642F9">
            <w:pPr>
              <w:rPr>
                <w:b/>
                <w:bCs/>
                <w:lang w:val="es-ES_tradnl" w:eastAsia="es-ES" w:bidi="es-ES"/>
              </w:rPr>
            </w:pPr>
          </w:p>
        </w:tc>
        <w:tc>
          <w:tcPr>
            <w:tcW w:w="6993" w:type="dxa"/>
            <w:tcBorders>
              <w:top w:val="nil"/>
              <w:left w:val="nil"/>
              <w:bottom w:val="nil"/>
              <w:right w:val="nil"/>
            </w:tcBorders>
            <w:shd w:val="clear" w:color="auto" w:fill="auto"/>
          </w:tcPr>
          <w:p w14:paraId="4BFFAD5E" w14:textId="77777777" w:rsidR="00114789" w:rsidRPr="00B92FD5" w:rsidRDefault="00114789" w:rsidP="00A642F9">
            <w:pPr>
              <w:spacing w:after="40"/>
              <w:rPr>
                <w:lang w:val="es-ES_tradnl" w:eastAsia="es-ES" w:bidi="es-ES"/>
              </w:rPr>
            </w:pPr>
          </w:p>
        </w:tc>
      </w:tr>
      <w:tr w:rsidR="00114789" w:rsidRPr="00ED5AB4" w14:paraId="248689FC"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77CA629A" w14:textId="77777777" w:rsidR="00114789" w:rsidRPr="00B92FD5" w:rsidRDefault="00114789" w:rsidP="00A642F9">
            <w:pPr>
              <w:rPr>
                <w:b/>
                <w:lang w:val="es-ES_tradnl" w:eastAsia="es-ES" w:bidi="es-ES"/>
              </w:rPr>
            </w:pPr>
            <w:r w:rsidRPr="00B92FD5">
              <w:rPr>
                <w:b/>
                <w:lang w:val="es-ES_tradnl" w:eastAsia="es-ES" w:bidi="es-ES"/>
              </w:rPr>
              <w:t>2.2.2</w:t>
            </w:r>
          </w:p>
        </w:tc>
        <w:tc>
          <w:tcPr>
            <w:tcW w:w="1703" w:type="dxa"/>
            <w:tcBorders>
              <w:top w:val="nil"/>
              <w:left w:val="nil"/>
              <w:bottom w:val="nil"/>
              <w:right w:val="nil"/>
            </w:tcBorders>
            <w:shd w:val="clear" w:color="auto" w:fill="auto"/>
          </w:tcPr>
          <w:p w14:paraId="2A359EA4" w14:textId="77777777" w:rsidR="00114789" w:rsidRPr="00B92FD5" w:rsidRDefault="00114789" w:rsidP="00A642F9">
            <w:pPr>
              <w:rPr>
                <w:b/>
                <w:bCs/>
                <w:lang w:val="es-ES_tradnl" w:eastAsia="es-ES" w:bidi="es-ES"/>
              </w:rPr>
            </w:pPr>
            <w:r w:rsidRPr="00B92FD5">
              <w:rPr>
                <w:b/>
                <w:lang w:val="es-ES_tradnl" w:eastAsia="es-ES" w:bidi="es-ES"/>
              </w:rPr>
              <w:t>Toxicidad a corto plazo</w:t>
            </w:r>
          </w:p>
        </w:tc>
        <w:tc>
          <w:tcPr>
            <w:tcW w:w="6993" w:type="dxa"/>
            <w:tcBorders>
              <w:top w:val="nil"/>
              <w:left w:val="nil"/>
              <w:bottom w:val="nil"/>
              <w:right w:val="nil"/>
            </w:tcBorders>
            <w:shd w:val="clear" w:color="auto" w:fill="auto"/>
          </w:tcPr>
          <w:p w14:paraId="6613B43F" w14:textId="77777777" w:rsidR="00114789" w:rsidRPr="00B92FD5" w:rsidRDefault="00114789" w:rsidP="00A642F9">
            <w:pPr>
              <w:spacing w:before="20"/>
              <w:rPr>
                <w:lang w:val="es-ES_tradnl" w:eastAsia="es-ES" w:bidi="es-ES"/>
              </w:rPr>
            </w:pPr>
            <w:r w:rsidRPr="00B92FD5">
              <w:rPr>
                <w:lang w:val="es-ES_tradnl" w:eastAsia="es-ES" w:bidi="es-ES"/>
              </w:rPr>
              <w:t>Efecto crítico: inhibición de colinesterasa (EU 2002)</w:t>
            </w:r>
          </w:p>
          <w:p w14:paraId="1CF6B758" w14:textId="77777777" w:rsidR="00114789" w:rsidRPr="00B92FD5" w:rsidRDefault="00114789" w:rsidP="00A642F9">
            <w:pPr>
              <w:spacing w:before="20"/>
              <w:rPr>
                <w:lang w:val="es-ES_tradnl" w:eastAsia="es-ES" w:bidi="es-ES"/>
              </w:rPr>
            </w:pPr>
            <w:r w:rsidRPr="00B92FD5">
              <w:rPr>
                <w:lang w:val="es-ES_tradnl" w:eastAsia="es-ES" w:bidi="es-ES"/>
              </w:rPr>
              <w:t>NOAEL oral pertinente mínimo: 0,1 mg/kg pc/día, perro de 1 año (EU 2002)</w:t>
            </w:r>
          </w:p>
          <w:p w14:paraId="3FE4785F" w14:textId="77777777" w:rsidR="00114789" w:rsidRPr="00B92FD5" w:rsidRDefault="00114789" w:rsidP="00A642F9">
            <w:pPr>
              <w:spacing w:before="20"/>
              <w:rPr>
                <w:lang w:val="es-ES_tradnl" w:eastAsia="es-ES" w:bidi="es-ES"/>
              </w:rPr>
            </w:pPr>
            <w:r w:rsidRPr="00B92FD5">
              <w:rPr>
                <w:lang w:val="es-ES_tradnl" w:eastAsia="es-ES" w:bidi="es-ES"/>
              </w:rPr>
              <w:t>NOAEL dérmico pertinente mínimo: 0,1 mg/kg pc/día, conejo de 21 días</w:t>
            </w:r>
          </w:p>
          <w:p w14:paraId="3AEAA057" w14:textId="77777777" w:rsidR="00114789" w:rsidRPr="00B92FD5" w:rsidRDefault="00114789" w:rsidP="00A642F9">
            <w:pPr>
              <w:spacing w:before="20"/>
              <w:rPr>
                <w:lang w:val="es-ES_tradnl" w:eastAsia="es-ES" w:bidi="es-ES"/>
              </w:rPr>
            </w:pPr>
            <w:r w:rsidRPr="00B92FD5">
              <w:rPr>
                <w:lang w:val="es-ES_tradnl" w:eastAsia="es-ES" w:bidi="es-ES"/>
              </w:rPr>
              <w:t>(EU 2002)</w:t>
            </w:r>
          </w:p>
          <w:p w14:paraId="5615FC8D" w14:textId="77777777" w:rsidR="00114789" w:rsidRPr="00B92FD5" w:rsidRDefault="00114789" w:rsidP="00A642F9">
            <w:pPr>
              <w:spacing w:before="20"/>
              <w:rPr>
                <w:lang w:val="es-ES_tradnl" w:eastAsia="es-ES" w:bidi="es-ES"/>
              </w:rPr>
            </w:pPr>
            <w:r w:rsidRPr="00B92FD5">
              <w:rPr>
                <w:lang w:val="es-ES_tradnl" w:eastAsia="es-ES" w:bidi="es-ES"/>
              </w:rPr>
              <w:t>NOAEL por inhalación pertinente mínimo: 1 mg/m</w:t>
            </w:r>
            <w:r w:rsidRPr="00B92FD5">
              <w:rPr>
                <w:vertAlign w:val="superscript"/>
                <w:lang w:val="es-ES_tradnl" w:eastAsia="es-ES" w:bidi="es-ES"/>
              </w:rPr>
              <w:t>3</w:t>
            </w:r>
            <w:r w:rsidRPr="00B92FD5">
              <w:rPr>
                <w:lang w:val="es-ES_tradnl" w:eastAsia="es-ES" w:bidi="es-ES"/>
              </w:rPr>
              <w:t>/d, rata de 21 días (EU 2002)</w:t>
            </w:r>
          </w:p>
        </w:tc>
      </w:tr>
      <w:tr w:rsidR="00114789" w:rsidRPr="00ED5AB4" w14:paraId="36D58A2C"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58685D71" w14:textId="77777777" w:rsidR="00114789" w:rsidRPr="00B92FD5" w:rsidRDefault="00114789" w:rsidP="00A642F9">
            <w:pPr>
              <w:spacing w:after="40"/>
              <w:rPr>
                <w:lang w:val="es-ES_tradnl" w:eastAsia="es-ES" w:bidi="es-ES"/>
              </w:rPr>
            </w:pPr>
          </w:p>
        </w:tc>
      </w:tr>
      <w:tr w:rsidR="00114789" w:rsidRPr="00ED5AB4" w14:paraId="640D6997"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392296D2" w14:textId="77777777" w:rsidR="00114789" w:rsidRPr="00B92FD5" w:rsidRDefault="00114789" w:rsidP="00A642F9">
            <w:pPr>
              <w:rPr>
                <w:b/>
                <w:lang w:val="es-ES_tradnl" w:eastAsia="es-ES" w:bidi="es-ES"/>
              </w:rPr>
            </w:pPr>
            <w:r w:rsidRPr="00B92FD5">
              <w:rPr>
                <w:b/>
                <w:lang w:val="es-ES_tradnl" w:eastAsia="es-ES" w:bidi="es-ES"/>
              </w:rPr>
              <w:t>2.2.3</w:t>
            </w:r>
          </w:p>
        </w:tc>
        <w:tc>
          <w:tcPr>
            <w:tcW w:w="1703" w:type="dxa"/>
            <w:tcBorders>
              <w:top w:val="nil"/>
              <w:left w:val="nil"/>
              <w:bottom w:val="nil"/>
              <w:right w:val="nil"/>
            </w:tcBorders>
            <w:shd w:val="clear" w:color="auto" w:fill="auto"/>
          </w:tcPr>
          <w:p w14:paraId="7F00D226" w14:textId="77777777" w:rsidR="00114789" w:rsidRPr="00B92FD5" w:rsidRDefault="00114789" w:rsidP="00A642F9">
            <w:pPr>
              <w:rPr>
                <w:b/>
                <w:bCs/>
                <w:lang w:val="es-ES_tradnl" w:eastAsia="es-ES" w:bidi="es-ES"/>
              </w:rPr>
            </w:pPr>
            <w:r w:rsidRPr="00B92FD5">
              <w:rPr>
                <w:b/>
                <w:lang w:val="es-ES_tradnl" w:eastAsia="es-ES" w:bidi="es-ES"/>
              </w:rPr>
              <w:t>Genotoxicidad (incluida la mutagenicidad)</w:t>
            </w:r>
          </w:p>
        </w:tc>
        <w:tc>
          <w:tcPr>
            <w:tcW w:w="6993" w:type="dxa"/>
            <w:tcBorders>
              <w:top w:val="nil"/>
              <w:left w:val="nil"/>
              <w:bottom w:val="nil"/>
              <w:right w:val="nil"/>
            </w:tcBorders>
            <w:shd w:val="clear" w:color="auto" w:fill="auto"/>
          </w:tcPr>
          <w:p w14:paraId="5D8AF02B" w14:textId="77777777" w:rsidR="00114789" w:rsidRPr="00B92FD5" w:rsidRDefault="00114789" w:rsidP="00A642F9">
            <w:pPr>
              <w:spacing w:before="20"/>
              <w:rPr>
                <w:lang w:val="es-ES_tradnl" w:eastAsia="es-ES" w:bidi="es-ES"/>
              </w:rPr>
            </w:pPr>
            <w:r w:rsidRPr="00B92FD5">
              <w:rPr>
                <w:lang w:val="es-ES_tradnl" w:eastAsia="es-ES" w:bidi="es-ES"/>
              </w:rPr>
              <w:t xml:space="preserve">Pruebas en ratones no mostraron efectos mutagénicos del </w:t>
            </w:r>
            <w:proofErr w:type="spellStart"/>
            <w:r w:rsidRPr="00B92FD5">
              <w:rPr>
                <w:lang w:val="es-ES_tradnl" w:eastAsia="es-ES" w:bidi="es-ES"/>
              </w:rPr>
              <w:t>fentión</w:t>
            </w:r>
            <w:proofErr w:type="spellEnd"/>
            <w:r w:rsidRPr="00B92FD5">
              <w:rPr>
                <w:lang w:val="es-ES_tradnl" w:eastAsia="es-ES" w:bidi="es-ES"/>
              </w:rPr>
              <w:t xml:space="preserve">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 APVMA 2012a)</w:t>
            </w:r>
          </w:p>
          <w:p w14:paraId="362C7EE8" w14:textId="77777777" w:rsidR="00114789" w:rsidRPr="00B92FD5" w:rsidRDefault="00114789" w:rsidP="00A642F9">
            <w:pPr>
              <w:spacing w:before="20"/>
              <w:rPr>
                <w:lang w:val="es-ES_tradnl" w:eastAsia="es-ES" w:bidi="es-ES"/>
              </w:rPr>
            </w:pPr>
            <w:r w:rsidRPr="00B92FD5">
              <w:rPr>
                <w:lang w:val="es-ES_tradnl" w:eastAsia="es-ES" w:bidi="es-ES"/>
              </w:rPr>
              <w:t xml:space="preserve">Potencial </w:t>
            </w:r>
            <w:proofErr w:type="spellStart"/>
            <w:r w:rsidRPr="00B92FD5">
              <w:rPr>
                <w:lang w:val="es-ES_tradnl" w:eastAsia="es-ES" w:bidi="es-ES"/>
              </w:rPr>
              <w:t>clastogénico</w:t>
            </w:r>
            <w:proofErr w:type="spellEnd"/>
            <w:r w:rsidRPr="00B92FD5">
              <w:rPr>
                <w:lang w:val="es-ES_tradnl" w:eastAsia="es-ES" w:bidi="es-ES"/>
              </w:rPr>
              <w:t xml:space="preserve"> en dosis que exhiben citotoxicidad (EU 2002)</w:t>
            </w:r>
          </w:p>
        </w:tc>
      </w:tr>
      <w:tr w:rsidR="00114789" w:rsidRPr="00ED5AB4" w14:paraId="07783E3C"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7198A17D" w14:textId="77777777" w:rsidR="00114789" w:rsidRPr="00B92FD5" w:rsidRDefault="00114789" w:rsidP="00A642F9">
            <w:pPr>
              <w:spacing w:after="40"/>
              <w:rPr>
                <w:lang w:val="es-ES_tradnl" w:eastAsia="es-ES" w:bidi="es-ES"/>
              </w:rPr>
            </w:pPr>
          </w:p>
        </w:tc>
      </w:tr>
      <w:tr w:rsidR="00114789" w:rsidRPr="00ED5AB4" w14:paraId="410CE496"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2AF84729" w14:textId="77777777" w:rsidR="00114789" w:rsidRPr="00B92FD5" w:rsidRDefault="00114789" w:rsidP="00A642F9">
            <w:pPr>
              <w:rPr>
                <w:b/>
                <w:lang w:val="es-ES_tradnl" w:eastAsia="es-ES" w:bidi="es-ES"/>
              </w:rPr>
            </w:pPr>
            <w:r w:rsidRPr="00B92FD5">
              <w:rPr>
                <w:b/>
                <w:lang w:val="es-ES_tradnl" w:eastAsia="es-ES" w:bidi="es-ES"/>
              </w:rPr>
              <w:t>2.2.4</w:t>
            </w:r>
          </w:p>
        </w:tc>
        <w:tc>
          <w:tcPr>
            <w:tcW w:w="1703" w:type="dxa"/>
            <w:tcBorders>
              <w:top w:val="nil"/>
              <w:left w:val="nil"/>
              <w:bottom w:val="nil"/>
              <w:right w:val="nil"/>
            </w:tcBorders>
            <w:shd w:val="clear" w:color="auto" w:fill="auto"/>
          </w:tcPr>
          <w:p w14:paraId="11CEAEB0" w14:textId="77777777" w:rsidR="00114789" w:rsidRPr="00B92FD5" w:rsidRDefault="00114789" w:rsidP="00A642F9">
            <w:pPr>
              <w:rPr>
                <w:b/>
                <w:bCs/>
                <w:lang w:val="es-ES_tradnl" w:eastAsia="es-ES" w:bidi="es-ES"/>
              </w:rPr>
            </w:pPr>
            <w:r w:rsidRPr="00B92FD5">
              <w:rPr>
                <w:b/>
                <w:lang w:val="es-ES_tradnl" w:eastAsia="es-ES" w:bidi="es-ES"/>
              </w:rPr>
              <w:t>Toxicidad a largo plazo y carcinogénesis</w:t>
            </w:r>
          </w:p>
        </w:tc>
        <w:tc>
          <w:tcPr>
            <w:tcW w:w="6993" w:type="dxa"/>
            <w:tcBorders>
              <w:top w:val="nil"/>
              <w:left w:val="nil"/>
              <w:bottom w:val="nil"/>
              <w:right w:val="nil"/>
            </w:tcBorders>
            <w:shd w:val="clear" w:color="auto" w:fill="auto"/>
          </w:tcPr>
          <w:p w14:paraId="411051A8" w14:textId="77777777" w:rsidR="00114789" w:rsidRPr="00B92FD5" w:rsidRDefault="00114789" w:rsidP="00A642F9">
            <w:pPr>
              <w:spacing w:before="20"/>
              <w:rPr>
                <w:lang w:val="es-ES_tradnl" w:eastAsia="es-ES" w:bidi="es-ES"/>
              </w:rPr>
            </w:pPr>
            <w:r w:rsidRPr="00B92FD5">
              <w:rPr>
                <w:lang w:val="es-ES_tradnl" w:eastAsia="es-ES" w:bidi="es-ES"/>
              </w:rPr>
              <w:t>Estudio de toxicidad oral crónica de 23 meses en mono Rhesus: NOAEL 0,2 mg/kg pc/d (FAO 2004)</w:t>
            </w:r>
          </w:p>
          <w:p w14:paraId="2A196AF5" w14:textId="77777777" w:rsidR="00114789" w:rsidRPr="00B92FD5" w:rsidRDefault="00114789" w:rsidP="00A642F9">
            <w:pPr>
              <w:spacing w:before="20"/>
              <w:rPr>
                <w:lang w:val="es-ES_tradnl" w:eastAsia="es-ES" w:bidi="es-ES"/>
              </w:rPr>
            </w:pPr>
            <w:r w:rsidRPr="00B92FD5">
              <w:rPr>
                <w:lang w:val="es-ES_tradnl" w:eastAsia="es-ES" w:bidi="es-ES"/>
              </w:rPr>
              <w:t>Estudio de toxicidad alimentaria crónica de 52 semanas en perro: NOAEL 0,05 mg/kg pc/d (FAO 2004)</w:t>
            </w:r>
          </w:p>
          <w:p w14:paraId="2C28F313" w14:textId="77777777" w:rsidR="00114789" w:rsidRPr="00B92FD5" w:rsidRDefault="00114789" w:rsidP="00A642F9">
            <w:pPr>
              <w:spacing w:before="20"/>
              <w:rPr>
                <w:lang w:val="es-ES_tradnl" w:eastAsia="es-ES" w:bidi="es-ES"/>
              </w:rPr>
            </w:pPr>
            <w:r w:rsidRPr="00B92FD5">
              <w:rPr>
                <w:lang w:val="es-ES_tradnl" w:eastAsia="es-ES" w:bidi="es-ES"/>
              </w:rPr>
              <w:t>Estudio de toxicidad alimentaria crónica de 24 semanas en rata: NOAEL 0,15 mg/kg pc/d, sin evidencia de carcinogénesis (FAO 2004)</w:t>
            </w:r>
          </w:p>
          <w:p w14:paraId="3A01F0FA" w14:textId="77777777" w:rsidR="00114789" w:rsidRPr="00B92FD5" w:rsidRDefault="00114789" w:rsidP="00A642F9">
            <w:pPr>
              <w:spacing w:before="20"/>
              <w:rPr>
                <w:lang w:val="es-ES_tradnl" w:eastAsia="es-ES" w:bidi="es-ES"/>
              </w:rPr>
            </w:pPr>
            <w:r w:rsidRPr="00B92FD5">
              <w:rPr>
                <w:lang w:val="es-ES_tradnl" w:eastAsia="es-ES" w:bidi="es-ES"/>
              </w:rPr>
              <w:t>Estudio de oncogénesis por alimentación de 24 semanas en ratón: NOAEL 2 mg/kg pc/d (5ppm), sin evidencia de carcinogénesis (FAO 2004)</w:t>
            </w:r>
          </w:p>
          <w:p w14:paraId="77866ED3" w14:textId="77777777" w:rsidR="00114789" w:rsidRPr="00B92FD5" w:rsidRDefault="00114789" w:rsidP="00A642F9">
            <w:pPr>
              <w:spacing w:before="20"/>
              <w:rPr>
                <w:lang w:val="es-ES_tradnl" w:eastAsia="es-ES" w:bidi="es-ES"/>
              </w:rPr>
            </w:pPr>
            <w:r w:rsidRPr="00B92FD5">
              <w:rPr>
                <w:lang w:val="es-ES_tradnl" w:eastAsia="es-ES" w:bidi="es-ES"/>
              </w:rPr>
              <w:t xml:space="preserve">El Instituto Nacional del Cáncer llevó a cabo pruebas de carcinogénesis con </w:t>
            </w:r>
            <w:proofErr w:type="spellStart"/>
            <w:r w:rsidRPr="00B92FD5">
              <w:rPr>
                <w:lang w:val="es-ES_tradnl" w:eastAsia="es-ES" w:bidi="es-ES"/>
              </w:rPr>
              <w:t>fentión</w:t>
            </w:r>
            <w:proofErr w:type="spellEnd"/>
            <w:r w:rsidRPr="00B92FD5">
              <w:rPr>
                <w:lang w:val="es-ES_tradnl" w:eastAsia="es-ES" w:bidi="es-ES"/>
              </w:rPr>
              <w:t xml:space="preserve"> que indicaron que este insecticida puede ser un carcinógeno en ratones machos. Sin embargo, no se observaron efectos carcinógenos en otros estudios de toxicidad alimentaria en ratas y ratones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p w14:paraId="7B5683D8" w14:textId="77777777" w:rsidR="00114789" w:rsidRPr="00B92FD5" w:rsidRDefault="00114789" w:rsidP="00A642F9">
            <w:pPr>
              <w:spacing w:before="20"/>
              <w:rPr>
                <w:lang w:val="es-ES_tradnl" w:eastAsia="es-ES" w:bidi="es-ES"/>
              </w:rPr>
            </w:pPr>
            <w:r w:rsidRPr="00B92FD5">
              <w:rPr>
                <w:lang w:val="es-ES_tradnl" w:eastAsia="es-ES" w:bidi="es-ES"/>
              </w:rPr>
              <w:t xml:space="preserve">Estudios de toxicidad alimentaria crónica en ratones y ratas no mostraron evidencia de oncogénesis y, por consiguiente, no se considera que el </w:t>
            </w:r>
            <w:proofErr w:type="spellStart"/>
            <w:r w:rsidRPr="00B92FD5">
              <w:rPr>
                <w:lang w:val="es-ES_tradnl" w:eastAsia="es-ES" w:bidi="es-ES"/>
              </w:rPr>
              <w:t>fentión</w:t>
            </w:r>
            <w:proofErr w:type="spellEnd"/>
            <w:r w:rsidRPr="00B92FD5">
              <w:rPr>
                <w:lang w:val="es-ES_tradnl" w:eastAsia="es-ES" w:bidi="es-ES"/>
              </w:rPr>
              <w:t xml:space="preserve"> plantee riesgos de carcinogénesis para los seres humanos (APVMA 2012a). </w:t>
            </w:r>
          </w:p>
        </w:tc>
      </w:tr>
      <w:tr w:rsidR="00114789" w:rsidRPr="00ED5AB4" w14:paraId="6B01FDB8"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26AA36B8" w14:textId="77777777" w:rsidR="00114789" w:rsidRPr="00B92FD5" w:rsidRDefault="00114789" w:rsidP="00A642F9">
            <w:pPr>
              <w:spacing w:after="40"/>
              <w:rPr>
                <w:lang w:val="es-ES_tradnl" w:eastAsia="es-ES" w:bidi="es-ES"/>
              </w:rPr>
            </w:pPr>
          </w:p>
        </w:tc>
      </w:tr>
      <w:tr w:rsidR="00114789" w:rsidRPr="00ED5AB4" w14:paraId="23C0F2CE"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466F639F" w14:textId="77777777" w:rsidR="00114789" w:rsidRPr="00B92FD5" w:rsidRDefault="00114789" w:rsidP="00A642F9">
            <w:pPr>
              <w:rPr>
                <w:b/>
                <w:lang w:val="es-ES_tradnl" w:eastAsia="es-ES" w:bidi="es-ES"/>
              </w:rPr>
            </w:pPr>
            <w:r w:rsidRPr="00B92FD5">
              <w:rPr>
                <w:b/>
                <w:lang w:val="es-ES_tradnl" w:eastAsia="es-ES" w:bidi="es-ES"/>
              </w:rPr>
              <w:t>2.2.5</w:t>
            </w:r>
          </w:p>
        </w:tc>
        <w:tc>
          <w:tcPr>
            <w:tcW w:w="1703" w:type="dxa"/>
            <w:tcBorders>
              <w:top w:val="nil"/>
              <w:left w:val="nil"/>
              <w:bottom w:val="nil"/>
              <w:right w:val="nil"/>
            </w:tcBorders>
            <w:shd w:val="clear" w:color="auto" w:fill="auto"/>
          </w:tcPr>
          <w:p w14:paraId="3A4D9444" w14:textId="77777777" w:rsidR="00114789" w:rsidRPr="00B92FD5" w:rsidRDefault="00114789" w:rsidP="00A642F9">
            <w:pPr>
              <w:rPr>
                <w:b/>
                <w:bCs/>
                <w:lang w:val="es-ES_tradnl" w:eastAsia="es-ES" w:bidi="es-ES"/>
              </w:rPr>
            </w:pPr>
            <w:r w:rsidRPr="00B92FD5">
              <w:rPr>
                <w:b/>
                <w:lang w:val="es-ES_tradnl" w:eastAsia="es-ES" w:bidi="es-ES"/>
              </w:rPr>
              <w:t>Efectos sobre la reproducción</w:t>
            </w:r>
          </w:p>
        </w:tc>
        <w:tc>
          <w:tcPr>
            <w:tcW w:w="6993" w:type="dxa"/>
            <w:tcBorders>
              <w:top w:val="nil"/>
              <w:left w:val="nil"/>
              <w:bottom w:val="nil"/>
              <w:right w:val="nil"/>
            </w:tcBorders>
            <w:shd w:val="clear" w:color="auto" w:fill="auto"/>
          </w:tcPr>
          <w:p w14:paraId="4D3DD5CF" w14:textId="77777777" w:rsidR="00114789" w:rsidRPr="00B92FD5" w:rsidRDefault="00114789" w:rsidP="00A642F9">
            <w:pPr>
              <w:spacing w:before="20"/>
              <w:rPr>
                <w:lang w:val="es-ES_tradnl" w:eastAsia="es-ES" w:bidi="es-ES"/>
              </w:rPr>
            </w:pPr>
            <w:r w:rsidRPr="00B92FD5">
              <w:rPr>
                <w:lang w:val="es-ES_tradnl" w:eastAsia="es-ES" w:bidi="es-ES"/>
              </w:rPr>
              <w:t>Toxicidad reproductiva en la 2a generación, rata: NOAEL 0,16 mg/kg pc/d (FAO 2004)</w:t>
            </w:r>
          </w:p>
          <w:p w14:paraId="58404F9F" w14:textId="77777777" w:rsidR="00114789" w:rsidRPr="00B92FD5" w:rsidRDefault="00114789" w:rsidP="00A642F9">
            <w:pPr>
              <w:spacing w:before="80"/>
              <w:rPr>
                <w:lang w:val="es-ES_tradnl" w:eastAsia="es-ES" w:bidi="es-ES"/>
              </w:rPr>
            </w:pPr>
            <w:r w:rsidRPr="00B92FD5">
              <w:rPr>
                <w:lang w:val="es-ES_tradnl" w:eastAsia="es-ES" w:bidi="es-ES"/>
              </w:rPr>
              <w:t>Toxicidad del desarrollo, rata: NOAEL (del desarrollo, materna) 4,2 mg/kg pc/d (FAO 2004)</w:t>
            </w:r>
          </w:p>
          <w:p w14:paraId="363B7668" w14:textId="77777777" w:rsidR="00114789" w:rsidRPr="00B92FD5" w:rsidRDefault="00114789" w:rsidP="00A642F9">
            <w:pPr>
              <w:spacing w:before="80"/>
              <w:rPr>
                <w:lang w:val="es-ES_tradnl" w:eastAsia="es-ES" w:bidi="es-ES"/>
              </w:rPr>
            </w:pPr>
            <w:r w:rsidRPr="00B92FD5">
              <w:rPr>
                <w:lang w:val="es-ES_tradnl" w:eastAsia="es-ES" w:bidi="es-ES"/>
              </w:rPr>
              <w:t>Toxicidad del desarrollo, conejo: NOAEL (del desarrollo) 2,75 mg/kg pc/d, NOAEL (materno) 1 mg/kg pc, sin evidencia de teratogénesis (FAO 2004)</w:t>
            </w:r>
          </w:p>
          <w:p w14:paraId="223A3FFC" w14:textId="77777777" w:rsidR="00114789" w:rsidRPr="00B92FD5" w:rsidRDefault="00114789" w:rsidP="00A642F9">
            <w:pPr>
              <w:spacing w:before="80"/>
              <w:rPr>
                <w:lang w:val="es-ES_tradnl" w:eastAsia="es-ES" w:bidi="es-ES"/>
              </w:rPr>
            </w:pPr>
            <w:r w:rsidRPr="00B92FD5">
              <w:rPr>
                <w:lang w:val="es-ES_tradnl" w:eastAsia="es-ES" w:bidi="es-ES"/>
              </w:rPr>
              <w:t xml:space="preserve">Efectos en la reproducción: inyecciones únicas de 40 u 80 mg/kg de </w:t>
            </w:r>
            <w:proofErr w:type="spellStart"/>
            <w:r w:rsidRPr="00B92FD5">
              <w:rPr>
                <w:lang w:val="es-ES_tradnl" w:eastAsia="es-ES" w:bidi="es-ES"/>
              </w:rPr>
              <w:t>fentión</w:t>
            </w:r>
            <w:proofErr w:type="spellEnd"/>
            <w:r w:rsidRPr="00B92FD5">
              <w:rPr>
                <w:lang w:val="es-ES_tradnl" w:eastAsia="es-ES" w:bidi="es-ES"/>
              </w:rPr>
              <w:t xml:space="preserve"> en las cavidades abdominales de ratones hembras preñados causaron envenenamiento en los fetos en desarrollo, especialmente cuando se administraron en los días 10 a 12 de gestación. Se encontraron anomalías más significativas en las crías de los ratones hembras que habían recibido 40 mg/kg en los días 8 o 10 de preñez. Los fetos sufrieron daños principalmente por dosis que causaban toxicidad en el ratón madre. No se observó influencia en la reproducción en otros estudios en ratones de 3a generación. Después de administrar 0,5 mg/kg/d durante 30 días, los huevos de los ánades reales sobrevivientes tenían una marcada reducción de la fertilidad. Una vez que se encuentra en el torrente sanguíneo, el </w:t>
            </w:r>
            <w:proofErr w:type="spellStart"/>
            <w:r w:rsidRPr="00B92FD5">
              <w:rPr>
                <w:lang w:val="es-ES_tradnl" w:eastAsia="es-ES" w:bidi="es-ES"/>
              </w:rPr>
              <w:t>fentión</w:t>
            </w:r>
            <w:proofErr w:type="spellEnd"/>
            <w:r w:rsidRPr="00B92FD5">
              <w:rPr>
                <w:lang w:val="es-ES_tradnl" w:eastAsia="es-ES" w:bidi="es-ES"/>
              </w:rPr>
              <w:t xml:space="preserve"> puede atravesar la placenta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p w14:paraId="2FB575F9" w14:textId="77777777" w:rsidR="00114789" w:rsidRPr="00B92FD5" w:rsidRDefault="00114789" w:rsidP="00A642F9">
            <w:pPr>
              <w:spacing w:before="80"/>
              <w:rPr>
                <w:lang w:val="es-ES_tradnl" w:eastAsia="es-ES" w:bidi="es-ES"/>
              </w:rPr>
            </w:pPr>
            <w:r w:rsidRPr="00B92FD5">
              <w:rPr>
                <w:lang w:val="es-ES_tradnl" w:eastAsia="es-ES" w:bidi="es-ES"/>
              </w:rPr>
              <w:t xml:space="preserve">Efectos teratogénicos: se produjo cierta reducción del peso fetal, pero no se encontraron defectos en ratones cuando se administraron dosis intraperitoneales de hasta 80 mg/kg de </w:t>
            </w:r>
            <w:proofErr w:type="spellStart"/>
            <w:r w:rsidRPr="00B92FD5">
              <w:rPr>
                <w:lang w:val="es-ES_tradnl" w:eastAsia="es-ES" w:bidi="es-ES"/>
              </w:rPr>
              <w:t>fentión</w:t>
            </w:r>
            <w:proofErr w:type="spellEnd"/>
            <w:r w:rsidRPr="00B92FD5">
              <w:rPr>
                <w:lang w:val="es-ES_tradnl" w:eastAsia="es-ES" w:bidi="es-ES"/>
              </w:rPr>
              <w:t xml:space="preserve"> un solo día o en períodos de tres días durante el período de gestación en que se forman órganos. Otras pruebas en ratones o ratas no mostraron efectos teratogénicos originados en el </w:t>
            </w:r>
            <w:proofErr w:type="spellStart"/>
            <w:r w:rsidRPr="00B92FD5">
              <w:rPr>
                <w:lang w:val="es-ES_tradnl" w:eastAsia="es-ES" w:bidi="es-ES"/>
              </w:rPr>
              <w:t>fentión</w:t>
            </w:r>
            <w:proofErr w:type="spellEnd"/>
            <w:r w:rsidRPr="00B92FD5">
              <w:rPr>
                <w:lang w:val="es-ES_tradnl" w:eastAsia="es-ES" w:bidi="es-ES"/>
              </w:rPr>
              <w:t xml:space="preserve">. No se observaron efectos teratogénicos en cinco generaciones de ratones que bebieron agua que contenía 60 partes por millón (ppm) de </w:t>
            </w:r>
            <w:proofErr w:type="spellStart"/>
            <w:r w:rsidRPr="00B92FD5">
              <w:rPr>
                <w:lang w:val="es-ES_tradnl" w:eastAsia="es-ES" w:bidi="es-ES"/>
              </w:rPr>
              <w:t>fentión</w:t>
            </w:r>
            <w:proofErr w:type="spellEnd"/>
            <w:r w:rsidRPr="00B92FD5">
              <w:rPr>
                <w:lang w:val="es-ES_tradnl" w:eastAsia="es-ES" w:bidi="es-ES"/>
              </w:rPr>
              <w:t xml:space="preserve">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p w14:paraId="5F7B999D" w14:textId="77777777" w:rsidR="00114789" w:rsidRPr="00B92FD5" w:rsidRDefault="00114789" w:rsidP="00A642F9">
            <w:pPr>
              <w:spacing w:before="80"/>
              <w:rPr>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no causó malformaciones de importancia o efectos significativos en la mayoría de los parámetros reproductivos en animales experimentales. En un estudio único de reproducción en ratas se notificaron cambios en el epidídimo en machos padres y, con dosis altas, inhibición de las colinesterasas eritrocitaria y plasmática en padres de ambos sexos. Sin embargo, el estudio demostró un NOEL claro de 1,16 mg/kg pc/d para parámetros reproductivos y toxicidad fetal. Estudios de desarrollo con </w:t>
            </w:r>
            <w:proofErr w:type="spellStart"/>
            <w:r w:rsidRPr="00B92FD5">
              <w:rPr>
                <w:lang w:val="es-ES_tradnl" w:eastAsia="es-ES" w:bidi="es-ES"/>
              </w:rPr>
              <w:t>fentión</w:t>
            </w:r>
            <w:proofErr w:type="spellEnd"/>
            <w:r w:rsidRPr="00B92FD5">
              <w:rPr>
                <w:lang w:val="es-ES_tradnl" w:eastAsia="es-ES" w:bidi="es-ES"/>
              </w:rPr>
              <w:t xml:space="preserve"> en ratas y conejos no revelaron efectos teratogénicos y solo se observó toxicidad fetal con niveles tóxicos maternos; hubo inhibición de la actividad de la colinesterasa cerebral en la madre, pero no en el feto (APVMA 2012a).</w:t>
            </w:r>
          </w:p>
        </w:tc>
      </w:tr>
      <w:tr w:rsidR="00114789" w:rsidRPr="00ED5AB4" w14:paraId="06B5043C"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3C2F895A" w14:textId="77777777" w:rsidR="00114789" w:rsidRPr="00B92FD5" w:rsidRDefault="00114789" w:rsidP="00A642F9">
            <w:pPr>
              <w:spacing w:after="40"/>
              <w:rPr>
                <w:lang w:val="es-ES_tradnl" w:eastAsia="es-ES" w:bidi="es-ES"/>
              </w:rPr>
            </w:pPr>
          </w:p>
        </w:tc>
      </w:tr>
      <w:tr w:rsidR="00114789" w:rsidRPr="00ED5AB4" w14:paraId="4FC2836E"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697030A9" w14:textId="77777777" w:rsidR="00114789" w:rsidRPr="00B92FD5" w:rsidRDefault="00114789" w:rsidP="00A642F9">
            <w:pPr>
              <w:rPr>
                <w:b/>
                <w:lang w:val="es-ES_tradnl" w:eastAsia="es-ES" w:bidi="es-ES"/>
              </w:rPr>
            </w:pPr>
            <w:r w:rsidRPr="00B92FD5">
              <w:rPr>
                <w:b/>
                <w:lang w:val="es-ES_tradnl" w:eastAsia="es-ES" w:bidi="es-ES"/>
              </w:rPr>
              <w:t>2.2.6</w:t>
            </w:r>
          </w:p>
        </w:tc>
        <w:tc>
          <w:tcPr>
            <w:tcW w:w="1703" w:type="dxa"/>
            <w:tcBorders>
              <w:top w:val="nil"/>
              <w:left w:val="nil"/>
              <w:bottom w:val="nil"/>
              <w:right w:val="nil"/>
            </w:tcBorders>
            <w:shd w:val="clear" w:color="auto" w:fill="auto"/>
          </w:tcPr>
          <w:p w14:paraId="1007AC72" w14:textId="77777777" w:rsidR="00114789" w:rsidRPr="00B92FD5" w:rsidRDefault="00114789" w:rsidP="00A642F9">
            <w:pPr>
              <w:rPr>
                <w:b/>
                <w:bCs/>
                <w:lang w:val="es-ES_tradnl" w:eastAsia="es-ES" w:bidi="es-ES"/>
              </w:rPr>
            </w:pPr>
            <w:r w:rsidRPr="00B92FD5">
              <w:rPr>
                <w:b/>
                <w:lang w:val="es-ES_tradnl" w:eastAsia="es-ES" w:bidi="es-ES"/>
              </w:rPr>
              <w:t>Neurotoxicidad/neurotoxicidad tardía. Estudios especiales disponibles</w:t>
            </w:r>
          </w:p>
        </w:tc>
        <w:tc>
          <w:tcPr>
            <w:tcW w:w="6993" w:type="dxa"/>
            <w:tcBorders>
              <w:top w:val="nil"/>
              <w:left w:val="nil"/>
              <w:bottom w:val="nil"/>
              <w:right w:val="nil"/>
            </w:tcBorders>
            <w:shd w:val="clear" w:color="auto" w:fill="auto"/>
          </w:tcPr>
          <w:p w14:paraId="116F5E38" w14:textId="77777777" w:rsidR="00114789" w:rsidRPr="00B92FD5" w:rsidRDefault="00114789" w:rsidP="00A642F9">
            <w:pPr>
              <w:spacing w:before="20"/>
              <w:rPr>
                <w:lang w:val="es-ES_tradnl" w:eastAsia="es-ES" w:bidi="es-ES"/>
              </w:rPr>
            </w:pPr>
            <w:r w:rsidRPr="00B92FD5">
              <w:rPr>
                <w:lang w:val="es-ES_tradnl" w:eastAsia="es-ES" w:bidi="es-ES"/>
              </w:rPr>
              <w:t xml:space="preserve">Neurotoxicidad </w:t>
            </w:r>
            <w:proofErr w:type="spellStart"/>
            <w:r w:rsidRPr="00B92FD5">
              <w:rPr>
                <w:lang w:val="es-ES_tradnl" w:eastAsia="es-ES" w:bidi="es-ES"/>
              </w:rPr>
              <w:t>subcrónica</w:t>
            </w:r>
            <w:proofErr w:type="spellEnd"/>
            <w:r w:rsidRPr="00B92FD5">
              <w:rPr>
                <w:lang w:val="es-ES_tradnl" w:eastAsia="es-ES" w:bidi="es-ES"/>
              </w:rPr>
              <w:t xml:space="preserve"> tardía (gallina, 3 meses): sin evidencia de neuropatía tardía inducida por organofosforados (FAO 2004)</w:t>
            </w:r>
          </w:p>
          <w:p w14:paraId="787E44C9" w14:textId="77777777" w:rsidR="00114789" w:rsidRPr="00B92FD5" w:rsidRDefault="00114789" w:rsidP="00A642F9">
            <w:pPr>
              <w:spacing w:before="20"/>
              <w:rPr>
                <w:lang w:val="es-ES_tradnl" w:eastAsia="es-ES" w:bidi="es-ES"/>
              </w:rPr>
            </w:pPr>
            <w:r w:rsidRPr="00B92FD5">
              <w:rPr>
                <w:lang w:val="es-ES_tradnl" w:eastAsia="es-ES" w:bidi="es-ES"/>
              </w:rPr>
              <w:t>Poco probable que tenga riesgo de neurotoxicidad tardía en seres humanos (EU 2005)</w:t>
            </w:r>
          </w:p>
          <w:p w14:paraId="1F21C6F0" w14:textId="77777777" w:rsidR="00114789" w:rsidRPr="00B92FD5" w:rsidRDefault="00114789" w:rsidP="00A642F9">
            <w:pPr>
              <w:spacing w:before="20"/>
              <w:rPr>
                <w:lang w:val="es-ES_tradnl" w:eastAsia="es-ES" w:bidi="es-ES"/>
              </w:rPr>
            </w:pPr>
            <w:r w:rsidRPr="00B92FD5">
              <w:rPr>
                <w:lang w:val="es-ES_tradnl" w:eastAsia="es-ES" w:bidi="es-ES"/>
              </w:rPr>
              <w:t xml:space="preserve">No hubo evidencia de que el </w:t>
            </w:r>
            <w:proofErr w:type="spellStart"/>
            <w:r w:rsidRPr="00B92FD5">
              <w:rPr>
                <w:lang w:val="es-ES_tradnl" w:eastAsia="es-ES" w:bidi="es-ES"/>
              </w:rPr>
              <w:t>fentión</w:t>
            </w:r>
            <w:proofErr w:type="spellEnd"/>
            <w:r w:rsidRPr="00B92FD5">
              <w:rPr>
                <w:lang w:val="es-ES_tradnl" w:eastAsia="es-ES" w:bidi="es-ES"/>
              </w:rPr>
              <w:t xml:space="preserve"> cause neuropatía tardía (REF) o inhibición de Esterasa Blanco de Neuropatía en estudios con dosis oral única o dosis dérmicas en la LD</w:t>
            </w:r>
            <w:r w:rsidRPr="00B92FD5">
              <w:rPr>
                <w:vertAlign w:val="subscript"/>
                <w:lang w:val="es-ES_tradnl" w:eastAsia="es-ES" w:bidi="es-ES"/>
              </w:rPr>
              <w:t>50</w:t>
            </w:r>
            <w:r w:rsidRPr="00B92FD5">
              <w:rPr>
                <w:lang w:val="es-ES_tradnl" w:eastAsia="es-ES" w:bidi="es-ES"/>
              </w:rPr>
              <w:t xml:space="preserve"> o por encima de ella. Como se anticipó, se observó inhibición reversible de la actividad de la colinesterasa relacionada con la dosis, pero este efecto no estuvo acompañado de cambios microscópicos en los tejidos nerviosos, incluso en aquellos animales que mostraron signos clínicos macroscópicos. En ocasiones, se informó algún deterioro de la actividad motora con dosis elevadas, pero este efecto fue transitorio y reversible (APVMA 2012a).</w:t>
            </w:r>
          </w:p>
          <w:p w14:paraId="6DD998A9" w14:textId="77777777" w:rsidR="00114789" w:rsidRPr="00B92FD5" w:rsidRDefault="00114789" w:rsidP="00A642F9">
            <w:pPr>
              <w:spacing w:before="20"/>
              <w:rPr>
                <w:lang w:val="es-ES_tradnl" w:eastAsia="es-ES" w:bidi="es-ES"/>
              </w:rPr>
            </w:pPr>
          </w:p>
        </w:tc>
      </w:tr>
      <w:tr w:rsidR="00114789" w:rsidRPr="00B92FD5" w14:paraId="294B4F92"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7438EC7F" w14:textId="77777777" w:rsidR="00114789" w:rsidRPr="00B92FD5" w:rsidRDefault="00114789" w:rsidP="00A642F9">
            <w:pPr>
              <w:spacing w:after="60"/>
              <w:rPr>
                <w:b/>
                <w:bCs/>
                <w:lang w:val="es-ES_tradnl" w:eastAsia="es-ES" w:bidi="es-ES"/>
              </w:rPr>
            </w:pPr>
            <w:r w:rsidRPr="00B92FD5">
              <w:rPr>
                <w:b/>
                <w:lang w:val="es-ES_tradnl" w:eastAsia="es-ES" w:bidi="es-ES"/>
              </w:rPr>
              <w:t>2.2.7</w:t>
            </w:r>
          </w:p>
        </w:tc>
        <w:tc>
          <w:tcPr>
            <w:tcW w:w="1703" w:type="dxa"/>
            <w:tcBorders>
              <w:top w:val="nil"/>
              <w:left w:val="nil"/>
              <w:bottom w:val="nil"/>
              <w:right w:val="nil"/>
            </w:tcBorders>
            <w:shd w:val="clear" w:color="auto" w:fill="auto"/>
          </w:tcPr>
          <w:p w14:paraId="46D5C6A9" w14:textId="77777777" w:rsidR="00114789" w:rsidRPr="00B92FD5" w:rsidRDefault="00114789" w:rsidP="00A642F9">
            <w:pPr>
              <w:keepNext/>
              <w:keepLines/>
              <w:spacing w:before="20" w:after="20"/>
              <w:outlineLvl w:val="2"/>
              <w:rPr>
                <w:b/>
                <w:bCs/>
                <w:lang w:val="es-ES_tradnl" w:eastAsia="es-ES" w:bidi="es-ES"/>
              </w:rPr>
            </w:pPr>
            <w:r w:rsidRPr="00B92FD5">
              <w:rPr>
                <w:b/>
                <w:lang w:val="es-ES_tradnl" w:eastAsia="es-ES" w:bidi="es-ES"/>
              </w:rPr>
              <w:t>Resumen de la toxicidad en mamíferos y evaluación global</w:t>
            </w:r>
          </w:p>
        </w:tc>
        <w:tc>
          <w:tcPr>
            <w:tcW w:w="6993" w:type="dxa"/>
            <w:tcBorders>
              <w:top w:val="nil"/>
              <w:left w:val="nil"/>
              <w:bottom w:val="nil"/>
              <w:right w:val="nil"/>
            </w:tcBorders>
            <w:shd w:val="clear" w:color="auto" w:fill="auto"/>
          </w:tcPr>
          <w:p w14:paraId="12332B6C" w14:textId="77777777" w:rsidR="00114789" w:rsidRPr="00B92FD5" w:rsidRDefault="00114789" w:rsidP="00A642F9">
            <w:pPr>
              <w:spacing w:before="20"/>
              <w:rPr>
                <w:iCs/>
                <w:snapToGrid w:val="0"/>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es moderadamente tóxico por ingesta, inhalación o absorción por vía dérmica. Afecta los sistemas nervioso central, cardiovascular y respiratorio y puede producir irritación en los ojos y membranas mucosas. Como sucede con todos los organofosforados, el </w:t>
            </w:r>
            <w:proofErr w:type="spellStart"/>
            <w:r w:rsidRPr="00B92FD5">
              <w:rPr>
                <w:lang w:val="es-ES_tradnl" w:eastAsia="es-ES" w:bidi="es-ES"/>
              </w:rPr>
              <w:t>fentión</w:t>
            </w:r>
            <w:proofErr w:type="spellEnd"/>
            <w:r w:rsidRPr="00B92FD5">
              <w:rPr>
                <w:lang w:val="es-ES_tradnl" w:eastAsia="es-ES" w:bidi="es-ES"/>
              </w:rPr>
              <w:t xml:space="preserve"> se absorbe fácilmente por vía dérmica. Los insecticidas organofosforados son inhibidores de colinesterasa. Son muy tóxicos a través de todas las vías de exposición.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 </w:t>
            </w:r>
          </w:p>
          <w:p w14:paraId="50158289" w14:textId="77777777" w:rsidR="00114789" w:rsidRPr="00B92FD5" w:rsidRDefault="00114789" w:rsidP="00A642F9">
            <w:pPr>
              <w:spacing w:before="20"/>
              <w:rPr>
                <w:lang w:val="es-ES_tradnl" w:eastAsia="es-ES" w:bidi="es-ES"/>
              </w:rPr>
            </w:pPr>
            <w:r w:rsidRPr="00B92FD5">
              <w:rPr>
                <w:lang w:val="es-ES_tradnl" w:eastAsia="es-ES" w:bidi="es-ES"/>
              </w:rPr>
              <w:t>El potencial de genotoxicidad, teratogénesis/toxicidad reproductiva y carcinogénesis es bajo.</w:t>
            </w:r>
          </w:p>
          <w:p w14:paraId="643D935D" w14:textId="77777777" w:rsidR="00114789" w:rsidRPr="00B92FD5" w:rsidRDefault="00114789" w:rsidP="00A642F9">
            <w:pPr>
              <w:keepNext/>
              <w:keepLines/>
              <w:spacing w:before="20"/>
              <w:rPr>
                <w:lang w:val="es-ES_tradnl" w:eastAsia="es-ES" w:bidi="es-ES"/>
              </w:rPr>
            </w:pPr>
          </w:p>
        </w:tc>
      </w:tr>
      <w:tr w:rsidR="00114789" w:rsidRPr="00ED5AB4" w14:paraId="489F9278"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cantSplit/>
        </w:trPr>
        <w:tc>
          <w:tcPr>
            <w:tcW w:w="709" w:type="dxa"/>
            <w:tcBorders>
              <w:top w:val="nil"/>
              <w:left w:val="nil"/>
              <w:bottom w:val="single" w:sz="4" w:space="0" w:color="auto"/>
              <w:right w:val="nil"/>
            </w:tcBorders>
            <w:shd w:val="clear" w:color="auto" w:fill="auto"/>
          </w:tcPr>
          <w:p w14:paraId="49386663" w14:textId="77777777" w:rsidR="00114789" w:rsidRPr="00B92FD5" w:rsidRDefault="00114789" w:rsidP="00A642F9">
            <w:pPr>
              <w:keepNext/>
              <w:widowControl w:val="0"/>
              <w:spacing w:before="120" w:after="120"/>
              <w:rPr>
                <w:b/>
                <w:szCs w:val="24"/>
                <w:lang w:val="es-ES_tradnl" w:eastAsia="es-ES" w:bidi="es-ES"/>
              </w:rPr>
            </w:pPr>
            <w:r w:rsidRPr="00B92FD5">
              <w:rPr>
                <w:b/>
                <w:lang w:val="es-ES_tradnl" w:eastAsia="es-ES" w:bidi="es-ES"/>
              </w:rPr>
              <w:t>3</w:t>
            </w:r>
          </w:p>
        </w:tc>
        <w:tc>
          <w:tcPr>
            <w:tcW w:w="8696" w:type="dxa"/>
            <w:gridSpan w:val="2"/>
            <w:tcBorders>
              <w:top w:val="nil"/>
              <w:left w:val="nil"/>
              <w:bottom w:val="single" w:sz="4" w:space="0" w:color="auto"/>
              <w:right w:val="nil"/>
            </w:tcBorders>
            <w:shd w:val="clear" w:color="auto" w:fill="auto"/>
          </w:tcPr>
          <w:p w14:paraId="13BCAF59" w14:textId="77777777" w:rsidR="00114789" w:rsidRPr="00B92FD5" w:rsidRDefault="00114789" w:rsidP="00A642F9">
            <w:pPr>
              <w:widowControl w:val="0"/>
              <w:spacing w:before="120" w:after="120"/>
              <w:rPr>
                <w:b/>
                <w:szCs w:val="24"/>
                <w:lang w:val="es-ES_tradnl" w:eastAsia="es-ES" w:bidi="es-ES"/>
              </w:rPr>
            </w:pPr>
            <w:r w:rsidRPr="00B92FD5">
              <w:rPr>
                <w:b/>
                <w:lang w:val="es-ES_tradnl" w:eastAsia="es-ES" w:bidi="es-ES"/>
              </w:rPr>
              <w:t>Exposición de las personas/evaluación de los riesgos</w:t>
            </w:r>
          </w:p>
        </w:tc>
      </w:tr>
      <w:tr w:rsidR="00114789" w:rsidRPr="00ED5AB4" w14:paraId="052CF326"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single" w:sz="4" w:space="0" w:color="auto"/>
              <w:left w:val="nil"/>
              <w:bottom w:val="nil"/>
              <w:right w:val="nil"/>
            </w:tcBorders>
            <w:shd w:val="clear" w:color="auto" w:fill="auto"/>
          </w:tcPr>
          <w:p w14:paraId="2CC2D4B8" w14:textId="77777777" w:rsidR="00114789" w:rsidRPr="00B92FD5" w:rsidRDefault="00114789" w:rsidP="00A642F9">
            <w:pPr>
              <w:spacing w:after="60"/>
              <w:rPr>
                <w:b/>
                <w:bCs/>
                <w:lang w:val="es-ES_tradnl" w:eastAsia="es-ES" w:bidi="es-ES"/>
              </w:rPr>
            </w:pPr>
            <w:r w:rsidRPr="00B92FD5">
              <w:rPr>
                <w:b/>
                <w:lang w:val="es-ES_tradnl" w:eastAsia="es-ES" w:bidi="es-ES"/>
              </w:rPr>
              <w:t>3.1</w:t>
            </w:r>
          </w:p>
        </w:tc>
        <w:tc>
          <w:tcPr>
            <w:tcW w:w="1703" w:type="dxa"/>
            <w:tcBorders>
              <w:top w:val="single" w:sz="4" w:space="0" w:color="auto"/>
              <w:left w:val="nil"/>
              <w:bottom w:val="nil"/>
              <w:right w:val="nil"/>
            </w:tcBorders>
            <w:shd w:val="clear" w:color="auto" w:fill="auto"/>
          </w:tcPr>
          <w:p w14:paraId="4967697D"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Alimentos</w:t>
            </w:r>
          </w:p>
        </w:tc>
        <w:tc>
          <w:tcPr>
            <w:tcW w:w="6993" w:type="dxa"/>
            <w:tcBorders>
              <w:top w:val="single" w:sz="4" w:space="0" w:color="auto"/>
              <w:left w:val="nil"/>
              <w:bottom w:val="nil"/>
              <w:right w:val="nil"/>
            </w:tcBorders>
            <w:shd w:val="clear" w:color="auto" w:fill="auto"/>
          </w:tcPr>
          <w:p w14:paraId="1F46C7AA" w14:textId="77777777" w:rsidR="00114789" w:rsidRPr="00B92FD5" w:rsidRDefault="00114789" w:rsidP="00A642F9">
            <w:pPr>
              <w:rPr>
                <w:lang w:val="es-ES_tradnl" w:eastAsia="es-ES" w:bidi="es-ES"/>
              </w:rPr>
            </w:pPr>
            <w:r w:rsidRPr="00B92FD5">
              <w:rPr>
                <w:lang w:val="es-ES_tradnl" w:eastAsia="es-ES" w:bidi="es-ES"/>
              </w:rPr>
              <w:t xml:space="preserve">En la 20ª Encuesta de Dieta Total Australiana (ATDS) (2003) que se lleva a cabo con el patrocinio de las Normas Alimentarias de Australia y Nueva Zelanda (FSANZ), se calculó que la ingesta media a través de la dieta de residuos de </w:t>
            </w:r>
            <w:proofErr w:type="spellStart"/>
            <w:r w:rsidRPr="00B92FD5">
              <w:rPr>
                <w:lang w:val="es-ES_tradnl" w:eastAsia="es-ES" w:bidi="es-ES"/>
              </w:rPr>
              <w:t>fentión</w:t>
            </w:r>
            <w:proofErr w:type="spellEnd"/>
            <w:r w:rsidRPr="00B92FD5">
              <w:rPr>
                <w:lang w:val="es-ES_tradnl" w:eastAsia="es-ES" w:bidi="es-ES"/>
              </w:rPr>
              <w:t xml:space="preserve"> era de 0,0022 µg/kg pc/d para hombres y mujeres adultos; 0,0025 y 0,0023 µg/kg pc/d para niños y niñas, respectivamente; 0,0033 g/kg pc/d para niños en sus primeros pasos y 0,0025 µg/kg pc/d para lactantes (APVMA 2012a).</w:t>
            </w:r>
          </w:p>
          <w:p w14:paraId="796683C5" w14:textId="77777777" w:rsidR="00114789" w:rsidRPr="00B92FD5" w:rsidRDefault="00114789" w:rsidP="00A642F9">
            <w:pPr>
              <w:autoSpaceDE w:val="0"/>
              <w:autoSpaceDN w:val="0"/>
              <w:adjustRightInd w:val="0"/>
              <w:rPr>
                <w:lang w:val="es-ES_tradnl" w:eastAsia="es-ES" w:bidi="es-ES"/>
              </w:rPr>
            </w:pPr>
            <w:r w:rsidRPr="00B92FD5">
              <w:rPr>
                <w:lang w:val="es-ES_tradnl" w:eastAsia="es-ES" w:bidi="es-ES"/>
              </w:rPr>
              <w:t xml:space="preserve">En general, una estimación del riesgo de intoxicación por la dieta menor al 100 % de la dosis ajustada aguda o crónica por población no excede el nivel de preocupación de riesgos de la Agencia. Los riesgos de intoxicación aguda y crónica con </w:t>
            </w:r>
            <w:proofErr w:type="spellStart"/>
            <w:r w:rsidRPr="00B92FD5">
              <w:rPr>
                <w:lang w:val="es-ES_tradnl" w:eastAsia="es-ES" w:bidi="es-ES"/>
              </w:rPr>
              <w:t>fentión</w:t>
            </w:r>
            <w:proofErr w:type="spellEnd"/>
            <w:r w:rsidRPr="00B92FD5">
              <w:rPr>
                <w:lang w:val="es-ES_tradnl" w:eastAsia="es-ES" w:bidi="es-ES"/>
              </w:rPr>
              <w:t xml:space="preserve"> por la dieta, que provengan de alimentos, exceden el nivel de preocupación de la Agencia de Protección Ambiental de los Estados Unidos para la población general de ese país y diversos subgrupos poblacionales, que incluyen lactantes y niños. El subgrupo más expuesto es el de los niños entre 1 y 6 años, con aproximadamente el 800 % de la dosis aguda ajustada por población (en el percentil 99,9 de exposición) y 270 % de la dosis crónica consumida ajustada por población. </w:t>
            </w:r>
          </w:p>
          <w:p w14:paraId="6CDA138D" w14:textId="77777777" w:rsidR="00114789" w:rsidRPr="00B92FD5" w:rsidRDefault="00114789" w:rsidP="00A642F9">
            <w:pPr>
              <w:rPr>
                <w:lang w:val="es-ES_tradnl" w:eastAsia="es-ES" w:bidi="es-ES"/>
              </w:rPr>
            </w:pPr>
            <w:r w:rsidRPr="00B92FD5">
              <w:rPr>
                <w:lang w:val="es-ES_tradnl" w:eastAsia="es-ES" w:bidi="es-ES"/>
              </w:rPr>
              <w:t xml:space="preserve">En el análisis crónico, los lactantes fueron el único subgrupo poblacional para el cual el riesgo crónico a través de la dieta estuvo por debajo del nivel de preocupación, en aproximadamente el 60 % de la dosis crónica ajustada por población. La contribución de la exposición crítica aguda y de los análisis críticos crónicos de productos básicos demuestran que el riesgo a través de la dieta estimado se debe en gran parte a los posibles residuos en carne y grasa vacunas y que la leche es un contribuyente menor al riesgo agudo y crónico a través de la dieta (USEPA 2001). </w:t>
            </w:r>
          </w:p>
        </w:tc>
      </w:tr>
      <w:tr w:rsidR="00114789" w:rsidRPr="00B92FD5" w14:paraId="1D796E19"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2878B413" w14:textId="77777777" w:rsidR="00114789" w:rsidRPr="00B92FD5" w:rsidRDefault="00114789" w:rsidP="00A642F9">
            <w:pPr>
              <w:spacing w:after="60"/>
              <w:rPr>
                <w:b/>
                <w:bCs/>
                <w:lang w:val="es-ES_tradnl" w:eastAsia="es-ES" w:bidi="es-ES"/>
              </w:rPr>
            </w:pPr>
            <w:r w:rsidRPr="00B92FD5">
              <w:rPr>
                <w:b/>
                <w:lang w:val="es-ES_tradnl" w:eastAsia="es-ES" w:bidi="es-ES"/>
              </w:rPr>
              <w:t>3.2</w:t>
            </w:r>
          </w:p>
        </w:tc>
        <w:tc>
          <w:tcPr>
            <w:tcW w:w="1703" w:type="dxa"/>
            <w:tcBorders>
              <w:top w:val="nil"/>
              <w:left w:val="nil"/>
              <w:bottom w:val="nil"/>
              <w:right w:val="nil"/>
            </w:tcBorders>
            <w:shd w:val="clear" w:color="auto" w:fill="auto"/>
          </w:tcPr>
          <w:p w14:paraId="39A10A61" w14:textId="77777777" w:rsidR="00114789" w:rsidRPr="00B92FD5" w:rsidRDefault="00114789" w:rsidP="00A642F9">
            <w:pPr>
              <w:spacing w:before="20" w:after="20"/>
              <w:ind w:right="-108"/>
              <w:outlineLvl w:val="2"/>
              <w:rPr>
                <w:b/>
                <w:bCs/>
                <w:lang w:val="es-ES_tradnl" w:eastAsia="es-ES" w:bidi="es-ES"/>
              </w:rPr>
            </w:pPr>
            <w:r w:rsidRPr="00B92FD5">
              <w:rPr>
                <w:b/>
                <w:lang w:val="es-ES_tradnl" w:eastAsia="es-ES" w:bidi="es-ES"/>
              </w:rPr>
              <w:t>Aire</w:t>
            </w:r>
          </w:p>
        </w:tc>
        <w:tc>
          <w:tcPr>
            <w:tcW w:w="6993" w:type="dxa"/>
            <w:tcBorders>
              <w:top w:val="nil"/>
              <w:left w:val="nil"/>
              <w:bottom w:val="nil"/>
              <w:right w:val="nil"/>
            </w:tcBorders>
            <w:shd w:val="clear" w:color="auto" w:fill="auto"/>
          </w:tcPr>
          <w:p w14:paraId="7217FE08" w14:textId="77777777" w:rsidR="00114789" w:rsidRPr="00B92FD5" w:rsidRDefault="00114789" w:rsidP="00A642F9">
            <w:pPr>
              <w:spacing w:after="40"/>
              <w:rPr>
                <w:lang w:val="es-ES_tradnl" w:eastAsia="es-ES" w:bidi="es-ES"/>
              </w:rPr>
            </w:pPr>
            <w:r w:rsidRPr="00B92FD5">
              <w:rPr>
                <w:lang w:val="es-ES_tradnl" w:eastAsia="es-ES" w:bidi="es-ES"/>
              </w:rPr>
              <w:t>-</w:t>
            </w:r>
          </w:p>
        </w:tc>
      </w:tr>
      <w:tr w:rsidR="00114789" w:rsidRPr="00B92FD5" w14:paraId="3E1381EE"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56816BDB" w14:textId="77777777" w:rsidR="00114789" w:rsidRPr="00B92FD5" w:rsidRDefault="00114789" w:rsidP="00A642F9">
            <w:pPr>
              <w:rPr>
                <w:lang w:val="es-ES_tradnl" w:eastAsia="es-ES" w:bidi="es-ES"/>
              </w:rPr>
            </w:pPr>
          </w:p>
        </w:tc>
      </w:tr>
      <w:tr w:rsidR="00114789" w:rsidRPr="00B92FD5" w14:paraId="38B516A1"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0D6C6B58" w14:textId="77777777" w:rsidR="00114789" w:rsidRPr="00B92FD5" w:rsidRDefault="00114789" w:rsidP="00A642F9">
            <w:pPr>
              <w:spacing w:after="60"/>
              <w:rPr>
                <w:b/>
                <w:bCs/>
                <w:lang w:val="es-ES_tradnl" w:eastAsia="es-ES" w:bidi="es-ES"/>
              </w:rPr>
            </w:pPr>
            <w:r w:rsidRPr="00B92FD5">
              <w:rPr>
                <w:b/>
                <w:lang w:val="es-ES_tradnl" w:eastAsia="es-ES" w:bidi="es-ES"/>
              </w:rPr>
              <w:t>3.3</w:t>
            </w:r>
          </w:p>
        </w:tc>
        <w:tc>
          <w:tcPr>
            <w:tcW w:w="1703" w:type="dxa"/>
            <w:tcBorders>
              <w:top w:val="nil"/>
              <w:left w:val="nil"/>
              <w:bottom w:val="nil"/>
              <w:right w:val="nil"/>
            </w:tcBorders>
            <w:shd w:val="clear" w:color="auto" w:fill="auto"/>
          </w:tcPr>
          <w:p w14:paraId="135EC751" w14:textId="77777777" w:rsidR="00114789" w:rsidRPr="00B92FD5" w:rsidRDefault="00114789" w:rsidP="00A642F9">
            <w:pPr>
              <w:spacing w:before="20" w:after="20"/>
              <w:ind w:right="-108"/>
              <w:outlineLvl w:val="2"/>
              <w:rPr>
                <w:b/>
                <w:bCs/>
                <w:lang w:val="es-ES_tradnl" w:eastAsia="es-ES" w:bidi="es-ES"/>
              </w:rPr>
            </w:pPr>
            <w:r w:rsidRPr="00B92FD5">
              <w:rPr>
                <w:b/>
                <w:lang w:val="es-ES_tradnl" w:eastAsia="es-ES" w:bidi="es-ES"/>
              </w:rPr>
              <w:t>Agua</w:t>
            </w:r>
          </w:p>
        </w:tc>
        <w:tc>
          <w:tcPr>
            <w:tcW w:w="6993" w:type="dxa"/>
            <w:tcBorders>
              <w:top w:val="nil"/>
              <w:left w:val="nil"/>
              <w:bottom w:val="nil"/>
              <w:right w:val="nil"/>
            </w:tcBorders>
            <w:shd w:val="clear" w:color="auto" w:fill="auto"/>
          </w:tcPr>
          <w:p w14:paraId="361138AE" w14:textId="77777777" w:rsidR="00114789" w:rsidRPr="00B92FD5" w:rsidRDefault="00114789" w:rsidP="00A642F9">
            <w:pPr>
              <w:spacing w:before="20"/>
              <w:rPr>
                <w:lang w:val="es-ES_tradnl" w:eastAsia="es-ES" w:bidi="es-ES"/>
              </w:rPr>
            </w:pPr>
            <w:r w:rsidRPr="00B92FD5">
              <w:rPr>
                <w:lang w:val="es-ES_tradnl" w:eastAsia="es-ES" w:bidi="es-ES"/>
              </w:rPr>
              <w:t xml:space="preserve">Sobre la base de su pauta actual de utilización, la exposición de la población a los residuos de </w:t>
            </w:r>
            <w:proofErr w:type="spellStart"/>
            <w:r w:rsidRPr="00B92FD5">
              <w:rPr>
                <w:lang w:val="es-ES_tradnl" w:eastAsia="es-ES" w:bidi="es-ES"/>
              </w:rPr>
              <w:t>fentión</w:t>
            </w:r>
            <w:proofErr w:type="spellEnd"/>
            <w:r w:rsidRPr="00B92FD5">
              <w:rPr>
                <w:lang w:val="es-ES_tradnl" w:eastAsia="es-ES" w:bidi="es-ES"/>
              </w:rPr>
              <w:t xml:space="preserve"> en agua potable se considera insignificante en Australia (APVMA 2012a). </w:t>
            </w:r>
          </w:p>
          <w:p w14:paraId="77039AC0" w14:textId="77777777" w:rsidR="00114789" w:rsidRPr="00B92FD5" w:rsidRDefault="00114789" w:rsidP="00A642F9">
            <w:pPr>
              <w:autoSpaceDE w:val="0"/>
              <w:autoSpaceDN w:val="0"/>
              <w:adjustRightInd w:val="0"/>
              <w:spacing w:before="20"/>
              <w:rPr>
                <w:lang w:val="es-ES_tradnl" w:eastAsia="es-ES" w:bidi="es-ES"/>
              </w:rPr>
            </w:pPr>
            <w:r w:rsidRPr="00B92FD5">
              <w:rPr>
                <w:lang w:val="es-ES_tradnl" w:eastAsia="es-ES" w:bidi="es-ES"/>
              </w:rPr>
              <w:t xml:space="preserve">La base de datos de destino ambiental para el </w:t>
            </w:r>
            <w:proofErr w:type="spellStart"/>
            <w:r w:rsidRPr="00B92FD5">
              <w:rPr>
                <w:lang w:val="es-ES_tradnl" w:eastAsia="es-ES" w:bidi="es-ES"/>
              </w:rPr>
              <w:t>fentión</w:t>
            </w:r>
            <w:proofErr w:type="spellEnd"/>
            <w:r w:rsidRPr="00B92FD5">
              <w:rPr>
                <w:lang w:val="es-ES_tradnl" w:eastAsia="es-ES" w:bidi="es-ES"/>
              </w:rPr>
              <w:t xml:space="preserve"> está incompleta. No obstante, se informó que el </w:t>
            </w:r>
            <w:proofErr w:type="spellStart"/>
            <w:r w:rsidRPr="00B92FD5">
              <w:rPr>
                <w:lang w:val="es-ES_tradnl" w:eastAsia="es-ES" w:bidi="es-ES"/>
              </w:rPr>
              <w:t>fentión</w:t>
            </w:r>
            <w:proofErr w:type="spellEnd"/>
            <w:r w:rsidRPr="00B92FD5">
              <w:rPr>
                <w:lang w:val="es-ES_tradnl" w:eastAsia="es-ES" w:bidi="es-ES"/>
              </w:rPr>
              <w:t xml:space="preserve"> se degrada por metabolismo microbiano aeróbico, con una vida media de &lt;1 día en suelo aeróbico y de 11 días en condiciones acuáticas anaeróbicas. Si bien no se dispone de proporciones de degradación claras, probablemente el </w:t>
            </w:r>
            <w:proofErr w:type="spellStart"/>
            <w:r w:rsidRPr="00B92FD5">
              <w:rPr>
                <w:lang w:val="es-ES_tradnl" w:eastAsia="es-ES" w:bidi="es-ES"/>
              </w:rPr>
              <w:t>fentión</w:t>
            </w:r>
            <w:proofErr w:type="spellEnd"/>
            <w:r w:rsidRPr="00B92FD5">
              <w:rPr>
                <w:lang w:val="es-ES_tradnl" w:eastAsia="es-ES" w:bidi="es-ES"/>
              </w:rPr>
              <w:t xml:space="preserve"> también se degrade por fotólisis en el agua. No se presentaron estudios de movilidad con </w:t>
            </w:r>
            <w:proofErr w:type="spellStart"/>
            <w:r w:rsidRPr="00B92FD5">
              <w:rPr>
                <w:lang w:val="es-ES_tradnl" w:eastAsia="es-ES" w:bidi="es-ES"/>
              </w:rPr>
              <w:t>fentión</w:t>
            </w:r>
            <w:proofErr w:type="spellEnd"/>
            <w:r w:rsidRPr="00B92FD5">
              <w:rPr>
                <w:lang w:val="es-ES_tradnl" w:eastAsia="es-ES" w:bidi="es-ES"/>
              </w:rPr>
              <w:t xml:space="preserve"> sin envejecer; sin embargo, dado que el </w:t>
            </w:r>
            <w:proofErr w:type="spellStart"/>
            <w:r w:rsidRPr="00B92FD5">
              <w:rPr>
                <w:lang w:val="es-ES_tradnl" w:eastAsia="es-ES" w:bidi="es-ES"/>
              </w:rPr>
              <w:t>fentión</w:t>
            </w:r>
            <w:proofErr w:type="spellEnd"/>
            <w:r w:rsidRPr="00B92FD5">
              <w:rPr>
                <w:lang w:val="es-ES_tradnl" w:eastAsia="es-ES" w:bidi="es-ES"/>
              </w:rPr>
              <w:t xml:space="preserve"> se degrada rápidamente y que las neblinas térmicas y los volúmenes ultra bajo son los únicos usos terrestres del </w:t>
            </w:r>
            <w:proofErr w:type="spellStart"/>
            <w:r w:rsidRPr="00B92FD5">
              <w:rPr>
                <w:lang w:val="es-ES_tradnl" w:eastAsia="es-ES" w:bidi="es-ES"/>
              </w:rPr>
              <w:t>fentión</w:t>
            </w:r>
            <w:proofErr w:type="spellEnd"/>
            <w:r w:rsidRPr="00B92FD5">
              <w:rPr>
                <w:lang w:val="es-ES_tradnl" w:eastAsia="es-ES" w:bidi="es-ES"/>
              </w:rPr>
              <w:t xml:space="preserve">, probablemente no haya una contaminación grave de las aguas subterráneas originada en el compuesto primario. </w:t>
            </w:r>
          </w:p>
          <w:p w14:paraId="6054AD76" w14:textId="77777777" w:rsidR="00114789" w:rsidRPr="00B92FD5" w:rsidRDefault="00114789" w:rsidP="00A642F9">
            <w:pPr>
              <w:autoSpaceDE w:val="0"/>
              <w:autoSpaceDN w:val="0"/>
              <w:adjustRightInd w:val="0"/>
              <w:spacing w:before="20"/>
              <w:rPr>
                <w:lang w:val="es-ES_tradnl" w:eastAsia="es-ES" w:bidi="es-ES"/>
              </w:rPr>
            </w:pPr>
            <w:r w:rsidRPr="00B92FD5">
              <w:rPr>
                <w:lang w:val="es-ES_tradnl" w:eastAsia="es-ES" w:bidi="es-ES"/>
              </w:rPr>
              <w:t xml:space="preserve">En cuanto a los usos ganaderos, dado que el </w:t>
            </w:r>
            <w:proofErr w:type="spellStart"/>
            <w:r w:rsidRPr="00B92FD5">
              <w:rPr>
                <w:lang w:val="es-ES_tradnl" w:eastAsia="es-ES" w:bidi="es-ES"/>
              </w:rPr>
              <w:t>fentión</w:t>
            </w:r>
            <w:proofErr w:type="spellEnd"/>
            <w:r w:rsidRPr="00B92FD5">
              <w:rPr>
                <w:lang w:val="es-ES_tradnl" w:eastAsia="es-ES" w:bidi="es-ES"/>
              </w:rPr>
              <w:t xml:space="preserve"> está o bien dentro de una marca en la oreja o se usa de manera puntual para tratar el ganado, no se prevé que estos usos generen una exposición significativa de los suministros de agua potable. Sin embargo, el uso de </w:t>
            </w:r>
            <w:proofErr w:type="spellStart"/>
            <w:r w:rsidRPr="00B92FD5">
              <w:rPr>
                <w:lang w:val="es-ES_tradnl" w:eastAsia="es-ES" w:bidi="es-ES"/>
              </w:rPr>
              <w:t>fentión</w:t>
            </w:r>
            <w:proofErr w:type="spellEnd"/>
            <w:r w:rsidRPr="00B92FD5">
              <w:rPr>
                <w:lang w:val="es-ES_tradnl" w:eastAsia="es-ES" w:bidi="es-ES"/>
              </w:rPr>
              <w:t xml:space="preserve"> como plaguicida de mosquitos adultos requiere que el ingrediente activo permanezca suspendido en el aire por un tiempo y que no se deposite rápidamente en el suelo. Esta aplicación técnica facilita el arrastre, reduce la deposición y extiende la zona de deposición. Por lo tanto, es posible que este uso de lugar a exposición de las aguas superficiales al arrastre de la pulverización.</w:t>
            </w:r>
          </w:p>
          <w:p w14:paraId="2B8F6F7F" w14:textId="77777777" w:rsidR="00114789" w:rsidRPr="00B92FD5" w:rsidRDefault="00114789" w:rsidP="00A642F9">
            <w:pPr>
              <w:spacing w:before="20"/>
              <w:rPr>
                <w:lang w:val="es-ES_tradnl" w:eastAsia="es-ES" w:bidi="es-ES"/>
              </w:rPr>
            </w:pPr>
            <w:r w:rsidRPr="00B92FD5">
              <w:rPr>
                <w:lang w:val="es-ES_tradnl" w:eastAsia="es-ES" w:bidi="es-ES"/>
              </w:rPr>
              <w:t xml:space="preserve">Existen datos limitados de vigilancia de las aguas subterráneas para el </w:t>
            </w:r>
            <w:proofErr w:type="spellStart"/>
            <w:r w:rsidRPr="00B92FD5">
              <w:rPr>
                <w:lang w:val="es-ES_tradnl" w:eastAsia="es-ES" w:bidi="es-ES"/>
              </w:rPr>
              <w:t>fentión</w:t>
            </w:r>
            <w:proofErr w:type="spellEnd"/>
            <w:r w:rsidRPr="00B92FD5">
              <w:rPr>
                <w:lang w:val="es-ES_tradnl" w:eastAsia="es-ES" w:bidi="es-ES"/>
              </w:rPr>
              <w:t xml:space="preserve">, pero su utilidad está limitada por el hecho de que solo se analizó el compuesto primario. El </w:t>
            </w:r>
            <w:proofErr w:type="spellStart"/>
            <w:r w:rsidRPr="00B92FD5">
              <w:rPr>
                <w:lang w:val="es-ES_tradnl" w:eastAsia="es-ES" w:bidi="es-ES"/>
              </w:rPr>
              <w:t>fentión</w:t>
            </w:r>
            <w:proofErr w:type="spellEnd"/>
            <w:r w:rsidRPr="00B92FD5">
              <w:rPr>
                <w:lang w:val="es-ES_tradnl" w:eastAsia="es-ES" w:bidi="es-ES"/>
              </w:rPr>
              <w:t xml:space="preserve"> no es tan persistente como los cinco metabolitos reglamentados que causan preocupación toxicológica (USEPA 2001).</w:t>
            </w:r>
          </w:p>
        </w:tc>
      </w:tr>
      <w:tr w:rsidR="00114789" w:rsidRPr="00B92FD5" w14:paraId="17583172"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163200DF" w14:textId="77777777" w:rsidR="00114789" w:rsidRPr="00B92FD5" w:rsidRDefault="00114789" w:rsidP="00A642F9">
            <w:pPr>
              <w:jc w:val="both"/>
              <w:rPr>
                <w:lang w:val="es-ES_tradnl" w:eastAsia="es-ES" w:bidi="es-ES"/>
              </w:rPr>
            </w:pPr>
          </w:p>
        </w:tc>
      </w:tr>
      <w:tr w:rsidR="00114789" w:rsidRPr="00ED5AB4" w14:paraId="5BE3D431"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2D6DB25D" w14:textId="77777777" w:rsidR="00114789" w:rsidRPr="00B92FD5" w:rsidRDefault="00114789" w:rsidP="00A642F9">
            <w:pPr>
              <w:spacing w:after="60"/>
              <w:rPr>
                <w:b/>
                <w:bCs/>
                <w:lang w:val="es-ES_tradnl" w:eastAsia="es-ES" w:bidi="es-ES"/>
              </w:rPr>
            </w:pPr>
            <w:r w:rsidRPr="00B92FD5">
              <w:rPr>
                <w:b/>
                <w:lang w:val="es-ES_tradnl" w:eastAsia="es-ES" w:bidi="es-ES"/>
              </w:rPr>
              <w:t>3.4</w:t>
            </w:r>
          </w:p>
        </w:tc>
        <w:tc>
          <w:tcPr>
            <w:tcW w:w="1703" w:type="dxa"/>
            <w:tcBorders>
              <w:top w:val="nil"/>
              <w:left w:val="nil"/>
              <w:bottom w:val="nil"/>
              <w:right w:val="nil"/>
            </w:tcBorders>
            <w:shd w:val="clear" w:color="auto" w:fill="auto"/>
          </w:tcPr>
          <w:p w14:paraId="64606C5B" w14:textId="77777777" w:rsidR="00114789" w:rsidRPr="00B92FD5" w:rsidRDefault="00114789" w:rsidP="00A642F9">
            <w:pPr>
              <w:rPr>
                <w:b/>
                <w:bCs/>
                <w:lang w:val="es-ES_tradnl" w:eastAsia="es-ES" w:bidi="es-ES"/>
              </w:rPr>
            </w:pPr>
            <w:r w:rsidRPr="00B92FD5">
              <w:rPr>
                <w:b/>
                <w:lang w:val="es-ES_tradnl" w:eastAsia="es-ES" w:bidi="es-ES"/>
              </w:rPr>
              <w:t xml:space="preserve">Exposición ocupacional y a través de la dieta </w:t>
            </w:r>
          </w:p>
        </w:tc>
        <w:tc>
          <w:tcPr>
            <w:tcW w:w="6993" w:type="dxa"/>
            <w:tcBorders>
              <w:top w:val="nil"/>
              <w:left w:val="nil"/>
              <w:bottom w:val="nil"/>
              <w:right w:val="nil"/>
            </w:tcBorders>
            <w:shd w:val="clear" w:color="auto" w:fill="auto"/>
          </w:tcPr>
          <w:p w14:paraId="6229BF57" w14:textId="77777777" w:rsidR="00114789" w:rsidRPr="00B92FD5" w:rsidRDefault="00114789" w:rsidP="00A642F9">
            <w:pPr>
              <w:autoSpaceDE w:val="0"/>
              <w:autoSpaceDN w:val="0"/>
              <w:adjustRightInd w:val="0"/>
              <w:spacing w:before="20"/>
              <w:rPr>
                <w:lang w:val="es-ES_tradnl" w:eastAsia="es-ES" w:bidi="es-ES"/>
              </w:rPr>
            </w:pPr>
            <w:r w:rsidRPr="00B92FD5">
              <w:rPr>
                <w:lang w:val="es-ES_tradnl" w:eastAsia="es-ES" w:bidi="es-ES"/>
              </w:rPr>
              <w:t xml:space="preserve">Los trabajadores pueden estar expuesto a un plaguicida al mezclarlo, cargarlo o aplicarlo, o al reingresar a lugares tratados. Los residentes o dueños de las viviendas pueden estar expuestos al </w:t>
            </w:r>
            <w:proofErr w:type="spellStart"/>
            <w:r w:rsidRPr="00B92FD5">
              <w:rPr>
                <w:lang w:val="es-ES_tradnl" w:eastAsia="es-ES" w:bidi="es-ES"/>
              </w:rPr>
              <w:t>fentión</w:t>
            </w:r>
            <w:proofErr w:type="spellEnd"/>
            <w:r w:rsidRPr="00B92FD5">
              <w:rPr>
                <w:lang w:val="es-ES_tradnl" w:eastAsia="es-ES" w:bidi="es-ES"/>
              </w:rPr>
              <w:t xml:space="preserve"> al ingresar en las zonas tratadas o al realizar otras actividades en ellas. Las personas que trabajan manipulando el </w:t>
            </w:r>
            <w:proofErr w:type="spellStart"/>
            <w:r w:rsidRPr="00B92FD5">
              <w:rPr>
                <w:lang w:val="es-ES_tradnl" w:eastAsia="es-ES" w:bidi="es-ES"/>
              </w:rPr>
              <w:t>fentión</w:t>
            </w:r>
            <w:proofErr w:type="spellEnd"/>
            <w:r w:rsidRPr="00B92FD5">
              <w:rPr>
                <w:lang w:val="es-ES_tradnl" w:eastAsia="es-ES" w:bidi="es-ES"/>
              </w:rPr>
              <w:t xml:space="preserve"> son: mezcladores y cargadores, aplicadores y banderilleros para usos en el control de los mosquitos; los aplicadores para uso en el ganado y los aplicadores en usos en la acuicultura. Aunque en los Estados Unidos no hay usos del </w:t>
            </w:r>
            <w:proofErr w:type="spellStart"/>
            <w:r w:rsidRPr="00B92FD5">
              <w:rPr>
                <w:lang w:val="es-ES_tradnl" w:eastAsia="es-ES" w:bidi="es-ES"/>
              </w:rPr>
              <w:t>fentión</w:t>
            </w:r>
            <w:proofErr w:type="spellEnd"/>
            <w:r w:rsidRPr="00B92FD5">
              <w:rPr>
                <w:lang w:val="es-ES_tradnl" w:eastAsia="es-ES" w:bidi="es-ES"/>
              </w:rPr>
              <w:t xml:space="preserve"> por parte de dueños de hogares, puede haber exposición residencial de adultos y niños originada en el uso del </w:t>
            </w:r>
            <w:proofErr w:type="spellStart"/>
            <w:r w:rsidRPr="00B92FD5">
              <w:rPr>
                <w:lang w:val="es-ES_tradnl" w:eastAsia="es-ES" w:bidi="es-ES"/>
              </w:rPr>
              <w:t>fentión</w:t>
            </w:r>
            <w:proofErr w:type="spellEnd"/>
            <w:r w:rsidRPr="00B92FD5">
              <w:rPr>
                <w:lang w:val="es-ES_tradnl" w:eastAsia="es-ES" w:bidi="es-ES"/>
              </w:rPr>
              <w:t xml:space="preserve"> en zonas amplias de control plaguicida de mosquitos adultos. </w:t>
            </w:r>
          </w:p>
          <w:p w14:paraId="769E561A" w14:textId="77777777" w:rsidR="00114789" w:rsidRPr="00B92FD5" w:rsidRDefault="00114789" w:rsidP="00A642F9">
            <w:pPr>
              <w:spacing w:before="20"/>
              <w:rPr>
                <w:lang w:val="es-ES_tradnl" w:eastAsia="es-ES" w:bidi="es-ES"/>
              </w:rPr>
            </w:pPr>
            <w:r w:rsidRPr="00B92FD5">
              <w:rPr>
                <w:lang w:val="es-ES_tradnl" w:eastAsia="es-ES" w:bidi="es-ES"/>
              </w:rPr>
              <w:t xml:space="preserve">El riesgo para todas estas poblaciones potencialmente expuestas se mide usando el margen de exposición, que determina cuán cercana está la exposición ocupacional o residencial del nivel sin efectos perjudiciales observados (NOAEL). En general, el margen de exposición mayor a 100 no excede el nivel de preocupación de riesgos de la Agencia de Protección Ambiental de los Estados Unidos. Sin embargo, en el caso del </w:t>
            </w:r>
            <w:proofErr w:type="spellStart"/>
            <w:r w:rsidRPr="00B92FD5">
              <w:rPr>
                <w:lang w:val="es-ES_tradnl" w:eastAsia="es-ES" w:bidi="es-ES"/>
              </w:rPr>
              <w:t>fentión</w:t>
            </w:r>
            <w:proofErr w:type="spellEnd"/>
            <w:r w:rsidRPr="00B92FD5">
              <w:rPr>
                <w:lang w:val="es-ES_tradnl" w:eastAsia="es-ES" w:bidi="es-ES"/>
              </w:rPr>
              <w:t>, el margen planeado de exposición para la exposición intermedia es 300, debido a la falta de un NOAEL definitivo en el estudio oral de dos años con monos (USEPA 2001).</w:t>
            </w:r>
          </w:p>
          <w:p w14:paraId="335A1A0F" w14:textId="77777777" w:rsidR="00114789" w:rsidRPr="00B92FD5" w:rsidRDefault="00114789" w:rsidP="00A642F9">
            <w:pPr>
              <w:spacing w:before="120" w:after="120"/>
              <w:rPr>
                <w:lang w:val="es-ES_tradnl" w:eastAsia="es-ES" w:bidi="es-ES"/>
              </w:rPr>
            </w:pPr>
            <w:r w:rsidRPr="00B92FD5">
              <w:rPr>
                <w:lang w:val="es-ES_tradnl" w:eastAsia="es-ES" w:bidi="es-ES"/>
              </w:rPr>
              <w:t>AOEL: 0,001 mg/kg pc/d (oral), 0,2 mg/kg pc/d (dérmico), 0,02 mg/kg pc/d (inhalación) (EU 2005)</w:t>
            </w:r>
          </w:p>
          <w:p w14:paraId="22A6799B" w14:textId="77777777" w:rsidR="00114789" w:rsidRPr="00B92FD5" w:rsidRDefault="00114789" w:rsidP="00A642F9">
            <w:pPr>
              <w:spacing w:before="120" w:after="120"/>
              <w:rPr>
                <w:lang w:val="es-ES_tradnl" w:eastAsia="es-ES" w:bidi="es-ES"/>
              </w:rPr>
            </w:pPr>
            <w:r w:rsidRPr="00B92FD5">
              <w:rPr>
                <w:lang w:val="es-ES_tradnl" w:eastAsia="es-ES" w:bidi="es-ES"/>
              </w:rPr>
              <w:t>ADI: 0,007 mg/kg pc/día, perro de 1 año (factor de incertidumbre 10) (EU 2005)</w:t>
            </w:r>
          </w:p>
          <w:p w14:paraId="67940613" w14:textId="77777777" w:rsidR="00114789" w:rsidRPr="00B92FD5" w:rsidRDefault="00114789" w:rsidP="00A642F9">
            <w:pPr>
              <w:spacing w:before="120" w:after="120"/>
              <w:rPr>
                <w:lang w:val="es-ES_tradnl" w:eastAsia="es-ES" w:bidi="es-ES"/>
              </w:rPr>
            </w:pPr>
            <w:r w:rsidRPr="00B92FD5">
              <w:rPr>
                <w:lang w:val="es-ES_tradnl" w:eastAsia="es-ES" w:bidi="es-ES"/>
              </w:rPr>
              <w:t>En 1996, en Australia, se fijó una ADI de 0,0003 mg/kg pc/d, sobre la base de un NOEL para la inhibición de la colinesterasa plasmática en un estudio crónico en ratones y usando un factor de seguridad de 100 veces. En 1997, esta fue enmendada por el Comité asesor sobre plaguicidas y salud, que recomendó una ADI de 0,002 mg/kg pc/d y un factor de seguridad de 10, basado en un NOEL de 0,02 mg/kg pc/d para la inhibición de la colinesterasa plasmática, observada con 0,07 mg/kg pc/d en un estudio de 1979 de 4 semanas, realizado en seres humanos (APVMA 2012a).</w:t>
            </w:r>
          </w:p>
          <w:p w14:paraId="34B9EDC8" w14:textId="77777777" w:rsidR="00114789" w:rsidRPr="00B92FD5" w:rsidRDefault="00114789" w:rsidP="00A642F9">
            <w:pPr>
              <w:rPr>
                <w:lang w:val="es-ES_tradnl" w:eastAsia="es-ES" w:bidi="es-ES"/>
              </w:rPr>
            </w:pPr>
            <w:proofErr w:type="spellStart"/>
            <w:r w:rsidRPr="00B92FD5">
              <w:rPr>
                <w:lang w:val="es-ES_tradnl" w:eastAsia="es-ES" w:bidi="es-ES"/>
              </w:rPr>
              <w:t>ARfD</w:t>
            </w:r>
            <w:proofErr w:type="spellEnd"/>
            <w:r w:rsidRPr="00B92FD5">
              <w:rPr>
                <w:lang w:val="es-ES_tradnl" w:eastAsia="es-ES" w:bidi="es-ES"/>
              </w:rPr>
              <w:t xml:space="preserve">: 0,01 mg/kg pc/d (EU 2005); </w:t>
            </w:r>
            <w:proofErr w:type="spellStart"/>
            <w:r w:rsidRPr="00B92FD5">
              <w:rPr>
                <w:lang w:val="es-ES_tradnl" w:eastAsia="es-ES" w:bidi="es-ES"/>
              </w:rPr>
              <w:t>ARfD</w:t>
            </w:r>
            <w:proofErr w:type="spellEnd"/>
            <w:r w:rsidRPr="00B92FD5">
              <w:rPr>
                <w:lang w:val="es-ES_tradnl" w:eastAsia="es-ES" w:bidi="es-ES"/>
              </w:rPr>
              <w:t xml:space="preserve"> de 0,007 mg/kg pc sobre la base del NOEL para inhibición de colinesterasa eritrocitaria (0,07 mg/kg pc) y aplicando un factor de seguridad de 10 (APVMA 2012a).</w:t>
            </w:r>
          </w:p>
        </w:tc>
      </w:tr>
      <w:tr w:rsidR="00114789" w:rsidRPr="00ED5AB4" w14:paraId="77DB9297"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4E504107" w14:textId="77777777" w:rsidR="00114789" w:rsidRPr="00B92FD5" w:rsidRDefault="00114789" w:rsidP="00A642F9">
            <w:pPr>
              <w:rPr>
                <w:lang w:val="es-ES_tradnl" w:eastAsia="es-ES" w:bidi="es-ES"/>
              </w:rPr>
            </w:pPr>
          </w:p>
        </w:tc>
      </w:tr>
      <w:tr w:rsidR="00114789" w:rsidRPr="00B92FD5" w14:paraId="49783181"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3D939E05" w14:textId="77777777" w:rsidR="00114789" w:rsidRPr="00B92FD5" w:rsidRDefault="00114789" w:rsidP="00A642F9">
            <w:pPr>
              <w:spacing w:after="60"/>
              <w:rPr>
                <w:b/>
                <w:bCs/>
                <w:lang w:val="es-ES_tradnl" w:eastAsia="es-ES" w:bidi="es-ES"/>
              </w:rPr>
            </w:pPr>
            <w:r w:rsidRPr="00B92FD5">
              <w:rPr>
                <w:b/>
                <w:lang w:val="es-ES_tradnl" w:eastAsia="es-ES" w:bidi="es-ES"/>
              </w:rPr>
              <w:t xml:space="preserve">3.5 </w:t>
            </w:r>
          </w:p>
        </w:tc>
        <w:tc>
          <w:tcPr>
            <w:tcW w:w="1703" w:type="dxa"/>
            <w:tcBorders>
              <w:top w:val="nil"/>
              <w:left w:val="nil"/>
              <w:bottom w:val="nil"/>
              <w:right w:val="nil"/>
            </w:tcBorders>
            <w:shd w:val="clear" w:color="auto" w:fill="auto"/>
          </w:tcPr>
          <w:p w14:paraId="632206B2"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Datos médicos utilizados para adoptar la decisión reglamentaria</w:t>
            </w:r>
          </w:p>
        </w:tc>
        <w:tc>
          <w:tcPr>
            <w:tcW w:w="6993" w:type="dxa"/>
            <w:tcBorders>
              <w:top w:val="nil"/>
              <w:left w:val="nil"/>
              <w:bottom w:val="nil"/>
              <w:right w:val="nil"/>
            </w:tcBorders>
            <w:shd w:val="clear" w:color="auto" w:fill="auto"/>
          </w:tcPr>
          <w:p w14:paraId="2B67D58C" w14:textId="77777777" w:rsidR="00114789" w:rsidRPr="00B92FD5" w:rsidRDefault="00114789" w:rsidP="00A642F9">
            <w:pPr>
              <w:spacing w:before="120" w:after="120"/>
              <w:rPr>
                <w:lang w:val="es-ES_tradnl" w:eastAsia="es-ES" w:bidi="es-ES"/>
              </w:rPr>
            </w:pPr>
            <w:r w:rsidRPr="00B92FD5">
              <w:rPr>
                <w:lang w:val="es-ES_tradnl" w:eastAsia="es-ES" w:bidi="es-ES"/>
              </w:rPr>
              <w:t>-</w:t>
            </w:r>
          </w:p>
        </w:tc>
      </w:tr>
      <w:tr w:rsidR="00114789" w:rsidRPr="00B92FD5" w14:paraId="5DC40E2B"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230FECF2" w14:textId="77777777" w:rsidR="00114789" w:rsidRPr="00B92FD5" w:rsidRDefault="00114789" w:rsidP="00A642F9">
            <w:pPr>
              <w:spacing w:after="60"/>
              <w:rPr>
                <w:b/>
                <w:bCs/>
                <w:lang w:val="es-ES_tradnl" w:eastAsia="es-ES" w:bidi="es-ES"/>
              </w:rPr>
            </w:pPr>
            <w:r w:rsidRPr="00B92FD5">
              <w:rPr>
                <w:b/>
                <w:lang w:val="es-ES_tradnl" w:eastAsia="es-ES" w:bidi="es-ES"/>
              </w:rPr>
              <w:t>3.6</w:t>
            </w:r>
          </w:p>
        </w:tc>
        <w:tc>
          <w:tcPr>
            <w:tcW w:w="1703" w:type="dxa"/>
            <w:tcBorders>
              <w:top w:val="nil"/>
              <w:left w:val="nil"/>
              <w:bottom w:val="nil"/>
              <w:right w:val="nil"/>
            </w:tcBorders>
            <w:shd w:val="clear" w:color="auto" w:fill="auto"/>
          </w:tcPr>
          <w:p w14:paraId="3501B38A"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 xml:space="preserve">Exposición pública </w:t>
            </w:r>
          </w:p>
        </w:tc>
        <w:tc>
          <w:tcPr>
            <w:tcW w:w="6993" w:type="dxa"/>
            <w:tcBorders>
              <w:top w:val="nil"/>
              <w:left w:val="nil"/>
              <w:bottom w:val="nil"/>
              <w:right w:val="nil"/>
            </w:tcBorders>
            <w:shd w:val="clear" w:color="auto" w:fill="auto"/>
          </w:tcPr>
          <w:p w14:paraId="1D5194BE" w14:textId="77777777" w:rsidR="00114789" w:rsidRPr="00B92FD5" w:rsidRDefault="00114789" w:rsidP="00A642F9">
            <w:pPr>
              <w:rPr>
                <w:lang w:val="es-ES_tradnl" w:eastAsia="es-ES" w:bidi="es-ES"/>
              </w:rPr>
            </w:pPr>
            <w:r w:rsidRPr="00B92FD5">
              <w:rPr>
                <w:lang w:val="es-ES_tradnl" w:eastAsia="es-ES" w:bidi="es-ES"/>
              </w:rPr>
              <w:t>-</w:t>
            </w:r>
          </w:p>
        </w:tc>
      </w:tr>
      <w:tr w:rsidR="00114789" w:rsidRPr="00B92FD5" w14:paraId="21A6AE14"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9405" w:type="dxa"/>
            <w:gridSpan w:val="3"/>
            <w:tcBorders>
              <w:top w:val="nil"/>
              <w:left w:val="nil"/>
              <w:bottom w:val="nil"/>
              <w:right w:val="nil"/>
            </w:tcBorders>
            <w:shd w:val="clear" w:color="auto" w:fill="auto"/>
          </w:tcPr>
          <w:p w14:paraId="45607CF5" w14:textId="77777777" w:rsidR="00114789" w:rsidRPr="00B92FD5" w:rsidRDefault="00114789" w:rsidP="00A642F9">
            <w:pPr>
              <w:autoSpaceDE w:val="0"/>
              <w:autoSpaceDN w:val="0"/>
              <w:adjustRightInd w:val="0"/>
              <w:rPr>
                <w:lang w:val="es-ES_tradnl" w:eastAsia="es-ES" w:bidi="es-ES"/>
              </w:rPr>
            </w:pPr>
          </w:p>
        </w:tc>
      </w:tr>
      <w:tr w:rsidR="00114789" w:rsidRPr="00ED5AB4" w14:paraId="5E79E574" w14:textId="77777777" w:rsidTr="00A642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3" w:type="dxa"/>
        </w:trPr>
        <w:tc>
          <w:tcPr>
            <w:tcW w:w="709" w:type="dxa"/>
            <w:tcBorders>
              <w:top w:val="nil"/>
              <w:left w:val="nil"/>
              <w:bottom w:val="nil"/>
              <w:right w:val="nil"/>
            </w:tcBorders>
            <w:shd w:val="clear" w:color="auto" w:fill="auto"/>
          </w:tcPr>
          <w:p w14:paraId="1270FE66" w14:textId="77777777" w:rsidR="00114789" w:rsidRPr="00B92FD5" w:rsidRDefault="00114789" w:rsidP="00A642F9">
            <w:pPr>
              <w:spacing w:after="60"/>
              <w:rPr>
                <w:b/>
                <w:bCs/>
                <w:lang w:val="es-ES_tradnl" w:eastAsia="es-ES" w:bidi="es-ES"/>
              </w:rPr>
            </w:pPr>
            <w:r w:rsidRPr="00B92FD5">
              <w:rPr>
                <w:b/>
                <w:lang w:val="es-ES_tradnl" w:eastAsia="es-ES" w:bidi="es-ES"/>
              </w:rPr>
              <w:t>3.7</w:t>
            </w:r>
          </w:p>
        </w:tc>
        <w:tc>
          <w:tcPr>
            <w:tcW w:w="1703" w:type="dxa"/>
            <w:tcBorders>
              <w:top w:val="nil"/>
              <w:left w:val="nil"/>
              <w:bottom w:val="nil"/>
              <w:right w:val="nil"/>
            </w:tcBorders>
            <w:shd w:val="clear" w:color="auto" w:fill="auto"/>
          </w:tcPr>
          <w:p w14:paraId="13DC4D53"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Resumen y evaluación global de los riesgos</w:t>
            </w:r>
          </w:p>
        </w:tc>
        <w:tc>
          <w:tcPr>
            <w:tcW w:w="6993" w:type="dxa"/>
            <w:tcBorders>
              <w:top w:val="nil"/>
              <w:left w:val="nil"/>
              <w:bottom w:val="nil"/>
              <w:right w:val="nil"/>
            </w:tcBorders>
            <w:shd w:val="clear" w:color="auto" w:fill="auto"/>
          </w:tcPr>
          <w:p w14:paraId="058F1A76" w14:textId="77777777" w:rsidR="00114789" w:rsidRPr="00B92FD5" w:rsidRDefault="00114789" w:rsidP="00A642F9">
            <w:pPr>
              <w:spacing w:before="120" w:after="120"/>
              <w:rPr>
                <w:lang w:val="es-ES_tradnl" w:eastAsia="es-ES" w:bidi="es-ES"/>
              </w:rPr>
            </w:pPr>
            <w:r w:rsidRPr="00B92FD5">
              <w:rPr>
                <w:lang w:val="es-ES_tradnl" w:eastAsia="es-ES" w:bidi="es-ES"/>
              </w:rPr>
              <w:t xml:space="preserve">UE: en su evaluación del uso de cebos, el Comité científico de las plantas consideró que no era posible completar una evaluación integral por falta de datos y que incluso el uso previsto limitado como aplicación de cebos era seguro para la salud de los seres humanos. Sin embargo, después haber evaluado información adicional, se llegó a la conclusión de que, aun cuando el riesgo para los operadores que aplicaban el </w:t>
            </w:r>
            <w:proofErr w:type="spellStart"/>
            <w:r w:rsidRPr="00B92FD5">
              <w:rPr>
                <w:lang w:val="es-ES_tradnl" w:eastAsia="es-ES" w:bidi="es-ES"/>
              </w:rPr>
              <w:t>fentión</w:t>
            </w:r>
            <w:proofErr w:type="spellEnd"/>
            <w:r w:rsidRPr="00B92FD5">
              <w:rPr>
                <w:lang w:val="es-ES_tradnl" w:eastAsia="es-ES" w:bidi="es-ES"/>
              </w:rPr>
              <w:t xml:space="preserve"> era alto, el riesgo podía reducirse a un nivel aceptable si se usaba equipo protector personal.</w:t>
            </w:r>
            <w:r w:rsidRPr="00B92FD5">
              <w:rPr>
                <w:lang w:val="es-ES_tradnl" w:eastAsia="es-ES" w:bidi="es-ES"/>
              </w:rPr>
              <w:br/>
            </w:r>
          </w:p>
          <w:p w14:paraId="5DF6C1E9" w14:textId="77777777" w:rsidR="00114789" w:rsidRPr="00B92FD5" w:rsidRDefault="00114789" w:rsidP="00A642F9">
            <w:pPr>
              <w:spacing w:before="120" w:after="120"/>
              <w:rPr>
                <w:lang w:val="es-ES_tradnl" w:eastAsia="es-ES" w:bidi="es-ES"/>
              </w:rPr>
            </w:pPr>
            <w:r w:rsidRPr="00B92FD5">
              <w:rPr>
                <w:lang w:val="es-ES_tradnl" w:eastAsia="es-ES" w:bidi="es-ES"/>
              </w:rPr>
              <w:t xml:space="preserve">Estados Unidos de América: el </w:t>
            </w:r>
            <w:proofErr w:type="spellStart"/>
            <w:r w:rsidRPr="00B92FD5">
              <w:rPr>
                <w:lang w:val="es-ES_tradnl" w:eastAsia="es-ES" w:bidi="es-ES"/>
              </w:rPr>
              <w:t>fentión</w:t>
            </w:r>
            <w:proofErr w:type="spellEnd"/>
            <w:r w:rsidRPr="00B92FD5">
              <w:rPr>
                <w:lang w:val="es-ES_tradnl" w:eastAsia="es-ES" w:bidi="es-ES"/>
              </w:rPr>
              <w:t xml:space="preserve"> ya no está registrado en los Estados Unidos y el resumen del riesgo expuesto refleja la última evaluación del riesgo previa a la cancelación. </w:t>
            </w:r>
            <w:bookmarkStart w:id="286" w:name="30"/>
            <w:bookmarkEnd w:id="286"/>
            <w:r w:rsidRPr="00B92FD5">
              <w:rPr>
                <w:lang w:val="es-ES_tradnl" w:eastAsia="es-ES" w:bidi="es-ES"/>
              </w:rPr>
              <w:t xml:space="preserve">La Agencia de Protección Ambiental de los Estados Unidos publicó en agosto de 1998 evaluaciones del riesgo preliminares del </w:t>
            </w:r>
            <w:proofErr w:type="spellStart"/>
            <w:r w:rsidRPr="00B92FD5">
              <w:rPr>
                <w:lang w:val="es-ES_tradnl" w:eastAsia="es-ES" w:bidi="es-ES"/>
              </w:rPr>
              <w:t>fentión</w:t>
            </w:r>
            <w:proofErr w:type="spellEnd"/>
            <w:r w:rsidRPr="00B92FD5">
              <w:rPr>
                <w:lang w:val="es-ES_tradnl" w:eastAsia="es-ES" w:bidi="es-ES"/>
              </w:rPr>
              <w:t xml:space="preserve"> y en octubre de 1999 evaluaciones revisadas del riesgo de efectos en la salud humana y en el medio ambiente. Sobre la base de las observaciones recibidas y de datos adicionales recibidos del solicitante del registro, la Agencia de Protección Ambiental de los Estados Unidos completó su examen y publicó una Resolución provisoria de elegibilidad para nuevo registro para el </w:t>
            </w:r>
            <w:proofErr w:type="spellStart"/>
            <w:r w:rsidRPr="00B92FD5">
              <w:rPr>
                <w:lang w:val="es-ES_tradnl" w:eastAsia="es-ES" w:bidi="es-ES"/>
              </w:rPr>
              <w:t>fentión</w:t>
            </w:r>
            <w:proofErr w:type="spellEnd"/>
            <w:r w:rsidRPr="00B92FD5">
              <w:rPr>
                <w:lang w:val="es-ES_tradnl" w:eastAsia="es-ES" w:bidi="es-ES"/>
              </w:rPr>
              <w:t xml:space="preserve"> en enero de 2001. En la resolución provisoria, la Agencia estableció que el uso actual del </w:t>
            </w:r>
            <w:proofErr w:type="spellStart"/>
            <w:r w:rsidRPr="00B92FD5">
              <w:rPr>
                <w:lang w:val="es-ES_tradnl" w:eastAsia="es-ES" w:bidi="es-ES"/>
              </w:rPr>
              <w:t>fentión</w:t>
            </w:r>
            <w:proofErr w:type="spellEnd"/>
            <w:r w:rsidRPr="00B92FD5">
              <w:rPr>
                <w:lang w:val="es-ES_tradnl" w:eastAsia="es-ES" w:bidi="es-ES"/>
              </w:rPr>
              <w:t xml:space="preserve"> planteaba efectos adversos no razonables para la salud humana y el medio ambiente y que no debería registrarse salvo que se tomaran medidas para mitigar esos riesgos. La Agencia identificó riesgos para los trabajadores que mezclaban, cargaban y aplicaban el </w:t>
            </w:r>
            <w:proofErr w:type="spellStart"/>
            <w:r w:rsidRPr="00B92FD5">
              <w:rPr>
                <w:lang w:val="es-ES_tradnl" w:eastAsia="es-ES" w:bidi="es-ES"/>
              </w:rPr>
              <w:t>fentión</w:t>
            </w:r>
            <w:proofErr w:type="spellEnd"/>
            <w:r w:rsidRPr="00B92FD5">
              <w:rPr>
                <w:lang w:val="es-ES_tradnl" w:eastAsia="es-ES" w:bidi="es-ES"/>
              </w:rPr>
              <w:t xml:space="preserve"> para el control de los mosquitos y para aplicaciones en el ganado y en acuicultura. En su evaluación ocupacional, la Agencia indicó la falta de datos de exposición para trabajadores que hayan aplicado el plaguicida para matar mosquitos y pidió datos de exposición de mezcladores, cargadores y aplicadores de todos los aplicadores de plaguicidas para mosquitos. Mientras tanto, la Agencia propuso las siguientes medidas de mitigación del riesgo: usar sistemas cerrados para todos los tipos de aplicaciones para el control de mosquitos; prohibir emplear a banderilleros; usar la proporción más elevada solo para usos de salud pública; usar un rociador manual en lugar de rociadores de mochila para aplicaciones en acuicultura.</w:t>
            </w:r>
            <w:r w:rsidRPr="00B92FD5">
              <w:rPr>
                <w:lang w:val="es-ES_tradnl" w:eastAsia="es-ES" w:bidi="es-ES"/>
              </w:rPr>
              <w:br/>
            </w:r>
          </w:p>
        </w:tc>
      </w:tr>
      <w:tr w:rsidR="00114789" w:rsidRPr="00B92FD5" w14:paraId="3EB81DC5" w14:textId="77777777" w:rsidTr="00A642F9">
        <w:tblPrEx>
          <w:tblBorders>
            <w:top w:val="single" w:sz="6" w:space="0" w:color="C0C0C0"/>
            <w:left w:val="single" w:sz="6" w:space="0" w:color="C0C0C0"/>
            <w:bottom w:val="single" w:sz="6" w:space="0" w:color="C0C0C0"/>
            <w:right w:val="single" w:sz="6" w:space="0" w:color="C0C0C0"/>
          </w:tblBorders>
        </w:tblPrEx>
        <w:trPr>
          <w:gridAfter w:val="1"/>
          <w:wAfter w:w="93" w:type="dxa"/>
        </w:trPr>
        <w:tc>
          <w:tcPr>
            <w:tcW w:w="709" w:type="dxa"/>
            <w:tcBorders>
              <w:top w:val="nil"/>
              <w:left w:val="nil"/>
              <w:bottom w:val="single" w:sz="4" w:space="0" w:color="auto"/>
              <w:right w:val="nil"/>
            </w:tcBorders>
            <w:shd w:val="clear" w:color="auto" w:fill="auto"/>
          </w:tcPr>
          <w:p w14:paraId="05647CDE" w14:textId="77777777" w:rsidR="00114789" w:rsidRPr="00B92FD5" w:rsidRDefault="00114789" w:rsidP="00A642F9">
            <w:pPr>
              <w:spacing w:before="40" w:after="60"/>
              <w:outlineLvl w:val="0"/>
              <w:rPr>
                <w:b/>
                <w:bCs/>
                <w:kern w:val="28"/>
                <w:lang w:val="es-ES_tradnl" w:eastAsia="es-ES" w:bidi="es-ES"/>
              </w:rPr>
            </w:pPr>
            <w:r w:rsidRPr="00B92FD5">
              <w:rPr>
                <w:b/>
                <w:kern w:val="28"/>
                <w:lang w:val="es-ES_tradnl" w:eastAsia="es-ES" w:bidi="es-ES"/>
              </w:rPr>
              <w:t>4</w:t>
            </w:r>
          </w:p>
        </w:tc>
        <w:tc>
          <w:tcPr>
            <w:tcW w:w="8696" w:type="dxa"/>
            <w:gridSpan w:val="2"/>
            <w:tcBorders>
              <w:top w:val="nil"/>
              <w:left w:val="nil"/>
              <w:bottom w:val="single" w:sz="4" w:space="0" w:color="auto"/>
              <w:right w:val="nil"/>
            </w:tcBorders>
            <w:shd w:val="clear" w:color="auto" w:fill="auto"/>
          </w:tcPr>
          <w:p w14:paraId="7B170F6F" w14:textId="77777777" w:rsidR="00114789" w:rsidRPr="00B92FD5" w:rsidRDefault="00114789" w:rsidP="00A642F9">
            <w:pPr>
              <w:spacing w:before="40" w:after="60"/>
              <w:outlineLvl w:val="0"/>
              <w:rPr>
                <w:bCs/>
                <w:i/>
                <w:kern w:val="28"/>
                <w:lang w:val="es-ES_tradnl" w:eastAsia="es-ES" w:bidi="es-ES"/>
              </w:rPr>
            </w:pPr>
            <w:r w:rsidRPr="00B92FD5">
              <w:rPr>
                <w:b/>
                <w:kern w:val="28"/>
                <w:lang w:val="es-ES_tradnl" w:eastAsia="es-ES" w:bidi="es-ES"/>
              </w:rPr>
              <w:t xml:space="preserve">Destino y efectos ambientales </w:t>
            </w:r>
          </w:p>
        </w:tc>
      </w:tr>
      <w:tr w:rsidR="00114789" w:rsidRPr="00B92FD5" w14:paraId="5E100DB4" w14:textId="77777777" w:rsidTr="00A642F9">
        <w:trPr>
          <w:gridAfter w:val="1"/>
          <w:wAfter w:w="93" w:type="dxa"/>
        </w:trPr>
        <w:tc>
          <w:tcPr>
            <w:tcW w:w="709" w:type="dxa"/>
            <w:tcBorders>
              <w:top w:val="single" w:sz="4" w:space="0" w:color="auto"/>
            </w:tcBorders>
            <w:shd w:val="clear" w:color="auto" w:fill="auto"/>
          </w:tcPr>
          <w:p w14:paraId="385ADF91" w14:textId="77777777" w:rsidR="00114789" w:rsidRPr="00B92FD5" w:rsidRDefault="00114789" w:rsidP="00A642F9">
            <w:pPr>
              <w:keepLines/>
              <w:rPr>
                <w:b/>
                <w:lang w:val="es-ES_tradnl" w:eastAsia="es-ES" w:bidi="es-ES"/>
              </w:rPr>
            </w:pPr>
            <w:r w:rsidRPr="00B92FD5">
              <w:rPr>
                <w:b/>
                <w:lang w:val="es-ES_tradnl" w:eastAsia="es-ES" w:bidi="es-ES"/>
              </w:rPr>
              <w:t>4.1</w:t>
            </w:r>
          </w:p>
        </w:tc>
        <w:tc>
          <w:tcPr>
            <w:tcW w:w="1703" w:type="dxa"/>
            <w:tcBorders>
              <w:top w:val="single" w:sz="4" w:space="0" w:color="auto"/>
            </w:tcBorders>
            <w:shd w:val="clear" w:color="auto" w:fill="auto"/>
          </w:tcPr>
          <w:p w14:paraId="113F7EB7"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Destino</w:t>
            </w:r>
          </w:p>
        </w:tc>
        <w:tc>
          <w:tcPr>
            <w:tcW w:w="6993" w:type="dxa"/>
            <w:tcBorders>
              <w:top w:val="single" w:sz="4" w:space="0" w:color="auto"/>
            </w:tcBorders>
            <w:shd w:val="clear" w:color="auto" w:fill="auto"/>
          </w:tcPr>
          <w:p w14:paraId="4BECFF6E" w14:textId="77777777" w:rsidR="00114789" w:rsidRPr="00B92FD5" w:rsidRDefault="00114789" w:rsidP="00A642F9">
            <w:pPr>
              <w:rPr>
                <w:i/>
                <w:iCs/>
                <w:snapToGrid w:val="0"/>
                <w:lang w:val="es-ES_tradnl" w:eastAsia="es-ES" w:bidi="es-ES"/>
              </w:rPr>
            </w:pPr>
          </w:p>
        </w:tc>
      </w:tr>
      <w:tr w:rsidR="00114789" w:rsidRPr="00ED5AB4" w14:paraId="17AD0F1A" w14:textId="77777777" w:rsidTr="00A642F9">
        <w:trPr>
          <w:gridAfter w:val="1"/>
          <w:wAfter w:w="93" w:type="dxa"/>
        </w:trPr>
        <w:tc>
          <w:tcPr>
            <w:tcW w:w="709" w:type="dxa"/>
            <w:shd w:val="clear" w:color="auto" w:fill="auto"/>
          </w:tcPr>
          <w:p w14:paraId="28EA9E10" w14:textId="77777777" w:rsidR="00114789" w:rsidRPr="00B92FD5" w:rsidRDefault="00114789" w:rsidP="00A642F9">
            <w:pPr>
              <w:keepLines/>
              <w:rPr>
                <w:b/>
                <w:lang w:val="es-ES_tradnl" w:eastAsia="es-ES" w:bidi="es-ES"/>
              </w:rPr>
            </w:pPr>
            <w:r w:rsidRPr="00B92FD5">
              <w:rPr>
                <w:b/>
                <w:lang w:val="es-ES_tradnl" w:eastAsia="es-ES" w:bidi="es-ES"/>
              </w:rPr>
              <w:t>4.1.1</w:t>
            </w:r>
          </w:p>
        </w:tc>
        <w:tc>
          <w:tcPr>
            <w:tcW w:w="1703" w:type="dxa"/>
            <w:shd w:val="clear" w:color="auto" w:fill="auto"/>
          </w:tcPr>
          <w:p w14:paraId="4BBEA653"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Suelo</w:t>
            </w:r>
          </w:p>
        </w:tc>
        <w:tc>
          <w:tcPr>
            <w:tcW w:w="6993" w:type="dxa"/>
            <w:shd w:val="clear" w:color="auto" w:fill="auto"/>
          </w:tcPr>
          <w:p w14:paraId="6BFFA82C" w14:textId="77777777" w:rsidR="00114789" w:rsidRPr="00B92FD5" w:rsidRDefault="00114789" w:rsidP="00A642F9">
            <w:pPr>
              <w:spacing w:before="20"/>
              <w:rPr>
                <w:iCs/>
                <w:snapToGrid w:val="0"/>
                <w:lang w:val="es-ES_tradnl" w:eastAsia="es-ES" w:bidi="es-ES"/>
              </w:rPr>
            </w:pPr>
            <w:r w:rsidRPr="00B92FD5">
              <w:rPr>
                <w:lang w:val="es-ES_tradnl" w:eastAsia="es-ES" w:bidi="es-ES"/>
              </w:rPr>
              <w:t>Degradación en la naturaleza:</w:t>
            </w:r>
            <w:r w:rsidRPr="00B92FD5">
              <w:rPr>
                <w:b/>
                <w:snapToGrid w:val="0"/>
                <w:lang w:val="es-ES_tradnl" w:eastAsia="es-ES" w:bidi="es-ES"/>
              </w:rPr>
              <w:t xml:space="preserve"> </w:t>
            </w:r>
            <w:r w:rsidRPr="00B92FD5">
              <w:rPr>
                <w:lang w:val="es-ES_tradnl" w:eastAsia="es-ES" w:bidi="es-ES"/>
              </w:rPr>
              <w:t xml:space="preserve">la </w:t>
            </w:r>
            <w:proofErr w:type="spellStart"/>
            <w:r w:rsidRPr="00B92FD5">
              <w:rPr>
                <w:lang w:val="es-ES_tradnl" w:eastAsia="es-ES" w:bidi="es-ES"/>
              </w:rPr>
              <w:t>fotodegradación</w:t>
            </w:r>
            <w:proofErr w:type="spellEnd"/>
            <w:r w:rsidRPr="00B92FD5">
              <w:rPr>
                <w:lang w:val="es-ES_tradnl" w:eastAsia="es-ES" w:bidi="es-ES"/>
              </w:rPr>
              <w:t xml:space="preserve"> y la biodegradación son mecanismos comunes de degradación del </w:t>
            </w:r>
            <w:proofErr w:type="spellStart"/>
            <w:r w:rsidRPr="00B92FD5">
              <w:rPr>
                <w:lang w:val="es-ES_tradnl" w:eastAsia="es-ES" w:bidi="es-ES"/>
              </w:rPr>
              <w:t>fentión</w:t>
            </w:r>
            <w:proofErr w:type="spellEnd"/>
            <w:r w:rsidRPr="00B92FD5">
              <w:rPr>
                <w:lang w:val="es-ES_tradnl" w:eastAsia="es-ES" w:bidi="es-ES"/>
              </w:rPr>
              <w:t xml:space="preserve"> en el medio ambiente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p w14:paraId="49E3A103" w14:textId="77777777" w:rsidR="00114789" w:rsidRPr="00B92FD5" w:rsidRDefault="00114789" w:rsidP="00A642F9">
            <w:pPr>
              <w:spacing w:before="20"/>
              <w:rPr>
                <w:iCs/>
                <w:snapToGrid w:val="0"/>
                <w:lang w:val="es-ES_tradnl" w:eastAsia="es-ES" w:bidi="es-ES"/>
              </w:rPr>
            </w:pPr>
            <w:r w:rsidRPr="00B92FD5">
              <w:rPr>
                <w:lang w:val="es-ES_tradnl" w:eastAsia="es-ES" w:bidi="es-ES"/>
              </w:rPr>
              <w:t xml:space="preserve">La degradación aeróbica del </w:t>
            </w:r>
            <w:proofErr w:type="spellStart"/>
            <w:r w:rsidRPr="00B92FD5">
              <w:rPr>
                <w:lang w:val="es-ES_tradnl" w:eastAsia="es-ES" w:bidi="es-ES"/>
              </w:rPr>
              <w:t>fentión</w:t>
            </w:r>
            <w:proofErr w:type="spellEnd"/>
            <w:r w:rsidRPr="00B92FD5">
              <w:rPr>
                <w:lang w:val="es-ES_tradnl" w:eastAsia="es-ES" w:bidi="es-ES"/>
              </w:rPr>
              <w:t xml:space="preserve"> es rápida e independiente de la concentración utilizada. La vida media en el suelo en condiciones aeróbicas en el laboratorio es baja (menos de 2 días a 22°C) y los valores de DT</w:t>
            </w:r>
            <w:r w:rsidRPr="00B92FD5">
              <w:rPr>
                <w:snapToGrid w:val="0"/>
                <w:vertAlign w:val="subscript"/>
                <w:lang w:val="es-ES_tradnl" w:eastAsia="es-ES" w:bidi="es-ES"/>
              </w:rPr>
              <w:t>90</w:t>
            </w:r>
            <w:r w:rsidRPr="00B92FD5">
              <w:rPr>
                <w:lang w:val="es-ES_tradnl" w:eastAsia="es-ES" w:bidi="es-ES"/>
              </w:rPr>
              <w:t xml:space="preserve"> no excedieron los 10 días en esas condiciones. Esto significa que el </w:t>
            </w:r>
            <w:proofErr w:type="spellStart"/>
            <w:r w:rsidRPr="00B92FD5">
              <w:rPr>
                <w:lang w:val="es-ES_tradnl" w:eastAsia="es-ES" w:bidi="es-ES"/>
              </w:rPr>
              <w:t>fentión</w:t>
            </w:r>
            <w:proofErr w:type="spellEnd"/>
            <w:r w:rsidRPr="00B92FD5">
              <w:rPr>
                <w:lang w:val="es-ES_tradnl" w:eastAsia="es-ES" w:bidi="es-ES"/>
              </w:rPr>
              <w:t xml:space="preserve"> no persiste ni se acumula en el suelo (EU 2005).</w:t>
            </w:r>
          </w:p>
          <w:p w14:paraId="3CA4C1D6" w14:textId="77777777" w:rsidR="00114789" w:rsidRPr="00B92FD5" w:rsidRDefault="00114789" w:rsidP="00A642F9">
            <w:pPr>
              <w:spacing w:before="20"/>
              <w:rPr>
                <w:iCs/>
                <w:snapToGrid w:val="0"/>
                <w:lang w:val="es-ES_tradnl" w:eastAsia="es-ES" w:bidi="es-ES"/>
              </w:rPr>
            </w:pPr>
            <w:r w:rsidRPr="00B92FD5">
              <w:rPr>
                <w:lang w:val="es-ES_tradnl" w:eastAsia="es-ES" w:bidi="es-ES"/>
              </w:rPr>
              <w:t xml:space="preserve">En el suelo, la degradación del </w:t>
            </w:r>
            <w:proofErr w:type="spellStart"/>
            <w:r w:rsidRPr="00B92FD5">
              <w:rPr>
                <w:lang w:val="es-ES_tradnl" w:eastAsia="es-ES" w:bidi="es-ES"/>
              </w:rPr>
              <w:t>fentión</w:t>
            </w:r>
            <w:proofErr w:type="spellEnd"/>
            <w:r w:rsidRPr="00B92FD5">
              <w:rPr>
                <w:lang w:val="es-ES_tradnl" w:eastAsia="es-ES" w:bidi="es-ES"/>
              </w:rPr>
              <w:t xml:space="preserve"> tarda entre cuatro y seis semanas y se produce por </w:t>
            </w:r>
            <w:proofErr w:type="spellStart"/>
            <w:r w:rsidRPr="00B92FD5">
              <w:rPr>
                <w:lang w:val="es-ES_tradnl" w:eastAsia="es-ES" w:bidi="es-ES"/>
              </w:rPr>
              <w:t>fotodegradación</w:t>
            </w:r>
            <w:proofErr w:type="spellEnd"/>
            <w:r w:rsidRPr="00B92FD5">
              <w:rPr>
                <w:lang w:val="es-ES_tradnl" w:eastAsia="es-ES" w:bidi="es-ES"/>
              </w:rPr>
              <w:t xml:space="preserve"> y, también, organismos anaeróbicos o no </w:t>
            </w:r>
            <w:proofErr w:type="spellStart"/>
            <w:r w:rsidRPr="00B92FD5">
              <w:rPr>
                <w:lang w:val="es-ES_tradnl" w:eastAsia="es-ES" w:bidi="es-ES"/>
              </w:rPr>
              <w:t>fotolíticos</w:t>
            </w:r>
            <w:proofErr w:type="spellEnd"/>
            <w:r w:rsidRPr="00B92FD5">
              <w:rPr>
                <w:lang w:val="es-ES_tradnl" w:eastAsia="es-ES" w:bidi="es-ES"/>
              </w:rPr>
              <w:t xml:space="preserve">. Sin embargo, las partículas del suelo adsorben eficientemente el </w:t>
            </w:r>
            <w:proofErr w:type="spellStart"/>
            <w:r w:rsidRPr="00B92FD5">
              <w:rPr>
                <w:lang w:val="es-ES_tradnl" w:eastAsia="es-ES" w:bidi="es-ES"/>
              </w:rPr>
              <w:t>fentión</w:t>
            </w:r>
            <w:proofErr w:type="spellEnd"/>
            <w:r w:rsidRPr="00B92FD5">
              <w:rPr>
                <w:lang w:val="es-ES_tradnl" w:eastAsia="es-ES" w:bidi="es-ES"/>
              </w:rPr>
              <w:t>, lo que lo vuelve menos susceptible a infiltrarse con el agua a través del suelo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tc>
      </w:tr>
      <w:tr w:rsidR="00114789" w:rsidRPr="00ED5AB4" w14:paraId="761F4759" w14:textId="77777777" w:rsidTr="00A642F9">
        <w:trPr>
          <w:gridAfter w:val="1"/>
          <w:wAfter w:w="93" w:type="dxa"/>
        </w:trPr>
        <w:tc>
          <w:tcPr>
            <w:tcW w:w="9405" w:type="dxa"/>
            <w:gridSpan w:val="3"/>
            <w:shd w:val="clear" w:color="auto" w:fill="auto"/>
          </w:tcPr>
          <w:p w14:paraId="6529228C" w14:textId="77777777" w:rsidR="00114789" w:rsidRPr="00B92FD5" w:rsidRDefault="00114789" w:rsidP="00A642F9">
            <w:pPr>
              <w:autoSpaceDE w:val="0"/>
              <w:autoSpaceDN w:val="0"/>
              <w:adjustRightInd w:val="0"/>
              <w:spacing w:before="20"/>
              <w:jc w:val="both"/>
              <w:rPr>
                <w:iCs/>
                <w:snapToGrid w:val="0"/>
                <w:lang w:val="es-ES_tradnl" w:eastAsia="es-ES" w:bidi="es-ES"/>
              </w:rPr>
            </w:pPr>
          </w:p>
        </w:tc>
      </w:tr>
      <w:tr w:rsidR="00114789" w:rsidRPr="00ED5AB4" w14:paraId="261AD1EA" w14:textId="77777777" w:rsidTr="00A642F9">
        <w:trPr>
          <w:gridAfter w:val="1"/>
          <w:wAfter w:w="93" w:type="dxa"/>
        </w:trPr>
        <w:tc>
          <w:tcPr>
            <w:tcW w:w="709" w:type="dxa"/>
            <w:shd w:val="clear" w:color="auto" w:fill="auto"/>
          </w:tcPr>
          <w:p w14:paraId="29011027" w14:textId="77777777" w:rsidR="00114789" w:rsidRPr="00B92FD5" w:rsidRDefault="00114789" w:rsidP="00A642F9">
            <w:pPr>
              <w:keepLines/>
              <w:rPr>
                <w:b/>
                <w:lang w:val="es-ES_tradnl" w:eastAsia="es-ES" w:bidi="es-ES"/>
              </w:rPr>
            </w:pPr>
            <w:r w:rsidRPr="00B92FD5">
              <w:rPr>
                <w:b/>
                <w:lang w:val="es-ES_tradnl" w:eastAsia="es-ES" w:bidi="es-ES"/>
              </w:rPr>
              <w:t>4.1.2</w:t>
            </w:r>
          </w:p>
        </w:tc>
        <w:tc>
          <w:tcPr>
            <w:tcW w:w="1703" w:type="dxa"/>
            <w:shd w:val="clear" w:color="auto" w:fill="auto"/>
          </w:tcPr>
          <w:p w14:paraId="28D57486"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Agua</w:t>
            </w:r>
          </w:p>
        </w:tc>
        <w:tc>
          <w:tcPr>
            <w:tcW w:w="6993" w:type="dxa"/>
            <w:shd w:val="clear" w:color="auto" w:fill="auto"/>
          </w:tcPr>
          <w:p w14:paraId="1FE3EFAE" w14:textId="77777777" w:rsidR="00114789" w:rsidRPr="00B92FD5" w:rsidRDefault="00114789" w:rsidP="00A642F9">
            <w:pPr>
              <w:spacing w:before="20"/>
              <w:jc w:val="both"/>
              <w:rPr>
                <w:lang w:val="es-ES_tradnl" w:eastAsia="es-ES" w:bidi="es-ES"/>
              </w:rPr>
            </w:pPr>
            <w:r w:rsidRPr="00B92FD5">
              <w:rPr>
                <w:lang w:val="es-ES_tradnl" w:eastAsia="es-ES" w:bidi="es-ES"/>
              </w:rPr>
              <w:t xml:space="preserve">La vida media del </w:t>
            </w:r>
            <w:proofErr w:type="spellStart"/>
            <w:r w:rsidRPr="00B92FD5">
              <w:rPr>
                <w:lang w:val="es-ES_tradnl" w:eastAsia="es-ES" w:bidi="es-ES"/>
              </w:rPr>
              <w:t>fentión</w:t>
            </w:r>
            <w:proofErr w:type="spellEnd"/>
            <w:r w:rsidRPr="00B92FD5">
              <w:rPr>
                <w:lang w:val="es-ES_tradnl" w:eastAsia="es-ES" w:bidi="es-ES"/>
              </w:rPr>
              <w:t xml:space="preserve"> en un estanque natural fue de 1 a 1,5 días. Los valores del DT</w:t>
            </w:r>
            <w:r w:rsidRPr="00B92FD5">
              <w:rPr>
                <w:snapToGrid w:val="0"/>
                <w:vertAlign w:val="subscript"/>
                <w:lang w:val="es-ES_tradnl" w:eastAsia="es-ES" w:bidi="es-ES"/>
              </w:rPr>
              <w:t>50</w:t>
            </w:r>
            <w:r w:rsidRPr="00B92FD5">
              <w:rPr>
                <w:lang w:val="es-ES_tradnl" w:eastAsia="es-ES" w:bidi="es-ES"/>
              </w:rPr>
              <w:t xml:space="preserve"> en agua de río fueron de 7 días, en tanto que los del DT</w:t>
            </w:r>
            <w:r w:rsidRPr="00B92FD5">
              <w:rPr>
                <w:snapToGrid w:val="0"/>
                <w:vertAlign w:val="subscript"/>
                <w:lang w:val="es-ES_tradnl" w:eastAsia="es-ES" w:bidi="es-ES"/>
              </w:rPr>
              <w:t>90</w:t>
            </w:r>
            <w:r w:rsidRPr="00B92FD5">
              <w:rPr>
                <w:lang w:val="es-ES_tradnl" w:eastAsia="es-ES" w:bidi="es-ES"/>
              </w:rPr>
              <w:t xml:space="preserve"> fueron de 14 días. Sin embargo, no se dispone de datos sobre el destino de los metabolitos. El valor del DT</w:t>
            </w:r>
            <w:r w:rsidRPr="00B92FD5">
              <w:rPr>
                <w:snapToGrid w:val="0"/>
                <w:vertAlign w:val="subscript"/>
                <w:lang w:val="es-ES_tradnl" w:eastAsia="es-ES" w:bidi="es-ES"/>
              </w:rPr>
              <w:t>50</w:t>
            </w:r>
            <w:r w:rsidRPr="00B92FD5">
              <w:rPr>
                <w:lang w:val="es-ES_tradnl" w:eastAsia="es-ES" w:bidi="es-ES"/>
              </w:rPr>
              <w:t xml:space="preserve"> para el </w:t>
            </w:r>
            <w:proofErr w:type="spellStart"/>
            <w:r w:rsidRPr="00B92FD5">
              <w:rPr>
                <w:lang w:val="es-ES_tradnl" w:eastAsia="es-ES" w:bidi="es-ES"/>
              </w:rPr>
              <w:t>fentión</w:t>
            </w:r>
            <w:proofErr w:type="spellEnd"/>
            <w:r w:rsidRPr="00B92FD5">
              <w:rPr>
                <w:lang w:val="es-ES_tradnl" w:eastAsia="es-ES" w:bidi="es-ES"/>
              </w:rPr>
              <w:t xml:space="preserve"> en sistemas de agua/sedimento fue de menos de 7 días (EU 2005).</w:t>
            </w:r>
          </w:p>
          <w:p w14:paraId="066EA621" w14:textId="77777777" w:rsidR="00114789" w:rsidRPr="00B92FD5" w:rsidRDefault="00114789" w:rsidP="00A642F9">
            <w:pPr>
              <w:spacing w:before="20"/>
              <w:jc w:val="both"/>
              <w:rPr>
                <w:iCs/>
                <w:snapToGrid w:val="0"/>
                <w:lang w:val="es-ES_tradnl" w:eastAsia="es-ES" w:bidi="es-ES"/>
              </w:rPr>
            </w:pPr>
          </w:p>
          <w:p w14:paraId="5DE7F124" w14:textId="77777777" w:rsidR="00114789" w:rsidRPr="00B92FD5" w:rsidRDefault="00114789" w:rsidP="00A642F9">
            <w:pPr>
              <w:spacing w:before="20"/>
              <w:jc w:val="both"/>
              <w:rPr>
                <w:iCs/>
                <w:snapToGrid w:val="0"/>
                <w:lang w:val="es-ES_tradnl" w:eastAsia="es-ES" w:bidi="es-ES"/>
              </w:rPr>
            </w:pPr>
            <w:r w:rsidRPr="00B92FD5">
              <w:rPr>
                <w:lang w:val="es-ES_tradnl" w:eastAsia="es-ES" w:bidi="es-ES"/>
              </w:rPr>
              <w:t xml:space="preserve">En un medio acuático normal, la vida media del </w:t>
            </w:r>
            <w:proofErr w:type="spellStart"/>
            <w:r w:rsidRPr="00B92FD5">
              <w:rPr>
                <w:lang w:val="es-ES_tradnl" w:eastAsia="es-ES" w:bidi="es-ES"/>
              </w:rPr>
              <w:t>fentión</w:t>
            </w:r>
            <w:proofErr w:type="spellEnd"/>
            <w:r w:rsidRPr="00B92FD5">
              <w:rPr>
                <w:lang w:val="es-ES_tradnl" w:eastAsia="es-ES" w:bidi="es-ES"/>
              </w:rPr>
              <w:t xml:space="preserve"> en agua es de 3 a 21 días. Puede degradarse fotodinámica, química o biológicamente. Los mecanismos de degradación pueden ser hidrólisis, oxidación y/o alquilación-</w:t>
            </w:r>
            <w:proofErr w:type="spellStart"/>
            <w:r w:rsidRPr="00B92FD5">
              <w:rPr>
                <w:lang w:val="es-ES_tradnl" w:eastAsia="es-ES" w:bidi="es-ES"/>
              </w:rPr>
              <w:t>desalquilación</w:t>
            </w:r>
            <w:proofErr w:type="spellEnd"/>
            <w:r w:rsidRPr="00B92FD5">
              <w:rPr>
                <w:lang w:val="es-ES_tradnl" w:eastAsia="es-ES" w:bidi="es-ES"/>
              </w:rPr>
              <w:t xml:space="preserve">, según cuál sea la luz, temperatura, álcali o actividad </w:t>
            </w:r>
            <w:proofErr w:type="spellStart"/>
            <w:r w:rsidRPr="00B92FD5">
              <w:rPr>
                <w:lang w:val="es-ES_tradnl" w:eastAsia="es-ES" w:bidi="es-ES"/>
              </w:rPr>
              <w:t>enizimática</w:t>
            </w:r>
            <w:proofErr w:type="spellEnd"/>
            <w:r w:rsidRPr="00B92FD5">
              <w:rPr>
                <w:lang w:val="es-ES_tradnl" w:eastAsia="es-ES" w:bidi="es-ES"/>
              </w:rPr>
              <w:t xml:space="preserve">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tc>
      </w:tr>
      <w:tr w:rsidR="00114789" w:rsidRPr="00ED5AB4" w14:paraId="3AC13EA4" w14:textId="77777777" w:rsidTr="00A642F9">
        <w:trPr>
          <w:gridAfter w:val="1"/>
          <w:wAfter w:w="93" w:type="dxa"/>
        </w:trPr>
        <w:tc>
          <w:tcPr>
            <w:tcW w:w="9405" w:type="dxa"/>
            <w:gridSpan w:val="3"/>
            <w:shd w:val="clear" w:color="auto" w:fill="auto"/>
          </w:tcPr>
          <w:p w14:paraId="6DF3BDB2" w14:textId="77777777" w:rsidR="00114789" w:rsidRPr="00B92FD5" w:rsidRDefault="00114789" w:rsidP="00A642F9">
            <w:pPr>
              <w:keepNext/>
              <w:outlineLvl w:val="8"/>
              <w:rPr>
                <w:iCs/>
                <w:snapToGrid w:val="0"/>
                <w:lang w:val="es-ES_tradnl" w:eastAsia="es-ES" w:bidi="es-ES"/>
              </w:rPr>
            </w:pPr>
          </w:p>
        </w:tc>
      </w:tr>
      <w:tr w:rsidR="00114789" w:rsidRPr="00B92FD5" w14:paraId="58FF3EC1" w14:textId="77777777" w:rsidTr="00A642F9">
        <w:trPr>
          <w:gridAfter w:val="1"/>
          <w:wAfter w:w="93" w:type="dxa"/>
        </w:trPr>
        <w:tc>
          <w:tcPr>
            <w:tcW w:w="709" w:type="dxa"/>
            <w:shd w:val="clear" w:color="auto" w:fill="auto"/>
          </w:tcPr>
          <w:p w14:paraId="228CDF7D" w14:textId="77777777" w:rsidR="00114789" w:rsidRPr="00B92FD5" w:rsidRDefault="00114789" w:rsidP="00A642F9">
            <w:pPr>
              <w:keepLines/>
              <w:rPr>
                <w:b/>
                <w:lang w:val="es-ES_tradnl" w:eastAsia="es-ES" w:bidi="es-ES"/>
              </w:rPr>
            </w:pPr>
            <w:r w:rsidRPr="00B92FD5">
              <w:rPr>
                <w:b/>
                <w:lang w:val="es-ES_tradnl" w:eastAsia="es-ES" w:bidi="es-ES"/>
              </w:rPr>
              <w:t>4.1.3</w:t>
            </w:r>
          </w:p>
        </w:tc>
        <w:tc>
          <w:tcPr>
            <w:tcW w:w="1703" w:type="dxa"/>
            <w:shd w:val="clear" w:color="auto" w:fill="auto"/>
          </w:tcPr>
          <w:p w14:paraId="116683F2"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Aire</w:t>
            </w:r>
          </w:p>
        </w:tc>
        <w:tc>
          <w:tcPr>
            <w:tcW w:w="6993" w:type="dxa"/>
            <w:shd w:val="clear" w:color="auto" w:fill="auto"/>
          </w:tcPr>
          <w:p w14:paraId="24E0A3F9" w14:textId="77777777" w:rsidR="00114789" w:rsidRPr="00B92FD5" w:rsidRDefault="00114789" w:rsidP="00A642F9">
            <w:pPr>
              <w:keepNext/>
              <w:spacing w:before="20"/>
              <w:outlineLvl w:val="8"/>
              <w:rPr>
                <w:iCs/>
                <w:snapToGrid w:val="0"/>
                <w:lang w:val="es-ES_tradnl" w:eastAsia="es-ES" w:bidi="es-ES"/>
              </w:rPr>
            </w:pPr>
            <w:r w:rsidRPr="00B92FD5">
              <w:rPr>
                <w:lang w:val="es-ES_tradnl" w:eastAsia="es-ES" w:bidi="es-ES"/>
              </w:rPr>
              <w:t xml:space="preserve">En la atmósfera, el </w:t>
            </w:r>
            <w:proofErr w:type="spellStart"/>
            <w:r w:rsidRPr="00B92FD5">
              <w:rPr>
                <w:lang w:val="es-ES_tradnl" w:eastAsia="es-ES" w:bidi="es-ES"/>
              </w:rPr>
              <w:t>fentión</w:t>
            </w:r>
            <w:proofErr w:type="spellEnd"/>
            <w:r w:rsidRPr="00B92FD5">
              <w:rPr>
                <w:lang w:val="es-ES_tradnl" w:eastAsia="es-ES" w:bidi="es-ES"/>
              </w:rPr>
              <w:t xml:space="preserve"> en fase de vapor reacciona rápidamente con radicales hidroxilos producidos </w:t>
            </w:r>
            <w:proofErr w:type="spellStart"/>
            <w:r w:rsidRPr="00B92FD5">
              <w:rPr>
                <w:lang w:val="es-ES_tradnl" w:eastAsia="es-ES" w:bidi="es-ES"/>
              </w:rPr>
              <w:t>fotoquímicamente</w:t>
            </w:r>
            <w:proofErr w:type="spellEnd"/>
            <w:r w:rsidRPr="00B92FD5">
              <w:rPr>
                <w:lang w:val="es-ES_tradnl" w:eastAsia="es-ES" w:bidi="es-ES"/>
              </w:rPr>
              <w:t xml:space="preserve"> y su vida media es de aproximadamente cinco horas.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 Degradación fotoquímica oxidativa en el aire, DT</w:t>
            </w:r>
            <w:r w:rsidRPr="00B92FD5">
              <w:rPr>
                <w:snapToGrid w:val="0"/>
                <w:vertAlign w:val="subscript"/>
                <w:lang w:val="es-ES_tradnl" w:eastAsia="es-ES" w:bidi="es-ES"/>
              </w:rPr>
              <w:t>50</w:t>
            </w:r>
            <w:r w:rsidRPr="00B92FD5">
              <w:rPr>
                <w:lang w:val="es-ES_tradnl" w:eastAsia="es-ES" w:bidi="es-ES"/>
              </w:rPr>
              <w:t>: 2 a 4 horas (EU 2002).</w:t>
            </w:r>
          </w:p>
        </w:tc>
      </w:tr>
      <w:tr w:rsidR="00114789" w:rsidRPr="00B92FD5" w14:paraId="40145DF3" w14:textId="77777777" w:rsidTr="00A642F9">
        <w:trPr>
          <w:gridAfter w:val="1"/>
          <w:wAfter w:w="93" w:type="dxa"/>
        </w:trPr>
        <w:tc>
          <w:tcPr>
            <w:tcW w:w="9405" w:type="dxa"/>
            <w:gridSpan w:val="3"/>
            <w:shd w:val="clear" w:color="auto" w:fill="auto"/>
          </w:tcPr>
          <w:p w14:paraId="53174DE6" w14:textId="77777777" w:rsidR="00114789" w:rsidRPr="00B92FD5" w:rsidRDefault="00114789" w:rsidP="00A642F9">
            <w:pPr>
              <w:spacing w:before="20"/>
              <w:jc w:val="both"/>
              <w:rPr>
                <w:snapToGrid w:val="0"/>
                <w:lang w:val="es-ES_tradnl" w:eastAsia="es-ES" w:bidi="es-ES"/>
              </w:rPr>
            </w:pPr>
          </w:p>
        </w:tc>
      </w:tr>
      <w:tr w:rsidR="00114789" w:rsidRPr="00ED5AB4" w14:paraId="1CAF3718" w14:textId="77777777" w:rsidTr="00A642F9">
        <w:trPr>
          <w:gridAfter w:val="1"/>
          <w:wAfter w:w="93" w:type="dxa"/>
        </w:trPr>
        <w:tc>
          <w:tcPr>
            <w:tcW w:w="709" w:type="dxa"/>
            <w:shd w:val="clear" w:color="auto" w:fill="auto"/>
          </w:tcPr>
          <w:p w14:paraId="6865149B" w14:textId="77777777" w:rsidR="00114789" w:rsidRPr="00B92FD5" w:rsidRDefault="00114789" w:rsidP="00A642F9">
            <w:pPr>
              <w:keepLines/>
              <w:rPr>
                <w:b/>
                <w:lang w:val="es-ES_tradnl" w:eastAsia="es-ES" w:bidi="es-ES"/>
              </w:rPr>
            </w:pPr>
            <w:r w:rsidRPr="00B92FD5">
              <w:rPr>
                <w:b/>
                <w:lang w:val="es-ES_tradnl" w:eastAsia="es-ES" w:bidi="es-ES"/>
              </w:rPr>
              <w:t>4.1.4</w:t>
            </w:r>
          </w:p>
        </w:tc>
        <w:tc>
          <w:tcPr>
            <w:tcW w:w="1703" w:type="dxa"/>
            <w:shd w:val="clear" w:color="auto" w:fill="auto"/>
          </w:tcPr>
          <w:p w14:paraId="08D47CA4" w14:textId="77777777" w:rsidR="00114789" w:rsidRPr="00B92FD5" w:rsidRDefault="00114789" w:rsidP="00A642F9">
            <w:pPr>
              <w:spacing w:before="20" w:after="20"/>
              <w:outlineLvl w:val="2"/>
              <w:rPr>
                <w:b/>
                <w:bCs/>
                <w:spacing w:val="-2"/>
                <w:lang w:val="es-ES_tradnl" w:eastAsia="es-ES" w:bidi="es-ES"/>
              </w:rPr>
            </w:pPr>
            <w:proofErr w:type="spellStart"/>
            <w:r w:rsidRPr="00B92FD5">
              <w:rPr>
                <w:b/>
                <w:spacing w:val="-2"/>
                <w:lang w:val="es-ES_tradnl" w:eastAsia="es-ES" w:bidi="es-ES"/>
              </w:rPr>
              <w:t>Bioconcentración</w:t>
            </w:r>
            <w:proofErr w:type="spellEnd"/>
          </w:p>
        </w:tc>
        <w:tc>
          <w:tcPr>
            <w:tcW w:w="6993" w:type="dxa"/>
            <w:shd w:val="clear" w:color="auto" w:fill="auto"/>
          </w:tcPr>
          <w:p w14:paraId="5ABE5C7E" w14:textId="77777777" w:rsidR="00114789" w:rsidRPr="00B92FD5" w:rsidRDefault="00114789" w:rsidP="00A642F9">
            <w:pPr>
              <w:spacing w:before="20"/>
              <w:jc w:val="both"/>
              <w:rPr>
                <w:iCs/>
                <w:snapToGrid w:val="0"/>
                <w:lang w:val="es-ES_tradnl" w:eastAsia="es-ES" w:bidi="es-ES"/>
              </w:rPr>
            </w:pPr>
            <w:r w:rsidRPr="00B92FD5">
              <w:rPr>
                <w:lang w:val="es-ES_tradnl" w:eastAsia="es-ES" w:bidi="es-ES"/>
              </w:rPr>
              <w:t>Log P: 4,84 (EU 2002)</w:t>
            </w:r>
          </w:p>
          <w:p w14:paraId="53EF4176" w14:textId="77777777" w:rsidR="00114789" w:rsidRPr="00B92FD5" w:rsidRDefault="00114789" w:rsidP="00A642F9">
            <w:pPr>
              <w:spacing w:before="20"/>
              <w:jc w:val="both"/>
              <w:rPr>
                <w:snapToGrid w:val="0"/>
                <w:lang w:val="es-ES_tradnl" w:eastAsia="es-ES" w:bidi="es-ES"/>
              </w:rPr>
            </w:pPr>
            <w:r w:rsidRPr="00B92FD5">
              <w:rPr>
                <w:lang w:val="es-ES_tradnl" w:eastAsia="es-ES" w:bidi="es-ES"/>
              </w:rPr>
              <w:t xml:space="preserve">Factor de </w:t>
            </w:r>
            <w:proofErr w:type="spellStart"/>
            <w:r w:rsidRPr="00B92FD5">
              <w:rPr>
                <w:lang w:val="es-ES_tradnl" w:eastAsia="es-ES" w:bidi="es-ES"/>
              </w:rPr>
              <w:t>bioconcentración</w:t>
            </w:r>
            <w:proofErr w:type="spellEnd"/>
            <w:r w:rsidRPr="00B92FD5">
              <w:rPr>
                <w:lang w:val="es-ES_tradnl" w:eastAsia="es-ES" w:bidi="es-ES"/>
              </w:rPr>
              <w:t xml:space="preserve"> (BCF, peces): 33 (EU 2002)</w:t>
            </w:r>
          </w:p>
        </w:tc>
      </w:tr>
      <w:tr w:rsidR="00114789" w:rsidRPr="00ED5AB4" w14:paraId="450ABF9F" w14:textId="77777777" w:rsidTr="00A642F9">
        <w:trPr>
          <w:gridAfter w:val="1"/>
          <w:wAfter w:w="93" w:type="dxa"/>
        </w:trPr>
        <w:tc>
          <w:tcPr>
            <w:tcW w:w="9405" w:type="dxa"/>
            <w:gridSpan w:val="3"/>
            <w:shd w:val="clear" w:color="auto" w:fill="auto"/>
          </w:tcPr>
          <w:p w14:paraId="08E1446D" w14:textId="77777777" w:rsidR="00114789" w:rsidRPr="00B92FD5" w:rsidRDefault="00114789" w:rsidP="00A642F9">
            <w:pPr>
              <w:spacing w:before="20"/>
              <w:jc w:val="both"/>
              <w:rPr>
                <w:snapToGrid w:val="0"/>
                <w:lang w:val="es-ES_tradnl" w:eastAsia="es-ES" w:bidi="es-ES"/>
              </w:rPr>
            </w:pPr>
          </w:p>
        </w:tc>
      </w:tr>
      <w:tr w:rsidR="00114789" w:rsidRPr="00ED5AB4" w14:paraId="2567EAC2" w14:textId="77777777" w:rsidTr="00A642F9">
        <w:trPr>
          <w:gridAfter w:val="1"/>
          <w:wAfter w:w="93" w:type="dxa"/>
        </w:trPr>
        <w:tc>
          <w:tcPr>
            <w:tcW w:w="709" w:type="dxa"/>
            <w:shd w:val="clear" w:color="auto" w:fill="auto"/>
          </w:tcPr>
          <w:p w14:paraId="48660F2D" w14:textId="77777777" w:rsidR="00114789" w:rsidRPr="00B92FD5" w:rsidRDefault="00114789" w:rsidP="00A642F9">
            <w:pPr>
              <w:keepLines/>
              <w:rPr>
                <w:b/>
                <w:lang w:val="es-ES_tradnl" w:eastAsia="es-ES" w:bidi="es-ES"/>
              </w:rPr>
            </w:pPr>
            <w:r w:rsidRPr="00B92FD5">
              <w:rPr>
                <w:b/>
                <w:lang w:val="es-ES_tradnl" w:eastAsia="es-ES" w:bidi="es-ES"/>
              </w:rPr>
              <w:t>4.1.5</w:t>
            </w:r>
          </w:p>
        </w:tc>
        <w:tc>
          <w:tcPr>
            <w:tcW w:w="1703" w:type="dxa"/>
            <w:shd w:val="clear" w:color="auto" w:fill="auto"/>
          </w:tcPr>
          <w:p w14:paraId="0E611814"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Persistencia</w:t>
            </w:r>
          </w:p>
        </w:tc>
        <w:tc>
          <w:tcPr>
            <w:tcW w:w="6993" w:type="dxa"/>
            <w:shd w:val="clear" w:color="auto" w:fill="auto"/>
          </w:tcPr>
          <w:p w14:paraId="3DE56BDE" w14:textId="77777777" w:rsidR="00114789" w:rsidRPr="00B92FD5" w:rsidRDefault="00114789" w:rsidP="00A642F9">
            <w:pPr>
              <w:spacing w:before="20"/>
              <w:jc w:val="both"/>
              <w:rPr>
                <w:snapToGrid w:val="0"/>
                <w:lang w:val="es-ES_tradnl" w:eastAsia="es-ES" w:bidi="es-ES"/>
              </w:rPr>
            </w:pPr>
            <w:r w:rsidRPr="00B92FD5">
              <w:rPr>
                <w:lang w:val="es-ES_tradnl" w:eastAsia="es-ES" w:bidi="es-ES"/>
              </w:rPr>
              <w:t>DT</w:t>
            </w:r>
            <w:r w:rsidRPr="00B92FD5">
              <w:rPr>
                <w:snapToGrid w:val="0"/>
                <w:vertAlign w:val="subscript"/>
                <w:lang w:val="es-ES_tradnl" w:eastAsia="es-ES" w:bidi="es-ES"/>
              </w:rPr>
              <w:t>50</w:t>
            </w:r>
            <w:r w:rsidRPr="00B92FD5">
              <w:rPr>
                <w:lang w:val="es-ES_tradnl" w:eastAsia="es-ES" w:bidi="es-ES"/>
              </w:rPr>
              <w:t xml:space="preserve"> en suelo (laboratorio, aeróbico) 7 a &lt; de 2 días; no persistente (EU 2002)</w:t>
            </w:r>
          </w:p>
        </w:tc>
      </w:tr>
      <w:tr w:rsidR="00114789" w:rsidRPr="00ED5AB4" w14:paraId="2E453A80" w14:textId="77777777" w:rsidTr="00A642F9">
        <w:trPr>
          <w:gridAfter w:val="1"/>
          <w:wAfter w:w="93" w:type="dxa"/>
        </w:trPr>
        <w:tc>
          <w:tcPr>
            <w:tcW w:w="709" w:type="dxa"/>
            <w:shd w:val="clear" w:color="auto" w:fill="auto"/>
          </w:tcPr>
          <w:p w14:paraId="1EA5D66A" w14:textId="77777777" w:rsidR="00114789" w:rsidRPr="00B92FD5" w:rsidRDefault="00114789" w:rsidP="00A642F9">
            <w:pPr>
              <w:keepLines/>
              <w:rPr>
                <w:b/>
                <w:lang w:val="es-ES_tradnl" w:eastAsia="es-ES" w:bidi="es-ES"/>
              </w:rPr>
            </w:pPr>
            <w:r w:rsidRPr="00B92FD5">
              <w:rPr>
                <w:b/>
                <w:lang w:val="es-ES_tradnl" w:eastAsia="es-ES" w:bidi="es-ES"/>
              </w:rPr>
              <w:t>4.2</w:t>
            </w:r>
          </w:p>
        </w:tc>
        <w:tc>
          <w:tcPr>
            <w:tcW w:w="1703" w:type="dxa"/>
            <w:shd w:val="clear" w:color="auto" w:fill="auto"/>
          </w:tcPr>
          <w:p w14:paraId="5B1F745A"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Efectos sobre organismos no previstos</w:t>
            </w:r>
          </w:p>
        </w:tc>
        <w:tc>
          <w:tcPr>
            <w:tcW w:w="6993" w:type="dxa"/>
            <w:shd w:val="clear" w:color="auto" w:fill="auto"/>
          </w:tcPr>
          <w:p w14:paraId="60BF8459" w14:textId="77777777" w:rsidR="00114789" w:rsidRPr="00B92FD5" w:rsidRDefault="00114789" w:rsidP="00A642F9">
            <w:pPr>
              <w:spacing w:before="20"/>
              <w:rPr>
                <w:snapToGrid w:val="0"/>
                <w:lang w:val="es-ES_tradnl" w:eastAsia="es-ES" w:bidi="es-ES"/>
              </w:rPr>
            </w:pPr>
            <w:r w:rsidRPr="00B92FD5">
              <w:rPr>
                <w:lang w:val="es-ES_tradnl" w:eastAsia="es-ES" w:bidi="es-ES"/>
              </w:rPr>
              <w:t xml:space="preserve">A pesar de su corta vida media en el medio ambiente, la toxicidad del </w:t>
            </w:r>
            <w:proofErr w:type="spellStart"/>
            <w:r w:rsidRPr="00B92FD5">
              <w:rPr>
                <w:lang w:val="es-ES_tradnl" w:eastAsia="es-ES" w:bidi="es-ES"/>
              </w:rPr>
              <w:t>fentión</w:t>
            </w:r>
            <w:proofErr w:type="spellEnd"/>
            <w:r w:rsidRPr="00B92FD5">
              <w:rPr>
                <w:lang w:val="es-ES_tradnl" w:eastAsia="es-ES" w:bidi="es-ES"/>
              </w:rPr>
              <w:t xml:space="preserve"> es muy significativa para aves e invertebrados de estuario y marinos. Aun cuando el </w:t>
            </w:r>
            <w:proofErr w:type="spellStart"/>
            <w:r w:rsidRPr="00B92FD5">
              <w:rPr>
                <w:lang w:val="es-ES_tradnl" w:eastAsia="es-ES" w:bidi="es-ES"/>
              </w:rPr>
              <w:t>fentión</w:t>
            </w:r>
            <w:proofErr w:type="spellEnd"/>
            <w:r w:rsidRPr="00B92FD5">
              <w:rPr>
                <w:lang w:val="es-ES_tradnl" w:eastAsia="es-ES" w:bidi="es-ES"/>
              </w:rPr>
              <w:t xml:space="preserve"> se usa en algunas partes del mundo para controlar plagas aviarias, como los pájaros tejedores, muchas aves silvestres no blanco son víctimas de envenenamiento por </w:t>
            </w:r>
            <w:proofErr w:type="spellStart"/>
            <w:r w:rsidRPr="00B92FD5">
              <w:rPr>
                <w:lang w:val="es-ES_tradnl" w:eastAsia="es-ES" w:bidi="es-ES"/>
              </w:rPr>
              <w:t>fentión</w:t>
            </w:r>
            <w:proofErr w:type="spellEnd"/>
            <w:r w:rsidRPr="00B92FD5">
              <w:rPr>
                <w:lang w:val="es-ES_tradnl" w:eastAsia="es-ES" w:bidi="es-ES"/>
              </w:rPr>
              <w:t xml:space="preserve">. Los síntomas agudos de envenenamiento por </w:t>
            </w:r>
            <w:proofErr w:type="spellStart"/>
            <w:r w:rsidRPr="00B92FD5">
              <w:rPr>
                <w:lang w:val="es-ES_tradnl" w:eastAsia="es-ES" w:bidi="es-ES"/>
              </w:rPr>
              <w:t>fentión</w:t>
            </w:r>
            <w:proofErr w:type="spellEnd"/>
            <w:r w:rsidRPr="00B92FD5">
              <w:rPr>
                <w:lang w:val="es-ES_tradnl" w:eastAsia="es-ES" w:bidi="es-ES"/>
              </w:rPr>
              <w:t xml:space="preserve"> en aves incluyen lágrimas, salivación con espuma, falta de movimientos, temblores, congestión de la tráquea, falta de coordinación al caminar y respiración anormalmente rápida o dificultades para respirar. Se observó que el </w:t>
            </w:r>
            <w:proofErr w:type="spellStart"/>
            <w:r w:rsidRPr="00B92FD5">
              <w:rPr>
                <w:lang w:val="es-ES_tradnl" w:eastAsia="es-ES" w:bidi="es-ES"/>
              </w:rPr>
              <w:t>fentión</w:t>
            </w:r>
            <w:proofErr w:type="spellEnd"/>
            <w:r w:rsidRPr="00B92FD5">
              <w:rPr>
                <w:lang w:val="es-ES_tradnl" w:eastAsia="es-ES" w:bidi="es-ES"/>
              </w:rPr>
              <w:t xml:space="preserve"> es tóxico para los peces y otros invertebrados acuáticos. También se observó que el </w:t>
            </w:r>
            <w:proofErr w:type="spellStart"/>
            <w:r w:rsidRPr="00B92FD5">
              <w:rPr>
                <w:lang w:val="es-ES_tradnl" w:eastAsia="es-ES" w:bidi="es-ES"/>
              </w:rPr>
              <w:t>fentión</w:t>
            </w:r>
            <w:proofErr w:type="spellEnd"/>
            <w:r w:rsidRPr="00B92FD5">
              <w:rPr>
                <w:lang w:val="es-ES_tradnl" w:eastAsia="es-ES" w:bidi="es-ES"/>
              </w:rPr>
              <w:t xml:space="preserve"> contamina en gran medida a las abejas (UNEP/FAO/RC/CRC.9/4/Add.2, p. 90).</w:t>
            </w:r>
          </w:p>
        </w:tc>
      </w:tr>
      <w:tr w:rsidR="00114789" w:rsidRPr="00ED5AB4" w14:paraId="6C9DB2D6" w14:textId="77777777" w:rsidTr="00A642F9">
        <w:trPr>
          <w:gridAfter w:val="1"/>
          <w:wAfter w:w="93" w:type="dxa"/>
        </w:trPr>
        <w:tc>
          <w:tcPr>
            <w:tcW w:w="9405" w:type="dxa"/>
            <w:gridSpan w:val="3"/>
            <w:shd w:val="clear" w:color="auto" w:fill="auto"/>
          </w:tcPr>
          <w:p w14:paraId="30E2171E" w14:textId="77777777" w:rsidR="00114789" w:rsidRPr="00B92FD5" w:rsidRDefault="00114789" w:rsidP="00A642F9">
            <w:pPr>
              <w:jc w:val="both"/>
              <w:rPr>
                <w:snapToGrid w:val="0"/>
                <w:lang w:val="es-ES_tradnl" w:eastAsia="es-ES" w:bidi="es-ES"/>
              </w:rPr>
            </w:pPr>
          </w:p>
        </w:tc>
      </w:tr>
      <w:tr w:rsidR="00114789" w:rsidRPr="00ED5AB4" w14:paraId="09B64D4A" w14:textId="77777777" w:rsidTr="00A642F9">
        <w:trPr>
          <w:gridAfter w:val="1"/>
          <w:wAfter w:w="93" w:type="dxa"/>
        </w:trPr>
        <w:tc>
          <w:tcPr>
            <w:tcW w:w="709" w:type="dxa"/>
            <w:shd w:val="clear" w:color="auto" w:fill="auto"/>
          </w:tcPr>
          <w:p w14:paraId="78E2ACE1" w14:textId="77777777" w:rsidR="00114789" w:rsidRPr="00B92FD5" w:rsidRDefault="00114789" w:rsidP="00A642F9">
            <w:pPr>
              <w:keepLines/>
              <w:rPr>
                <w:b/>
                <w:lang w:val="es-ES_tradnl" w:eastAsia="es-ES" w:bidi="es-ES"/>
              </w:rPr>
            </w:pPr>
            <w:r w:rsidRPr="00B92FD5">
              <w:rPr>
                <w:b/>
                <w:lang w:val="es-ES_tradnl" w:eastAsia="es-ES" w:bidi="es-ES"/>
              </w:rPr>
              <w:t>4.2.1</w:t>
            </w:r>
          </w:p>
        </w:tc>
        <w:tc>
          <w:tcPr>
            <w:tcW w:w="1703" w:type="dxa"/>
            <w:shd w:val="clear" w:color="auto" w:fill="auto"/>
          </w:tcPr>
          <w:p w14:paraId="2B0F3EBB"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Vertebrados terrestres</w:t>
            </w:r>
          </w:p>
        </w:tc>
        <w:tc>
          <w:tcPr>
            <w:tcW w:w="6993" w:type="dxa"/>
            <w:shd w:val="clear" w:color="auto" w:fill="auto"/>
          </w:tcPr>
          <w:p w14:paraId="02E663AE" w14:textId="77777777" w:rsidR="00114789" w:rsidRPr="00B92FD5" w:rsidRDefault="00114789" w:rsidP="00A642F9">
            <w:pPr>
              <w:spacing w:before="20"/>
              <w:rPr>
                <w:snapToGrid w:val="0"/>
                <w:lang w:val="es-ES_tradnl" w:eastAsia="es-ES" w:bidi="es-ES"/>
              </w:rPr>
            </w:pPr>
            <w:r w:rsidRPr="00B92FD5">
              <w:rPr>
                <w:lang w:val="es-ES_tradnl" w:eastAsia="es-ES" w:bidi="es-ES"/>
              </w:rPr>
              <w:t>Para toxicidad en mamíferos, véase el punto 2.</w:t>
            </w:r>
          </w:p>
          <w:p w14:paraId="5B8AB239" w14:textId="77777777" w:rsidR="00114789" w:rsidRPr="00B92FD5" w:rsidRDefault="00114789" w:rsidP="00A642F9">
            <w:pPr>
              <w:spacing w:before="20" w:after="60"/>
              <w:rPr>
                <w:snapToGrid w:val="0"/>
                <w:lang w:val="es-ES_tradnl" w:eastAsia="es-ES" w:bidi="es-ES"/>
              </w:rPr>
            </w:pPr>
            <w:r w:rsidRPr="00B92FD5">
              <w:rPr>
                <w:lang w:val="es-ES_tradnl" w:eastAsia="es-ES" w:bidi="es-ES"/>
              </w:rPr>
              <w:t xml:space="preserve">Toxicidad aguda en la codorniz </w:t>
            </w:r>
            <w:proofErr w:type="spellStart"/>
            <w:r w:rsidRPr="00B92FD5">
              <w:rPr>
                <w:lang w:val="es-ES_tradnl" w:eastAsia="es-ES" w:bidi="es-ES"/>
              </w:rPr>
              <w:t>cotuí</w:t>
            </w:r>
            <w:proofErr w:type="spellEnd"/>
            <w:r w:rsidRPr="00B92FD5">
              <w:rPr>
                <w:lang w:val="es-ES_tradnl" w:eastAsia="es-ES" w:bidi="es-ES"/>
              </w:rPr>
              <w:t>: LD</w:t>
            </w:r>
            <w:r w:rsidRPr="00B92FD5">
              <w:rPr>
                <w:snapToGrid w:val="0"/>
                <w:vertAlign w:val="subscript"/>
                <w:lang w:val="es-ES_tradnl" w:eastAsia="es-ES" w:bidi="es-ES"/>
              </w:rPr>
              <w:t>50</w:t>
            </w:r>
            <w:r w:rsidRPr="00B92FD5">
              <w:rPr>
                <w:lang w:val="es-ES_tradnl" w:eastAsia="es-ES" w:bidi="es-ES"/>
              </w:rPr>
              <w:t>: 7,2 mg/kg pc (FAO 2004, EU 2002)</w:t>
            </w:r>
          </w:p>
          <w:p w14:paraId="72E40E65" w14:textId="77777777" w:rsidR="00114789" w:rsidRPr="00B92FD5" w:rsidRDefault="00114789" w:rsidP="00A642F9">
            <w:pPr>
              <w:spacing w:before="20" w:after="60"/>
              <w:rPr>
                <w:snapToGrid w:val="0"/>
                <w:lang w:val="es-ES_tradnl" w:eastAsia="es-ES" w:bidi="es-ES"/>
              </w:rPr>
            </w:pPr>
            <w:r w:rsidRPr="00B92FD5">
              <w:rPr>
                <w:lang w:val="es-ES_tradnl" w:eastAsia="es-ES" w:bidi="es-ES"/>
              </w:rPr>
              <w:t xml:space="preserve">Toxicidad (subaguda) por la dieta en la codorniz </w:t>
            </w:r>
            <w:proofErr w:type="spellStart"/>
            <w:r w:rsidRPr="00B92FD5">
              <w:rPr>
                <w:lang w:val="es-ES_tradnl" w:eastAsia="es-ES" w:bidi="es-ES"/>
              </w:rPr>
              <w:t>cotuí</w:t>
            </w:r>
            <w:proofErr w:type="spellEnd"/>
            <w:r w:rsidRPr="00B92FD5">
              <w:rPr>
                <w:lang w:val="es-ES_tradnl" w:eastAsia="es-ES" w:bidi="es-ES"/>
              </w:rPr>
              <w:t>: LC</w:t>
            </w:r>
            <w:r w:rsidRPr="00B92FD5">
              <w:rPr>
                <w:snapToGrid w:val="0"/>
                <w:vertAlign w:val="subscript"/>
                <w:lang w:val="es-ES_tradnl" w:eastAsia="es-ES" w:bidi="es-ES"/>
              </w:rPr>
              <w:t>50</w:t>
            </w:r>
            <w:r w:rsidRPr="00B92FD5">
              <w:rPr>
                <w:lang w:val="es-ES_tradnl" w:eastAsia="es-ES" w:bidi="es-ES"/>
              </w:rPr>
              <w:t>: 60 ppm, alimentación (FAO 2004, EU 2002)</w:t>
            </w:r>
          </w:p>
          <w:p w14:paraId="320939CB" w14:textId="77777777" w:rsidR="00114789" w:rsidRPr="00B92FD5" w:rsidRDefault="00114789" w:rsidP="00A642F9">
            <w:pPr>
              <w:spacing w:before="20" w:after="60"/>
              <w:rPr>
                <w:snapToGrid w:val="0"/>
                <w:lang w:val="es-ES_tradnl" w:eastAsia="es-ES" w:bidi="es-ES"/>
              </w:rPr>
            </w:pPr>
            <w:r w:rsidRPr="00B92FD5">
              <w:rPr>
                <w:lang w:val="es-ES_tradnl" w:eastAsia="es-ES" w:bidi="es-ES"/>
              </w:rPr>
              <w:t>Toxicidad (subaguda) por la dieta en ánades reales: LC</w:t>
            </w:r>
            <w:r w:rsidRPr="00B92FD5">
              <w:rPr>
                <w:snapToGrid w:val="0"/>
                <w:vertAlign w:val="subscript"/>
                <w:lang w:val="es-ES_tradnl" w:eastAsia="es-ES" w:bidi="es-ES"/>
              </w:rPr>
              <w:t>50</w:t>
            </w:r>
            <w:r w:rsidRPr="00B92FD5">
              <w:rPr>
                <w:lang w:val="es-ES_tradnl" w:eastAsia="es-ES" w:bidi="es-ES"/>
              </w:rPr>
              <w:t>: &gt;1259 ppm, alimentación (FAO 2004)</w:t>
            </w:r>
          </w:p>
          <w:p w14:paraId="26FAF963" w14:textId="77777777" w:rsidR="00114789" w:rsidRPr="00B92FD5" w:rsidRDefault="00114789" w:rsidP="00A642F9">
            <w:pPr>
              <w:spacing w:before="20" w:after="60"/>
              <w:rPr>
                <w:snapToGrid w:val="0"/>
                <w:lang w:val="es-ES_tradnl" w:eastAsia="es-ES" w:bidi="es-ES"/>
              </w:rPr>
            </w:pPr>
            <w:r w:rsidRPr="00B92FD5">
              <w:rPr>
                <w:lang w:val="es-ES_tradnl" w:eastAsia="es-ES" w:bidi="es-ES"/>
              </w:rPr>
              <w:t>Toxicidad reproductiva en aves: NOEC: 10 mg/kg pc (EU 2002)</w:t>
            </w:r>
          </w:p>
          <w:p w14:paraId="053E203D" w14:textId="77777777" w:rsidR="00114789" w:rsidRPr="00B92FD5" w:rsidRDefault="00114789" w:rsidP="00A642F9">
            <w:pPr>
              <w:autoSpaceDE w:val="0"/>
              <w:autoSpaceDN w:val="0"/>
              <w:adjustRightInd w:val="0"/>
              <w:spacing w:before="20" w:after="60"/>
              <w:rPr>
                <w:snapToGrid w:val="0"/>
                <w:lang w:val="es-ES_tradnl" w:eastAsia="es-ES" w:bidi="es-ES"/>
              </w:rPr>
            </w:pPr>
            <w:r w:rsidRPr="00B92FD5">
              <w:rPr>
                <w:lang w:val="es-ES_tradnl" w:eastAsia="es-ES" w:bidi="es-ES"/>
              </w:rPr>
              <w:t xml:space="preserve">El </w:t>
            </w:r>
            <w:proofErr w:type="spellStart"/>
            <w:r w:rsidRPr="00B92FD5">
              <w:rPr>
                <w:lang w:val="es-ES_tradnl" w:eastAsia="es-ES" w:bidi="es-ES"/>
              </w:rPr>
              <w:t>fentión</w:t>
            </w:r>
            <w:proofErr w:type="spellEnd"/>
            <w:r w:rsidRPr="00B92FD5">
              <w:rPr>
                <w:lang w:val="es-ES_tradnl" w:eastAsia="es-ES" w:bidi="es-ES"/>
              </w:rPr>
              <w:t xml:space="preserve"> es muy tóxico para las aves. Es más tóxico para las aves de corral que para los mamíferos. Los síntomas agudos de envenenamiento por </w:t>
            </w:r>
            <w:proofErr w:type="spellStart"/>
            <w:r w:rsidRPr="00B92FD5">
              <w:rPr>
                <w:lang w:val="es-ES_tradnl" w:eastAsia="es-ES" w:bidi="es-ES"/>
              </w:rPr>
              <w:t>fentión</w:t>
            </w:r>
            <w:proofErr w:type="spellEnd"/>
            <w:r w:rsidRPr="00B92FD5">
              <w:rPr>
                <w:lang w:val="es-ES_tradnl" w:eastAsia="es-ES" w:bidi="es-ES"/>
              </w:rPr>
              <w:t xml:space="preserve"> en aves incluyen lágrimas, salivación con espuma, falta de movimientos, temblores, congestión de la tráquea, falta de coordinación al caminar y respiración anormalmente rápida o dificultades para respirar. Hay pollos que han desarrollado debilidad de las patas cuando se los alimentó con dosis de 25 mg/kg de </w:t>
            </w:r>
            <w:proofErr w:type="spellStart"/>
            <w:r w:rsidRPr="00B92FD5">
              <w:rPr>
                <w:lang w:val="es-ES_tradnl" w:eastAsia="es-ES" w:bidi="es-ES"/>
              </w:rPr>
              <w:t>fentión</w:t>
            </w:r>
            <w:proofErr w:type="spellEnd"/>
            <w:r w:rsidRPr="00B92FD5">
              <w:rPr>
                <w:lang w:val="es-ES_tradnl" w:eastAsia="es-ES" w:bidi="es-ES"/>
              </w:rPr>
              <w:t>. La LD</w:t>
            </w:r>
            <w:r w:rsidRPr="00B92FD5">
              <w:rPr>
                <w:snapToGrid w:val="0"/>
                <w:vertAlign w:val="subscript"/>
                <w:lang w:val="es-ES_tradnl" w:eastAsia="es-ES" w:bidi="es-ES"/>
              </w:rPr>
              <w:t>50</w:t>
            </w:r>
            <w:r w:rsidRPr="00B92FD5">
              <w:rPr>
                <w:lang w:val="es-ES_tradnl" w:eastAsia="es-ES" w:bidi="es-ES"/>
              </w:rPr>
              <w:t xml:space="preserve"> oral aguda en aves de corral es de 15 a 30 mg/kg.</w:t>
            </w:r>
          </w:p>
          <w:p w14:paraId="3B676C66" w14:textId="77777777" w:rsidR="00114789" w:rsidRPr="00B92FD5" w:rsidRDefault="00114789" w:rsidP="00A642F9">
            <w:pPr>
              <w:autoSpaceDE w:val="0"/>
              <w:autoSpaceDN w:val="0"/>
              <w:adjustRightInd w:val="0"/>
              <w:spacing w:before="20" w:after="60"/>
              <w:rPr>
                <w:snapToGrid w:val="0"/>
                <w:lang w:val="es-ES_tradnl" w:eastAsia="es-ES" w:bidi="es-ES"/>
              </w:rPr>
            </w:pPr>
            <w:r w:rsidRPr="00B92FD5">
              <w:rPr>
                <w:lang w:val="es-ES_tradnl" w:eastAsia="es-ES" w:bidi="es-ES"/>
              </w:rPr>
              <w:t>La LC</w:t>
            </w:r>
            <w:r w:rsidRPr="00B92FD5">
              <w:rPr>
                <w:snapToGrid w:val="0"/>
                <w:vertAlign w:val="subscript"/>
                <w:lang w:val="es-ES_tradnl" w:eastAsia="es-ES" w:bidi="es-ES"/>
              </w:rPr>
              <w:t>50</w:t>
            </w:r>
            <w:r w:rsidRPr="00B92FD5">
              <w:rPr>
                <w:lang w:val="es-ES_tradnl" w:eastAsia="es-ES" w:bidi="es-ES"/>
              </w:rPr>
              <w:t xml:space="preserve"> para el </w:t>
            </w:r>
            <w:proofErr w:type="spellStart"/>
            <w:r w:rsidRPr="00B92FD5">
              <w:rPr>
                <w:lang w:val="es-ES_tradnl" w:eastAsia="es-ES" w:bidi="es-ES"/>
              </w:rPr>
              <w:t>fentión</w:t>
            </w:r>
            <w:proofErr w:type="spellEnd"/>
            <w:r w:rsidRPr="00B92FD5">
              <w:rPr>
                <w:lang w:val="es-ES_tradnl" w:eastAsia="es-ES" w:bidi="es-ES"/>
              </w:rPr>
              <w:t xml:space="preserve"> en el ánade real es de 250 a 299 ppm, 180 a 220 ppm en faisanes y 25 a 35 ppm o 60 mg/kg en codornices </w:t>
            </w:r>
            <w:proofErr w:type="spellStart"/>
            <w:r w:rsidRPr="00B92FD5">
              <w:rPr>
                <w:lang w:val="es-ES_tradnl" w:eastAsia="es-ES" w:bidi="es-ES"/>
              </w:rPr>
              <w:t>cotuí</w:t>
            </w:r>
            <w:proofErr w:type="spellEnd"/>
            <w:r w:rsidRPr="00B92FD5">
              <w:rPr>
                <w:lang w:val="es-ES_tradnl" w:eastAsia="es-ES" w:bidi="es-ES"/>
              </w:rPr>
              <w:t xml:space="preserve">. En estas pruebas, se incluyó </w:t>
            </w:r>
            <w:proofErr w:type="spellStart"/>
            <w:r w:rsidRPr="00B92FD5">
              <w:rPr>
                <w:lang w:val="es-ES_tradnl" w:eastAsia="es-ES" w:bidi="es-ES"/>
              </w:rPr>
              <w:t>fentión</w:t>
            </w:r>
            <w:proofErr w:type="spellEnd"/>
            <w:r w:rsidRPr="00B92FD5">
              <w:rPr>
                <w:lang w:val="es-ES_tradnl" w:eastAsia="es-ES" w:bidi="es-ES"/>
              </w:rPr>
              <w:t xml:space="preserve"> en dietas de aves de dos semanas de edad durante cinco días y se siguió con alimentos no tratados durante tres días (</w:t>
            </w: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w:t>
            </w:r>
          </w:p>
        </w:tc>
      </w:tr>
      <w:tr w:rsidR="00114789" w:rsidRPr="00ED5AB4" w14:paraId="254BEB5F" w14:textId="77777777" w:rsidTr="00A642F9">
        <w:trPr>
          <w:gridAfter w:val="1"/>
          <w:wAfter w:w="93" w:type="dxa"/>
        </w:trPr>
        <w:tc>
          <w:tcPr>
            <w:tcW w:w="9405" w:type="dxa"/>
            <w:gridSpan w:val="3"/>
            <w:shd w:val="clear" w:color="auto" w:fill="auto"/>
          </w:tcPr>
          <w:p w14:paraId="31BFC742" w14:textId="77777777" w:rsidR="00114789" w:rsidRPr="00B92FD5" w:rsidRDefault="00114789" w:rsidP="00A642F9">
            <w:pPr>
              <w:rPr>
                <w:snapToGrid w:val="0"/>
                <w:lang w:val="es-ES_tradnl" w:eastAsia="es-ES" w:bidi="es-ES"/>
              </w:rPr>
            </w:pPr>
          </w:p>
        </w:tc>
      </w:tr>
      <w:tr w:rsidR="00114789" w:rsidRPr="00ED5AB4" w14:paraId="09F181BA" w14:textId="77777777" w:rsidTr="00A642F9">
        <w:trPr>
          <w:gridAfter w:val="1"/>
          <w:wAfter w:w="93" w:type="dxa"/>
        </w:trPr>
        <w:tc>
          <w:tcPr>
            <w:tcW w:w="709" w:type="dxa"/>
            <w:shd w:val="clear" w:color="auto" w:fill="auto"/>
          </w:tcPr>
          <w:p w14:paraId="6C915E6C" w14:textId="77777777" w:rsidR="00114789" w:rsidRPr="00B92FD5" w:rsidRDefault="00114789" w:rsidP="00A642F9">
            <w:pPr>
              <w:keepLines/>
              <w:rPr>
                <w:b/>
                <w:lang w:val="es-ES_tradnl" w:eastAsia="es-ES" w:bidi="es-ES"/>
              </w:rPr>
            </w:pPr>
            <w:r w:rsidRPr="00B92FD5">
              <w:rPr>
                <w:b/>
                <w:lang w:val="es-ES_tradnl" w:eastAsia="es-ES" w:bidi="es-ES"/>
              </w:rPr>
              <w:t>4.2.2</w:t>
            </w:r>
          </w:p>
        </w:tc>
        <w:tc>
          <w:tcPr>
            <w:tcW w:w="1703" w:type="dxa"/>
            <w:shd w:val="clear" w:color="auto" w:fill="auto"/>
          </w:tcPr>
          <w:p w14:paraId="1FE036F1"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Especies acuáticas</w:t>
            </w:r>
          </w:p>
        </w:tc>
        <w:tc>
          <w:tcPr>
            <w:tcW w:w="6993" w:type="dxa"/>
            <w:shd w:val="clear" w:color="auto" w:fill="auto"/>
          </w:tcPr>
          <w:p w14:paraId="77A88FFE" w14:textId="77777777" w:rsidR="00114789" w:rsidRPr="00B92FD5" w:rsidRDefault="00114789" w:rsidP="00A642F9">
            <w:pPr>
              <w:spacing w:before="20" w:after="60"/>
              <w:rPr>
                <w:snapToGrid w:val="0"/>
                <w:lang w:val="es-ES_tradnl" w:eastAsia="es-ES" w:bidi="es-ES"/>
              </w:rPr>
            </w:pPr>
            <w:r w:rsidRPr="00B92FD5">
              <w:rPr>
                <w:lang w:val="es-ES_tradnl" w:eastAsia="es-ES" w:bidi="es-ES"/>
              </w:rPr>
              <w:t>Toxicidad aguda en peces: LC</w:t>
            </w:r>
            <w:r w:rsidRPr="00B92FD5">
              <w:rPr>
                <w:snapToGrid w:val="0"/>
                <w:vertAlign w:val="subscript"/>
                <w:lang w:val="es-ES_tradnl" w:eastAsia="es-ES" w:bidi="es-ES"/>
              </w:rPr>
              <w:t>50</w:t>
            </w:r>
            <w:r w:rsidRPr="00B92FD5">
              <w:rPr>
                <w:lang w:val="es-ES_tradnl" w:eastAsia="es-ES" w:bidi="es-ES"/>
              </w:rPr>
              <w:t>: 2,7 mg/l (cacho, estudio de 96 horas) (FAO 2004)</w:t>
            </w:r>
          </w:p>
          <w:p w14:paraId="18A8F850" w14:textId="77777777" w:rsidR="00114789" w:rsidRPr="00B92FD5" w:rsidRDefault="00114789" w:rsidP="00A642F9">
            <w:pPr>
              <w:spacing w:before="20" w:after="60"/>
              <w:rPr>
                <w:snapToGrid w:val="0"/>
                <w:lang w:val="es-ES_tradnl" w:eastAsia="es-ES" w:bidi="es-ES"/>
              </w:rPr>
            </w:pPr>
            <w:r w:rsidRPr="00B92FD5">
              <w:rPr>
                <w:lang w:val="es-ES_tradnl" w:eastAsia="es-ES" w:bidi="es-ES"/>
              </w:rPr>
              <w:t>LC</w:t>
            </w:r>
            <w:r w:rsidRPr="00B92FD5">
              <w:rPr>
                <w:snapToGrid w:val="0"/>
                <w:vertAlign w:val="subscript"/>
                <w:lang w:val="es-ES_tradnl" w:eastAsia="es-ES" w:bidi="es-ES"/>
              </w:rPr>
              <w:t>50</w:t>
            </w:r>
            <w:r w:rsidRPr="00B92FD5">
              <w:rPr>
                <w:lang w:val="es-ES_tradnl" w:eastAsia="es-ES" w:bidi="es-ES"/>
              </w:rPr>
              <w:t>: 0,83 mg/l (trucha arco iris, estudio de 96 horas) (FAO 2004)</w:t>
            </w:r>
          </w:p>
          <w:p w14:paraId="254AE46A" w14:textId="77777777" w:rsidR="00114789" w:rsidRPr="00B92FD5" w:rsidRDefault="00114789" w:rsidP="00A642F9">
            <w:pPr>
              <w:spacing w:before="20" w:after="60"/>
              <w:rPr>
                <w:snapToGrid w:val="0"/>
                <w:lang w:val="es-ES_tradnl" w:eastAsia="es-ES" w:bidi="es-ES"/>
              </w:rPr>
            </w:pPr>
            <w:r w:rsidRPr="00B92FD5">
              <w:rPr>
                <w:lang w:val="es-ES_tradnl" w:eastAsia="es-ES" w:bidi="es-ES"/>
              </w:rPr>
              <w:t>Toxicidad aguda en invertebrados: EC</w:t>
            </w:r>
            <w:r w:rsidRPr="00B92FD5">
              <w:rPr>
                <w:snapToGrid w:val="0"/>
                <w:vertAlign w:val="subscript"/>
                <w:lang w:val="es-ES_tradnl" w:eastAsia="es-ES" w:bidi="es-ES"/>
              </w:rPr>
              <w:t>50</w:t>
            </w:r>
            <w:r w:rsidRPr="00B92FD5">
              <w:rPr>
                <w:lang w:val="es-ES_tradnl" w:eastAsia="es-ES" w:bidi="es-ES"/>
              </w:rPr>
              <w:t>: 5,7 µg/l (</w:t>
            </w:r>
            <w:proofErr w:type="spellStart"/>
            <w:r w:rsidRPr="00B92FD5">
              <w:rPr>
                <w:i/>
                <w:snapToGrid w:val="0"/>
                <w:lang w:val="es-ES_tradnl" w:eastAsia="es-ES" w:bidi="es-ES"/>
              </w:rPr>
              <w:t>Daphnia</w:t>
            </w:r>
            <w:proofErr w:type="spellEnd"/>
            <w:r w:rsidRPr="00B92FD5">
              <w:rPr>
                <w:i/>
                <w:snapToGrid w:val="0"/>
                <w:lang w:val="es-ES_tradnl" w:eastAsia="es-ES" w:bidi="es-ES"/>
              </w:rPr>
              <w:t xml:space="preserve"> magna</w:t>
            </w:r>
            <w:r w:rsidRPr="00B92FD5">
              <w:rPr>
                <w:lang w:val="es-ES_tradnl" w:eastAsia="es-ES" w:bidi="es-ES"/>
              </w:rPr>
              <w:t>, estudio de 48 horas) (FAO 2004)</w:t>
            </w:r>
          </w:p>
          <w:p w14:paraId="452977B2" w14:textId="77777777" w:rsidR="00114789" w:rsidRPr="00B92FD5" w:rsidRDefault="00114789" w:rsidP="00A642F9">
            <w:pPr>
              <w:spacing w:before="20" w:after="60"/>
              <w:rPr>
                <w:snapToGrid w:val="0"/>
                <w:lang w:val="es-ES_tradnl" w:eastAsia="es-ES" w:bidi="es-ES"/>
              </w:rPr>
            </w:pPr>
            <w:r w:rsidRPr="00B92FD5">
              <w:rPr>
                <w:lang w:val="es-ES_tradnl" w:eastAsia="es-ES" w:bidi="es-ES"/>
              </w:rPr>
              <w:t>Toxicidad crónica en invertebrados: EC</w:t>
            </w:r>
            <w:r w:rsidRPr="00B92FD5">
              <w:rPr>
                <w:snapToGrid w:val="0"/>
                <w:vertAlign w:val="subscript"/>
                <w:lang w:val="es-ES_tradnl" w:eastAsia="es-ES" w:bidi="es-ES"/>
              </w:rPr>
              <w:t>50</w:t>
            </w:r>
            <w:r w:rsidRPr="00B92FD5">
              <w:rPr>
                <w:lang w:val="es-ES_tradnl" w:eastAsia="es-ES" w:bidi="es-ES"/>
              </w:rPr>
              <w:t xml:space="preserve"> (21 días) 0,059 µg/l, NOEC: 0,042 µg/l (FAO 2004)</w:t>
            </w:r>
          </w:p>
          <w:p w14:paraId="62E1C28D" w14:textId="77777777" w:rsidR="00114789" w:rsidRPr="00B92FD5" w:rsidRDefault="00114789" w:rsidP="00A642F9">
            <w:pPr>
              <w:spacing w:before="20" w:after="60"/>
              <w:rPr>
                <w:snapToGrid w:val="0"/>
                <w:lang w:val="es-ES_tradnl" w:eastAsia="es-ES" w:bidi="es-ES"/>
              </w:rPr>
            </w:pPr>
            <w:r w:rsidRPr="00B92FD5">
              <w:rPr>
                <w:lang w:val="es-ES_tradnl" w:eastAsia="es-ES" w:bidi="es-ES"/>
              </w:rPr>
              <w:t>Toxicidad crónica en algas: E</w:t>
            </w:r>
            <w:r w:rsidRPr="00B92FD5">
              <w:rPr>
                <w:snapToGrid w:val="0"/>
                <w:vertAlign w:val="subscript"/>
                <w:lang w:val="es-ES_tradnl" w:eastAsia="es-ES" w:bidi="es-ES"/>
              </w:rPr>
              <w:t>r</w:t>
            </w:r>
            <w:r w:rsidRPr="00B92FD5">
              <w:rPr>
                <w:lang w:val="es-ES_tradnl" w:eastAsia="es-ES" w:bidi="es-ES"/>
              </w:rPr>
              <w:t>C</w:t>
            </w:r>
            <w:r w:rsidRPr="00B92FD5">
              <w:rPr>
                <w:snapToGrid w:val="0"/>
                <w:vertAlign w:val="subscript"/>
                <w:lang w:val="es-ES_tradnl" w:eastAsia="es-ES" w:bidi="es-ES"/>
              </w:rPr>
              <w:t>50</w:t>
            </w:r>
            <w:r w:rsidRPr="00B92FD5">
              <w:rPr>
                <w:lang w:val="es-ES_tradnl" w:eastAsia="es-ES" w:bidi="es-ES"/>
              </w:rPr>
              <w:t>: 1,79 mg/l (</w:t>
            </w:r>
            <w:proofErr w:type="spellStart"/>
            <w:r w:rsidRPr="00B92FD5">
              <w:rPr>
                <w:i/>
                <w:snapToGrid w:val="0"/>
                <w:lang w:val="es-ES_tradnl" w:eastAsia="es-ES" w:bidi="es-ES"/>
              </w:rPr>
              <w:t>Scenedesmus</w:t>
            </w:r>
            <w:proofErr w:type="spellEnd"/>
            <w:r w:rsidRPr="00B92FD5">
              <w:rPr>
                <w:i/>
                <w:snapToGrid w:val="0"/>
                <w:lang w:val="es-ES_tradnl" w:eastAsia="es-ES" w:bidi="es-ES"/>
              </w:rPr>
              <w:t xml:space="preserve"> </w:t>
            </w:r>
            <w:proofErr w:type="spellStart"/>
            <w:r w:rsidRPr="00B92FD5">
              <w:rPr>
                <w:i/>
                <w:snapToGrid w:val="0"/>
                <w:lang w:val="es-ES_tradnl" w:eastAsia="es-ES" w:bidi="es-ES"/>
              </w:rPr>
              <w:t>subspicatus</w:t>
            </w:r>
            <w:proofErr w:type="spellEnd"/>
            <w:r w:rsidRPr="00B92FD5">
              <w:rPr>
                <w:lang w:val="es-ES_tradnl" w:eastAsia="es-ES" w:bidi="es-ES"/>
              </w:rPr>
              <w:t>, estudio de 72 horas) (FAO 2004)</w:t>
            </w:r>
          </w:p>
        </w:tc>
      </w:tr>
      <w:tr w:rsidR="00114789" w:rsidRPr="00ED5AB4" w14:paraId="5B422DF5" w14:textId="77777777" w:rsidTr="00A642F9">
        <w:trPr>
          <w:gridAfter w:val="1"/>
          <w:wAfter w:w="93" w:type="dxa"/>
        </w:trPr>
        <w:tc>
          <w:tcPr>
            <w:tcW w:w="9405" w:type="dxa"/>
            <w:gridSpan w:val="3"/>
            <w:shd w:val="clear" w:color="auto" w:fill="auto"/>
          </w:tcPr>
          <w:p w14:paraId="110A82A2" w14:textId="77777777" w:rsidR="00114789" w:rsidRPr="00B92FD5" w:rsidRDefault="00114789" w:rsidP="00A642F9">
            <w:pPr>
              <w:keepNext/>
              <w:rPr>
                <w:snapToGrid w:val="0"/>
                <w:lang w:val="es-ES_tradnl" w:eastAsia="es-ES" w:bidi="es-ES"/>
              </w:rPr>
            </w:pPr>
          </w:p>
        </w:tc>
      </w:tr>
      <w:tr w:rsidR="00114789" w:rsidRPr="00ED5AB4" w14:paraId="258750FD" w14:textId="77777777" w:rsidTr="00A642F9">
        <w:trPr>
          <w:gridAfter w:val="1"/>
          <w:wAfter w:w="93" w:type="dxa"/>
        </w:trPr>
        <w:tc>
          <w:tcPr>
            <w:tcW w:w="709" w:type="dxa"/>
            <w:shd w:val="clear" w:color="auto" w:fill="auto"/>
          </w:tcPr>
          <w:p w14:paraId="14E9F72F" w14:textId="77777777" w:rsidR="00114789" w:rsidRPr="00B92FD5" w:rsidRDefault="00114789" w:rsidP="00A642F9">
            <w:pPr>
              <w:keepLines/>
              <w:rPr>
                <w:b/>
                <w:lang w:val="es-ES_tradnl" w:eastAsia="es-ES" w:bidi="es-ES"/>
              </w:rPr>
            </w:pPr>
            <w:r w:rsidRPr="00B92FD5">
              <w:rPr>
                <w:b/>
                <w:lang w:val="es-ES_tradnl" w:eastAsia="es-ES" w:bidi="es-ES"/>
              </w:rPr>
              <w:t>4.2.3</w:t>
            </w:r>
          </w:p>
        </w:tc>
        <w:tc>
          <w:tcPr>
            <w:tcW w:w="1703" w:type="dxa"/>
            <w:shd w:val="clear" w:color="auto" w:fill="auto"/>
          </w:tcPr>
          <w:p w14:paraId="6EBC7E1E" w14:textId="77777777" w:rsidR="00114789" w:rsidRPr="00B92FD5" w:rsidRDefault="00114789" w:rsidP="00A642F9">
            <w:pPr>
              <w:keepNext/>
              <w:spacing w:before="20" w:after="20"/>
              <w:outlineLvl w:val="2"/>
              <w:rPr>
                <w:b/>
                <w:bCs/>
                <w:lang w:val="es-ES_tradnl" w:eastAsia="es-ES" w:bidi="es-ES"/>
              </w:rPr>
            </w:pPr>
            <w:r w:rsidRPr="00B92FD5">
              <w:rPr>
                <w:b/>
                <w:lang w:val="es-ES_tradnl" w:eastAsia="es-ES" w:bidi="es-ES"/>
              </w:rPr>
              <w:t>Abejas y otros artrópodos</w:t>
            </w:r>
          </w:p>
        </w:tc>
        <w:tc>
          <w:tcPr>
            <w:tcW w:w="6993" w:type="dxa"/>
            <w:shd w:val="clear" w:color="auto" w:fill="auto"/>
          </w:tcPr>
          <w:p w14:paraId="503F4001" w14:textId="77777777" w:rsidR="00114789" w:rsidRPr="00B92FD5" w:rsidRDefault="00114789" w:rsidP="00A642F9">
            <w:pPr>
              <w:keepNext/>
              <w:spacing w:before="20"/>
              <w:rPr>
                <w:i/>
                <w:snapToGrid w:val="0"/>
                <w:lang w:val="es-ES_tradnl" w:eastAsia="es-ES" w:bidi="es-ES"/>
              </w:rPr>
            </w:pPr>
            <w:r w:rsidRPr="00B92FD5">
              <w:rPr>
                <w:lang w:val="es-ES_tradnl" w:eastAsia="es-ES" w:bidi="es-ES"/>
              </w:rPr>
              <w:t>LD</w:t>
            </w:r>
            <w:r w:rsidRPr="00B92FD5">
              <w:rPr>
                <w:snapToGrid w:val="0"/>
                <w:vertAlign w:val="subscript"/>
                <w:lang w:val="es-ES_tradnl" w:eastAsia="es-ES" w:bidi="es-ES"/>
              </w:rPr>
              <w:t>50</w:t>
            </w:r>
            <w:r w:rsidRPr="00B92FD5">
              <w:rPr>
                <w:lang w:val="es-ES_tradnl" w:eastAsia="es-ES" w:bidi="es-ES"/>
              </w:rPr>
              <w:t xml:space="preserve"> en abejas, contacto (estudio agudo de 48 horas): 0,16 ng/abeja (FAO 2004); 0,31 µg/abeja (EU 2002)</w:t>
            </w:r>
          </w:p>
        </w:tc>
      </w:tr>
      <w:tr w:rsidR="00114789" w:rsidRPr="00ED5AB4" w14:paraId="0FD50137" w14:textId="77777777" w:rsidTr="00A642F9">
        <w:trPr>
          <w:gridAfter w:val="1"/>
          <w:wAfter w:w="93" w:type="dxa"/>
        </w:trPr>
        <w:tc>
          <w:tcPr>
            <w:tcW w:w="9405" w:type="dxa"/>
            <w:gridSpan w:val="3"/>
            <w:shd w:val="clear" w:color="auto" w:fill="auto"/>
          </w:tcPr>
          <w:p w14:paraId="533ABF98" w14:textId="77777777" w:rsidR="00114789" w:rsidRPr="00B92FD5" w:rsidRDefault="00114789" w:rsidP="00A642F9">
            <w:pPr>
              <w:spacing w:before="20"/>
              <w:rPr>
                <w:snapToGrid w:val="0"/>
                <w:lang w:val="es-ES_tradnl" w:eastAsia="es-ES" w:bidi="es-ES"/>
              </w:rPr>
            </w:pPr>
          </w:p>
        </w:tc>
      </w:tr>
      <w:tr w:rsidR="00114789" w:rsidRPr="00ED5AB4" w14:paraId="37618FDE" w14:textId="77777777" w:rsidTr="00A642F9">
        <w:trPr>
          <w:gridAfter w:val="1"/>
          <w:wAfter w:w="93" w:type="dxa"/>
        </w:trPr>
        <w:tc>
          <w:tcPr>
            <w:tcW w:w="709" w:type="dxa"/>
            <w:shd w:val="clear" w:color="auto" w:fill="auto"/>
          </w:tcPr>
          <w:p w14:paraId="799C4A08" w14:textId="77777777" w:rsidR="00114789" w:rsidRPr="00B92FD5" w:rsidRDefault="00114789" w:rsidP="00A642F9">
            <w:pPr>
              <w:keepLines/>
              <w:rPr>
                <w:b/>
                <w:lang w:val="es-ES_tradnl" w:eastAsia="es-ES" w:bidi="es-ES"/>
              </w:rPr>
            </w:pPr>
            <w:r w:rsidRPr="00B92FD5">
              <w:rPr>
                <w:b/>
                <w:lang w:val="es-ES_tradnl" w:eastAsia="es-ES" w:bidi="es-ES"/>
              </w:rPr>
              <w:t>4.2.4</w:t>
            </w:r>
          </w:p>
        </w:tc>
        <w:tc>
          <w:tcPr>
            <w:tcW w:w="1703" w:type="dxa"/>
            <w:shd w:val="clear" w:color="auto" w:fill="auto"/>
          </w:tcPr>
          <w:p w14:paraId="7BD117CD"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Lombrices de tierra y otros organismos del suelo</w:t>
            </w:r>
          </w:p>
        </w:tc>
        <w:tc>
          <w:tcPr>
            <w:tcW w:w="6993" w:type="dxa"/>
            <w:shd w:val="clear" w:color="auto" w:fill="auto"/>
          </w:tcPr>
          <w:p w14:paraId="1F8B2044" w14:textId="77777777" w:rsidR="00114789" w:rsidRPr="00B92FD5" w:rsidRDefault="00114789" w:rsidP="00A642F9">
            <w:pPr>
              <w:spacing w:before="20"/>
              <w:rPr>
                <w:snapToGrid w:val="0"/>
                <w:lang w:val="es-ES_tradnl" w:eastAsia="es-ES" w:bidi="es-ES"/>
              </w:rPr>
            </w:pPr>
            <w:r w:rsidRPr="00B92FD5">
              <w:rPr>
                <w:lang w:val="es-ES_tradnl" w:eastAsia="es-ES" w:bidi="es-ES"/>
              </w:rPr>
              <w:t>Lombriz de tierra LC</w:t>
            </w:r>
            <w:r w:rsidRPr="00B92FD5">
              <w:rPr>
                <w:snapToGrid w:val="0"/>
                <w:vertAlign w:val="subscript"/>
                <w:lang w:val="es-ES_tradnl" w:eastAsia="es-ES" w:bidi="es-ES"/>
              </w:rPr>
              <w:t>50</w:t>
            </w:r>
            <w:r w:rsidRPr="00B92FD5">
              <w:rPr>
                <w:lang w:val="es-ES_tradnl" w:eastAsia="es-ES" w:bidi="es-ES"/>
              </w:rPr>
              <w:t xml:space="preserve"> 750 mg/kg suelo seco (14 días, formulación EC50) (FAO 2004, EU 2002)</w:t>
            </w:r>
          </w:p>
        </w:tc>
      </w:tr>
    </w:tbl>
    <w:p w14:paraId="34D91635" w14:textId="77777777" w:rsidR="00114789" w:rsidRPr="00B92FD5" w:rsidRDefault="00114789" w:rsidP="00114789">
      <w:pPr>
        <w:rPr>
          <w:lang w:val="es-ES_tradnl" w:eastAsia="es-ES" w:bidi="es-ES"/>
        </w:rPr>
      </w:pPr>
      <w:r w:rsidRPr="00B92FD5">
        <w:rPr>
          <w:lang w:val="es-ES_tradnl" w:eastAsia="es-ES" w:bidi="es-ES"/>
        </w:rPr>
        <w:br w:type="page"/>
      </w:r>
    </w:p>
    <w:tbl>
      <w:tblPr>
        <w:tblW w:w="9405" w:type="dxa"/>
        <w:tblInd w:w="108" w:type="dxa"/>
        <w:tblLayout w:type="fixed"/>
        <w:tblLook w:val="0000" w:firstRow="0" w:lastRow="0" w:firstColumn="0" w:lastColumn="0" w:noHBand="0" w:noVBand="0"/>
      </w:tblPr>
      <w:tblGrid>
        <w:gridCol w:w="709"/>
        <w:gridCol w:w="1703"/>
        <w:gridCol w:w="6993"/>
      </w:tblGrid>
      <w:tr w:rsidR="00114789" w:rsidRPr="00ED5AB4" w14:paraId="36C3A022" w14:textId="77777777" w:rsidTr="00A642F9">
        <w:tc>
          <w:tcPr>
            <w:tcW w:w="9405" w:type="dxa"/>
            <w:gridSpan w:val="3"/>
            <w:shd w:val="clear" w:color="auto" w:fill="auto"/>
          </w:tcPr>
          <w:p w14:paraId="0735D1F0" w14:textId="77777777" w:rsidR="00114789" w:rsidRPr="00B92FD5" w:rsidRDefault="00114789" w:rsidP="00A642F9">
            <w:pPr>
              <w:spacing w:before="20"/>
              <w:rPr>
                <w:snapToGrid w:val="0"/>
                <w:lang w:val="es-ES_tradnl" w:eastAsia="es-ES" w:bidi="es-ES"/>
              </w:rPr>
            </w:pPr>
          </w:p>
        </w:tc>
      </w:tr>
      <w:tr w:rsidR="00114789" w:rsidRPr="00B92FD5" w14:paraId="2F47972F" w14:textId="77777777" w:rsidTr="00A642F9">
        <w:tc>
          <w:tcPr>
            <w:tcW w:w="709" w:type="dxa"/>
            <w:shd w:val="clear" w:color="auto" w:fill="auto"/>
          </w:tcPr>
          <w:p w14:paraId="09E2F7D2" w14:textId="77777777" w:rsidR="00114789" w:rsidRPr="00B92FD5" w:rsidRDefault="00114789" w:rsidP="00A642F9">
            <w:pPr>
              <w:keepLines/>
              <w:rPr>
                <w:b/>
                <w:lang w:val="es-ES_tradnl" w:eastAsia="es-ES" w:bidi="es-ES"/>
              </w:rPr>
            </w:pPr>
            <w:r w:rsidRPr="00B92FD5">
              <w:rPr>
                <w:b/>
                <w:lang w:val="es-ES_tradnl" w:eastAsia="es-ES" w:bidi="es-ES"/>
              </w:rPr>
              <w:t>4.2.5</w:t>
            </w:r>
          </w:p>
        </w:tc>
        <w:tc>
          <w:tcPr>
            <w:tcW w:w="1703" w:type="dxa"/>
            <w:shd w:val="clear" w:color="auto" w:fill="auto"/>
          </w:tcPr>
          <w:p w14:paraId="6349E0FE"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Microorganismos del suelo</w:t>
            </w:r>
          </w:p>
        </w:tc>
        <w:tc>
          <w:tcPr>
            <w:tcW w:w="6993" w:type="dxa"/>
            <w:shd w:val="clear" w:color="auto" w:fill="auto"/>
          </w:tcPr>
          <w:p w14:paraId="244968D6" w14:textId="77777777" w:rsidR="00114789" w:rsidRPr="00B92FD5" w:rsidRDefault="00114789" w:rsidP="00A642F9">
            <w:pPr>
              <w:spacing w:before="20"/>
              <w:rPr>
                <w:snapToGrid w:val="0"/>
                <w:lang w:val="es-ES_tradnl" w:eastAsia="es-ES" w:bidi="es-ES"/>
              </w:rPr>
            </w:pPr>
            <w:r w:rsidRPr="00B92FD5">
              <w:rPr>
                <w:lang w:val="es-ES_tradnl" w:eastAsia="es-ES" w:bidi="es-ES"/>
              </w:rPr>
              <w:t>Mineralización del nitrógeno: efecto &gt; al 25 %</w:t>
            </w:r>
            <w:r w:rsidRPr="00B92FD5">
              <w:rPr>
                <w:lang w:val="es-ES_tradnl" w:eastAsia="es-ES" w:bidi="es-ES"/>
              </w:rPr>
              <w:br/>
              <w:t>Mineralización del carbono: sin efecto adverso significativo (dosis: 10 µl/kg suelo, 20 °C) (PPDB)</w:t>
            </w:r>
          </w:p>
        </w:tc>
      </w:tr>
      <w:tr w:rsidR="00114789" w:rsidRPr="00B92FD5" w14:paraId="07A1C94E" w14:textId="77777777" w:rsidTr="00A642F9">
        <w:tc>
          <w:tcPr>
            <w:tcW w:w="9405" w:type="dxa"/>
            <w:gridSpan w:val="3"/>
            <w:shd w:val="clear" w:color="auto" w:fill="auto"/>
          </w:tcPr>
          <w:p w14:paraId="687FBDD0" w14:textId="77777777" w:rsidR="00114789" w:rsidRPr="00B92FD5" w:rsidRDefault="00114789" w:rsidP="00A642F9">
            <w:pPr>
              <w:rPr>
                <w:snapToGrid w:val="0"/>
                <w:lang w:val="es-ES_tradnl" w:eastAsia="es-ES" w:bidi="es-ES"/>
              </w:rPr>
            </w:pPr>
          </w:p>
        </w:tc>
      </w:tr>
      <w:tr w:rsidR="00114789" w:rsidRPr="00B92FD5" w14:paraId="5C6D2755" w14:textId="77777777" w:rsidTr="00A642F9">
        <w:tc>
          <w:tcPr>
            <w:tcW w:w="709" w:type="dxa"/>
            <w:shd w:val="clear" w:color="auto" w:fill="auto"/>
          </w:tcPr>
          <w:p w14:paraId="64B468A9" w14:textId="77777777" w:rsidR="00114789" w:rsidRPr="00B92FD5" w:rsidRDefault="00114789" w:rsidP="00A642F9">
            <w:pPr>
              <w:keepLines/>
              <w:rPr>
                <w:b/>
                <w:lang w:val="es-ES_tradnl" w:eastAsia="es-ES" w:bidi="es-ES"/>
              </w:rPr>
            </w:pPr>
            <w:r w:rsidRPr="00B92FD5">
              <w:rPr>
                <w:b/>
                <w:lang w:val="es-ES_tradnl" w:eastAsia="es-ES" w:bidi="es-ES"/>
              </w:rPr>
              <w:t>4.2.6</w:t>
            </w:r>
          </w:p>
        </w:tc>
        <w:tc>
          <w:tcPr>
            <w:tcW w:w="1703" w:type="dxa"/>
            <w:shd w:val="clear" w:color="auto" w:fill="auto"/>
          </w:tcPr>
          <w:p w14:paraId="7820057D" w14:textId="77777777" w:rsidR="00114789" w:rsidRPr="00B92FD5" w:rsidRDefault="00114789" w:rsidP="00A642F9">
            <w:pPr>
              <w:spacing w:before="20" w:after="20"/>
              <w:outlineLvl w:val="2"/>
              <w:rPr>
                <w:b/>
                <w:bCs/>
                <w:lang w:val="es-ES_tradnl" w:eastAsia="es-ES" w:bidi="es-ES"/>
              </w:rPr>
            </w:pPr>
            <w:r w:rsidRPr="00B92FD5">
              <w:rPr>
                <w:b/>
                <w:lang w:val="es-ES_tradnl" w:eastAsia="es-ES" w:bidi="es-ES"/>
              </w:rPr>
              <w:t>Plantas terrestres</w:t>
            </w:r>
          </w:p>
        </w:tc>
        <w:tc>
          <w:tcPr>
            <w:tcW w:w="6993" w:type="dxa"/>
            <w:shd w:val="clear" w:color="auto" w:fill="auto"/>
          </w:tcPr>
          <w:p w14:paraId="7F7F9467" w14:textId="77777777" w:rsidR="00114789" w:rsidRPr="00B92FD5" w:rsidRDefault="00114789" w:rsidP="00A642F9">
            <w:pPr>
              <w:spacing w:before="20"/>
              <w:rPr>
                <w:snapToGrid w:val="0"/>
                <w:lang w:val="es-ES_tradnl" w:eastAsia="es-ES" w:bidi="es-ES"/>
              </w:rPr>
            </w:pPr>
            <w:r w:rsidRPr="00B92FD5">
              <w:rPr>
                <w:lang w:val="es-ES_tradnl" w:eastAsia="es-ES" w:bidi="es-ES"/>
              </w:rPr>
              <w:t>-</w:t>
            </w:r>
          </w:p>
        </w:tc>
      </w:tr>
      <w:tr w:rsidR="00114789" w:rsidRPr="00B92FD5" w14:paraId="00368185" w14:textId="77777777" w:rsidTr="00A642F9">
        <w:trPr>
          <w:cantSplit/>
          <w:trHeight w:val="283"/>
        </w:trPr>
        <w:tc>
          <w:tcPr>
            <w:tcW w:w="9405" w:type="dxa"/>
            <w:gridSpan w:val="3"/>
            <w:tcBorders>
              <w:bottom w:val="single" w:sz="4" w:space="0" w:color="auto"/>
            </w:tcBorders>
            <w:shd w:val="clear" w:color="auto" w:fill="auto"/>
          </w:tcPr>
          <w:p w14:paraId="628AC1B7" w14:textId="77777777" w:rsidR="00114789" w:rsidRPr="00B92FD5" w:rsidRDefault="00114789" w:rsidP="00A642F9">
            <w:pPr>
              <w:spacing w:before="40" w:after="60"/>
              <w:outlineLvl w:val="0"/>
              <w:rPr>
                <w:b/>
                <w:bCs/>
                <w:kern w:val="28"/>
                <w:lang w:val="es-ES_tradnl" w:eastAsia="es-ES" w:bidi="es-ES"/>
              </w:rPr>
            </w:pPr>
          </w:p>
        </w:tc>
      </w:tr>
      <w:tr w:rsidR="00114789" w:rsidRPr="00ED5AB4" w14:paraId="3A8D8C4E" w14:textId="77777777" w:rsidTr="00A642F9">
        <w:trPr>
          <w:cantSplit/>
        </w:trPr>
        <w:tc>
          <w:tcPr>
            <w:tcW w:w="709" w:type="dxa"/>
            <w:tcBorders>
              <w:bottom w:val="single" w:sz="4" w:space="0" w:color="auto"/>
            </w:tcBorders>
            <w:shd w:val="clear" w:color="auto" w:fill="auto"/>
          </w:tcPr>
          <w:p w14:paraId="46137E58" w14:textId="77777777" w:rsidR="00114789" w:rsidRPr="00B92FD5" w:rsidRDefault="00114789" w:rsidP="00A642F9">
            <w:pPr>
              <w:spacing w:before="40" w:after="60"/>
              <w:outlineLvl w:val="0"/>
              <w:rPr>
                <w:b/>
                <w:bCs/>
                <w:kern w:val="28"/>
                <w:szCs w:val="24"/>
                <w:lang w:val="es-ES_tradnl" w:eastAsia="es-ES" w:bidi="es-ES"/>
              </w:rPr>
            </w:pPr>
            <w:r w:rsidRPr="00B92FD5">
              <w:rPr>
                <w:b/>
                <w:kern w:val="28"/>
                <w:lang w:val="es-ES_tradnl" w:eastAsia="es-ES" w:bidi="es-ES"/>
              </w:rPr>
              <w:t>5</w:t>
            </w:r>
          </w:p>
        </w:tc>
        <w:tc>
          <w:tcPr>
            <w:tcW w:w="8696" w:type="dxa"/>
            <w:gridSpan w:val="2"/>
            <w:tcBorders>
              <w:bottom w:val="single" w:sz="4" w:space="0" w:color="auto"/>
            </w:tcBorders>
            <w:shd w:val="clear" w:color="auto" w:fill="auto"/>
          </w:tcPr>
          <w:p w14:paraId="74E2C431" w14:textId="77777777" w:rsidR="00114789" w:rsidRPr="00B92FD5" w:rsidRDefault="00114789" w:rsidP="00A642F9">
            <w:pPr>
              <w:spacing w:before="40" w:after="60"/>
              <w:outlineLvl w:val="0"/>
              <w:rPr>
                <w:b/>
                <w:bCs/>
                <w:i/>
                <w:snapToGrid w:val="0"/>
                <w:kern w:val="28"/>
                <w:szCs w:val="24"/>
                <w:u w:val="single"/>
                <w:lang w:val="es-ES_tradnl" w:eastAsia="es-ES" w:bidi="es-ES"/>
              </w:rPr>
            </w:pPr>
            <w:r w:rsidRPr="00B92FD5">
              <w:rPr>
                <w:b/>
                <w:kern w:val="28"/>
                <w:lang w:val="es-ES_tradnl" w:eastAsia="es-ES" w:bidi="es-ES"/>
              </w:rPr>
              <w:t xml:space="preserve">Exposición ambiental/evaluación de los riesgos </w:t>
            </w:r>
          </w:p>
        </w:tc>
      </w:tr>
      <w:tr w:rsidR="00114789" w:rsidRPr="00ED5AB4" w14:paraId="171F4802" w14:textId="77777777" w:rsidTr="00A642F9">
        <w:tc>
          <w:tcPr>
            <w:tcW w:w="709" w:type="dxa"/>
            <w:tcBorders>
              <w:top w:val="single" w:sz="4" w:space="0" w:color="auto"/>
            </w:tcBorders>
            <w:shd w:val="clear" w:color="auto" w:fill="auto"/>
          </w:tcPr>
          <w:p w14:paraId="634C5397" w14:textId="77777777" w:rsidR="00114789" w:rsidRPr="00B92FD5" w:rsidRDefault="00114789" w:rsidP="00A642F9">
            <w:pPr>
              <w:keepLines/>
              <w:rPr>
                <w:b/>
                <w:lang w:val="es-ES_tradnl" w:eastAsia="es-ES" w:bidi="es-ES"/>
              </w:rPr>
            </w:pPr>
          </w:p>
        </w:tc>
        <w:tc>
          <w:tcPr>
            <w:tcW w:w="8696" w:type="dxa"/>
            <w:gridSpan w:val="2"/>
            <w:tcBorders>
              <w:top w:val="single" w:sz="4" w:space="0" w:color="auto"/>
            </w:tcBorders>
            <w:shd w:val="clear" w:color="auto" w:fill="auto"/>
          </w:tcPr>
          <w:p w14:paraId="022FBE19" w14:textId="77777777" w:rsidR="00114789" w:rsidRPr="00B92FD5" w:rsidRDefault="00114789" w:rsidP="00A642F9">
            <w:pPr>
              <w:spacing w:before="120" w:after="120"/>
              <w:rPr>
                <w:lang w:val="es-ES_tradnl" w:eastAsia="es-ES" w:bidi="es-ES"/>
              </w:rPr>
            </w:pPr>
            <w:r w:rsidRPr="00B92FD5">
              <w:rPr>
                <w:lang w:val="es-ES_tradnl" w:eastAsia="es-ES" w:bidi="es-ES"/>
              </w:rPr>
              <w:t xml:space="preserve">UE: la evaluación del riesgo realizada por Estados miembros de la UE identificó riesgo alto para las aves por aplicación del </w:t>
            </w:r>
            <w:proofErr w:type="spellStart"/>
            <w:r w:rsidRPr="00B92FD5">
              <w:rPr>
                <w:lang w:val="es-ES_tradnl" w:eastAsia="es-ES" w:bidi="es-ES"/>
              </w:rPr>
              <w:t>fentión</w:t>
            </w:r>
            <w:proofErr w:type="spellEnd"/>
            <w:r w:rsidRPr="00B92FD5">
              <w:rPr>
                <w:lang w:val="es-ES_tradnl" w:eastAsia="es-ES" w:bidi="es-ES"/>
              </w:rPr>
              <w:t xml:space="preserve"> como cebo en huertos frutales. Estas preocupaciones fueron confirmadas por el Comité científico de las plantas, que consideró que no era posible completar una evaluación integral por falta de datos y que incluso el uso previsto limitado como aplicación de cebos era seguro para el medio ambiente. La evaluación de información adicional siguió dando lugar a la conclusión de que el riesgo para las aves causado por los usos propuestos del </w:t>
            </w:r>
            <w:proofErr w:type="spellStart"/>
            <w:r w:rsidRPr="00B92FD5">
              <w:rPr>
                <w:lang w:val="es-ES_tradnl" w:eastAsia="es-ES" w:bidi="es-ES"/>
              </w:rPr>
              <w:t>fentión</w:t>
            </w:r>
            <w:proofErr w:type="spellEnd"/>
            <w:r w:rsidRPr="00B92FD5">
              <w:rPr>
                <w:lang w:val="es-ES_tradnl" w:eastAsia="es-ES" w:bidi="es-ES"/>
              </w:rPr>
              <w:t xml:space="preserve"> seguía siendo incierto. </w:t>
            </w:r>
            <w:r w:rsidRPr="00B92FD5">
              <w:rPr>
                <w:lang w:val="es-ES_tradnl" w:eastAsia="es-ES" w:bidi="es-ES"/>
              </w:rPr>
              <w:br/>
              <w:t xml:space="preserve">Como consecuencia, en la UE no se autorizarán los productos fitosanitarios que contengan </w:t>
            </w:r>
            <w:proofErr w:type="spellStart"/>
            <w:r w:rsidRPr="00B92FD5">
              <w:rPr>
                <w:lang w:val="es-ES_tradnl" w:eastAsia="es-ES" w:bidi="es-ES"/>
              </w:rPr>
              <w:t>fentión</w:t>
            </w:r>
            <w:proofErr w:type="spellEnd"/>
            <w:r w:rsidRPr="00B92FD5">
              <w:rPr>
                <w:lang w:val="es-ES_tradnl" w:eastAsia="es-ES" w:bidi="es-ES"/>
              </w:rPr>
              <w:t xml:space="preserve"> al 30 de junio de 2007, para asegurar un nivel elevado de protección del medio ambiente.</w:t>
            </w:r>
          </w:p>
          <w:p w14:paraId="7C9C6A51" w14:textId="77777777" w:rsidR="00114789" w:rsidRPr="00B92FD5" w:rsidRDefault="00114789" w:rsidP="00A642F9">
            <w:pPr>
              <w:spacing w:before="120" w:after="120"/>
              <w:rPr>
                <w:lang w:val="es-ES_tradnl" w:eastAsia="es-ES" w:bidi="es-ES"/>
              </w:rPr>
            </w:pPr>
            <w:r w:rsidRPr="00B92FD5">
              <w:rPr>
                <w:lang w:val="es-ES_tradnl" w:eastAsia="es-ES" w:bidi="es-ES"/>
              </w:rPr>
              <w:t xml:space="preserve">Australia: datos insuficientes provistos por la APVMA que permitan la evaluación del efecto de los usos de productos de control de plagas aviares sobre especies de aves no blanco. Por consiguiente, la APVMA no está convencida de que los productos con </w:t>
            </w:r>
            <w:proofErr w:type="spellStart"/>
            <w:r w:rsidRPr="00B92FD5">
              <w:rPr>
                <w:lang w:val="es-ES_tradnl" w:eastAsia="es-ES" w:bidi="es-ES"/>
              </w:rPr>
              <w:t>fentión</w:t>
            </w:r>
            <w:proofErr w:type="spellEnd"/>
            <w:r w:rsidRPr="00B92FD5">
              <w:rPr>
                <w:lang w:val="es-ES_tradnl" w:eastAsia="es-ES" w:bidi="es-ES"/>
              </w:rPr>
              <w:t xml:space="preserve"> para control de plagas aviares no nativas no vayan a tener un efecto no previsto que sea perjudicial para la fauna, la flora o el medio ambiente. La evaluación ambiental encontró que había información inadecuada para evaluar qué efectos, si hubiese alguno, existen en aves no blanco a causa de la exposición al producto o los efectos sobre aves depredadoras que podrían comer aves muertas o por morir. Para hacer frente a las preocupaciones con productos para control aviar, se requerirán más datos con el fin de encarar los posibles efectos en las especies aviares no blanco. Sin embargo, la evaluación ambiental ha encontrado que si se usaran etiquetas con advertencias adicionales para reducir el riesgo para el medio ambiente, esto evitaría las preocupaciones relativas al medio ambiente en el corto plazo. </w:t>
            </w:r>
          </w:p>
          <w:p w14:paraId="17A7B033" w14:textId="77777777" w:rsidR="00114789" w:rsidRPr="00B92FD5" w:rsidRDefault="00114789" w:rsidP="00A642F9">
            <w:pPr>
              <w:spacing w:before="120"/>
              <w:rPr>
                <w:snapToGrid w:val="0"/>
                <w:lang w:val="es-ES_tradnl" w:eastAsia="es-ES" w:bidi="es-ES"/>
              </w:rPr>
            </w:pPr>
          </w:p>
        </w:tc>
      </w:tr>
    </w:tbl>
    <w:p w14:paraId="261A2009" w14:textId="0749E8EC" w:rsidR="00ED5AB4" w:rsidRDefault="00ED5AB4" w:rsidP="00114789">
      <w:pPr>
        <w:rPr>
          <w:lang w:val="es-ES_tradnl" w:eastAsia="es-ES" w:bidi="es-ES"/>
        </w:rPr>
      </w:pPr>
    </w:p>
    <w:p w14:paraId="39796C18" w14:textId="77777777" w:rsidR="00ED5AB4" w:rsidRDefault="00ED5AB4">
      <w:pPr>
        <w:tabs>
          <w:tab w:val="clear" w:pos="1247"/>
          <w:tab w:val="clear" w:pos="1814"/>
          <w:tab w:val="clear" w:pos="2381"/>
          <w:tab w:val="clear" w:pos="2948"/>
          <w:tab w:val="clear" w:pos="3515"/>
        </w:tabs>
        <w:rPr>
          <w:lang w:val="es-ES_tradnl" w:eastAsia="es-ES" w:bidi="es-ES"/>
        </w:rPr>
      </w:pPr>
      <w:r>
        <w:rPr>
          <w:lang w:val="es-ES_tradnl" w:eastAsia="es-ES" w:bidi="es-ES"/>
        </w:rPr>
        <w:br w:type="page"/>
      </w:r>
    </w:p>
    <w:p w14:paraId="534BD2A8" w14:textId="02349DB4" w:rsidR="00114789" w:rsidRPr="00B92FD5" w:rsidRDefault="00114789" w:rsidP="003F3C32">
      <w:pPr>
        <w:keepNext/>
        <w:pBdr>
          <w:top w:val="single" w:sz="6" w:space="1" w:color="808080" w:shadow="1"/>
          <w:left w:val="single" w:sz="6" w:space="4" w:color="808080" w:shadow="1"/>
          <w:bottom w:val="single" w:sz="6" w:space="1" w:color="808080" w:shadow="1"/>
          <w:right w:val="single" w:sz="6" w:space="4" w:color="808080" w:shadow="1"/>
        </w:pBdr>
        <w:shd w:val="pct12" w:color="auto" w:fill="auto"/>
        <w:spacing w:before="40" w:after="60"/>
        <w:outlineLvl w:val="0"/>
        <w:rPr>
          <w:b/>
          <w:bCs/>
          <w:kern w:val="28"/>
          <w:sz w:val="28"/>
          <w:szCs w:val="28"/>
          <w:lang w:val="es-ES_tradnl" w:eastAsia="es-ES" w:bidi="es-ES"/>
        </w:rPr>
      </w:pPr>
      <w:r w:rsidRPr="003F3C32">
        <w:rPr>
          <w:b/>
          <w:bCs/>
          <w:kern w:val="28"/>
          <w:sz w:val="24"/>
          <w:szCs w:val="24"/>
        </w:rPr>
        <w:t>Anexo V</w:t>
      </w:r>
      <w:r w:rsidRPr="003F3C32">
        <w:rPr>
          <w:b/>
          <w:bCs/>
          <w:kern w:val="28"/>
          <w:sz w:val="24"/>
          <w:szCs w:val="24"/>
        </w:rPr>
        <w:tab/>
      </w:r>
      <w:proofErr w:type="spellStart"/>
      <w:r w:rsidRPr="003F3C32">
        <w:rPr>
          <w:b/>
          <w:bCs/>
          <w:kern w:val="28"/>
          <w:sz w:val="24"/>
          <w:szCs w:val="24"/>
        </w:rPr>
        <w:t>Referencias</w:t>
      </w:r>
      <w:proofErr w:type="spellEnd"/>
    </w:p>
    <w:p w14:paraId="1EDD6B9F" w14:textId="77777777" w:rsidR="00114789" w:rsidRPr="00B92FD5" w:rsidRDefault="00114789" w:rsidP="00114789">
      <w:pPr>
        <w:spacing w:after="120"/>
        <w:rPr>
          <w:lang w:val="es-ES_tradnl" w:eastAsia="es-ES" w:bidi="es-ES"/>
        </w:rPr>
      </w:pPr>
    </w:p>
    <w:p w14:paraId="2F767E84" w14:textId="77777777" w:rsidR="00114789" w:rsidRPr="00B92FD5" w:rsidRDefault="00114789" w:rsidP="00114789">
      <w:pPr>
        <w:snapToGrid w:val="0"/>
        <w:spacing w:after="120"/>
        <w:rPr>
          <w:lang w:val="es-ES_tradnl" w:eastAsia="es-ES" w:bidi="es-ES"/>
        </w:rPr>
      </w:pPr>
      <w:r w:rsidRPr="003F3C32">
        <w:rPr>
          <w:lang w:val="en-US" w:eastAsia="es-ES" w:bidi="es-ES"/>
        </w:rPr>
        <w:t xml:space="preserve">APVMA (2012a): Review of the mammalian toxicology and metabolism/toxicokinetics of fenthion. </w:t>
      </w:r>
      <w:r w:rsidRPr="00B92FD5">
        <w:rPr>
          <w:lang w:val="es-ES_tradnl" w:eastAsia="es-ES" w:bidi="es-ES"/>
        </w:rPr>
        <w:t xml:space="preserve">Disponible en: </w:t>
      </w:r>
      <w:hyperlink r:id="rId22">
        <w:r w:rsidRPr="00B92FD5">
          <w:rPr>
            <w:lang w:val="es-ES_tradnl" w:eastAsia="es-ES" w:bidi="es-ES"/>
          </w:rPr>
          <w:t>http://www.apvma.gov.au/products/review/docs/fenthion_part_2_toxicology_report.pdf</w:t>
        </w:r>
      </w:hyperlink>
    </w:p>
    <w:p w14:paraId="6FE059EE"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APVMA (2012b): </w:t>
      </w:r>
      <w:proofErr w:type="spellStart"/>
      <w:r w:rsidRPr="00B92FD5">
        <w:rPr>
          <w:lang w:val="es-ES_tradnl" w:eastAsia="es-ES" w:bidi="es-ES"/>
        </w:rPr>
        <w:t>Residues</w:t>
      </w:r>
      <w:proofErr w:type="spellEnd"/>
      <w:r w:rsidRPr="00B92FD5">
        <w:rPr>
          <w:lang w:val="es-ES_tradnl" w:eastAsia="es-ES" w:bidi="es-ES"/>
        </w:rPr>
        <w:t xml:space="preserve"> and </w:t>
      </w:r>
      <w:proofErr w:type="spellStart"/>
      <w:r w:rsidRPr="00B92FD5">
        <w:rPr>
          <w:lang w:val="es-ES_tradnl" w:eastAsia="es-ES" w:bidi="es-ES"/>
        </w:rPr>
        <w:t>Dietary</w:t>
      </w:r>
      <w:proofErr w:type="spellEnd"/>
      <w:r w:rsidRPr="00B92FD5">
        <w:rPr>
          <w:lang w:val="es-ES_tradnl" w:eastAsia="es-ES" w:bidi="es-ES"/>
        </w:rPr>
        <w:t xml:space="preserve"> </w:t>
      </w:r>
      <w:proofErr w:type="spellStart"/>
      <w:r w:rsidRPr="00B92FD5">
        <w:rPr>
          <w:lang w:val="es-ES_tradnl" w:eastAsia="es-ES" w:bidi="es-ES"/>
        </w:rPr>
        <w:t>Risk</w:t>
      </w:r>
      <w:proofErr w:type="spellEnd"/>
      <w:r w:rsidRPr="00B92FD5">
        <w:rPr>
          <w:lang w:val="es-ES_tradnl" w:eastAsia="es-ES" w:bidi="es-ES"/>
        </w:rPr>
        <w:t xml:space="preserve"> </w:t>
      </w:r>
      <w:proofErr w:type="spellStart"/>
      <w:r w:rsidRPr="00B92FD5">
        <w:rPr>
          <w:lang w:val="es-ES_tradnl" w:eastAsia="es-ES" w:bidi="es-ES"/>
        </w:rPr>
        <w:t>Assessment</w:t>
      </w:r>
      <w:proofErr w:type="spellEnd"/>
      <w:r w:rsidRPr="00B92FD5">
        <w:rPr>
          <w:lang w:val="es-ES_tradnl" w:eastAsia="es-ES" w:bidi="es-ES"/>
        </w:rPr>
        <w:t xml:space="preserve"> </w:t>
      </w:r>
      <w:proofErr w:type="spellStart"/>
      <w:r w:rsidRPr="00B92FD5">
        <w:rPr>
          <w:lang w:val="es-ES_tradnl" w:eastAsia="es-ES" w:bidi="es-ES"/>
        </w:rPr>
        <w:t>Report</w:t>
      </w:r>
      <w:proofErr w:type="spellEnd"/>
      <w:r w:rsidRPr="00B92FD5">
        <w:rPr>
          <w:lang w:val="es-ES_tradnl" w:eastAsia="es-ES" w:bidi="es-ES"/>
        </w:rPr>
        <w:t xml:space="preserve">, publicado en el sitio web de la Dirección General Australiana de Registro de Plaguicidas y Medicina Veterinaria (APVMA): </w:t>
      </w:r>
      <w:hyperlink r:id="rId23">
        <w:r w:rsidRPr="00B92FD5">
          <w:rPr>
            <w:lang w:val="es-ES_tradnl" w:eastAsia="es-ES" w:bidi="es-ES"/>
          </w:rPr>
          <w:t>http://www.apvma.gov.au/products/review/current/fenthion.php</w:t>
        </w:r>
      </w:hyperlink>
    </w:p>
    <w:p w14:paraId="0CE6E059"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PVMA (2005): </w:t>
      </w:r>
      <w:proofErr w:type="spellStart"/>
      <w:r w:rsidRPr="00B92FD5">
        <w:rPr>
          <w:lang w:val="es-ES_tradnl" w:eastAsia="es-ES" w:bidi="es-ES"/>
        </w:rPr>
        <w:t>Fenthion</w:t>
      </w:r>
      <w:proofErr w:type="spellEnd"/>
      <w:r w:rsidRPr="00B92FD5">
        <w:rPr>
          <w:lang w:val="es-ES_tradnl" w:eastAsia="es-ES" w:bidi="es-ES"/>
        </w:rPr>
        <w:t xml:space="preserve"> </w:t>
      </w:r>
      <w:proofErr w:type="spellStart"/>
      <w:r w:rsidRPr="00B92FD5">
        <w:rPr>
          <w:lang w:val="es-ES_tradnl" w:eastAsia="es-ES" w:bidi="es-ES"/>
        </w:rPr>
        <w:t>Review-Frequently</w:t>
      </w:r>
      <w:proofErr w:type="spellEnd"/>
      <w:r w:rsidRPr="00B92FD5">
        <w:rPr>
          <w:lang w:val="es-ES_tradnl" w:eastAsia="es-ES" w:bidi="es-ES"/>
        </w:rPr>
        <w:t xml:space="preserve"> </w:t>
      </w:r>
      <w:proofErr w:type="spellStart"/>
      <w:r w:rsidRPr="00B92FD5">
        <w:rPr>
          <w:lang w:val="es-ES_tradnl" w:eastAsia="es-ES" w:bidi="es-ES"/>
        </w:rPr>
        <w:t>asked</w:t>
      </w:r>
      <w:proofErr w:type="spellEnd"/>
      <w:r w:rsidRPr="00B92FD5">
        <w:rPr>
          <w:lang w:val="es-ES_tradnl" w:eastAsia="es-ES" w:bidi="es-ES"/>
        </w:rPr>
        <w:t xml:space="preserve"> </w:t>
      </w:r>
      <w:proofErr w:type="spellStart"/>
      <w:r w:rsidRPr="00B92FD5">
        <w:rPr>
          <w:lang w:val="es-ES_tradnl" w:eastAsia="es-ES" w:bidi="es-ES"/>
        </w:rPr>
        <w:t>questions</w:t>
      </w:r>
      <w:proofErr w:type="spellEnd"/>
      <w:r w:rsidRPr="00B92FD5">
        <w:rPr>
          <w:lang w:val="es-ES_tradnl" w:eastAsia="es-ES" w:bidi="es-ES"/>
        </w:rPr>
        <w:t>. Disponible en: http://www.apvma.gov.au/chemrev/fenthion_faq.shtml. Acceso 26 de abril 26 de 2009.</w:t>
      </w:r>
    </w:p>
    <w:p w14:paraId="10396491"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ASTDR (2005): </w:t>
      </w:r>
      <w:proofErr w:type="spellStart"/>
      <w:r w:rsidRPr="00B92FD5">
        <w:rPr>
          <w:lang w:val="es-ES_tradnl" w:eastAsia="es-ES" w:bidi="es-ES"/>
        </w:rPr>
        <w:t>Toxicological</w:t>
      </w:r>
      <w:proofErr w:type="spellEnd"/>
      <w:r w:rsidRPr="00B92FD5">
        <w:rPr>
          <w:lang w:val="es-ES_tradnl" w:eastAsia="es-ES" w:bidi="es-ES"/>
        </w:rPr>
        <w:t xml:space="preserve"> </w:t>
      </w:r>
      <w:proofErr w:type="spellStart"/>
      <w:r w:rsidRPr="00B92FD5">
        <w:rPr>
          <w:lang w:val="es-ES_tradnl" w:eastAsia="es-ES" w:bidi="es-ES"/>
        </w:rPr>
        <w:t>Information</w:t>
      </w:r>
      <w:proofErr w:type="spellEnd"/>
      <w:r w:rsidRPr="00B92FD5">
        <w:rPr>
          <w:lang w:val="es-ES_tradnl" w:eastAsia="es-ES" w:bidi="es-ES"/>
        </w:rPr>
        <w:t xml:space="preserve"> </w:t>
      </w:r>
      <w:proofErr w:type="spellStart"/>
      <w:r w:rsidRPr="00B92FD5">
        <w:rPr>
          <w:lang w:val="es-ES_tradnl" w:eastAsia="es-ES" w:bidi="es-ES"/>
        </w:rPr>
        <w:t>about</w:t>
      </w:r>
      <w:proofErr w:type="spellEnd"/>
      <w:r w:rsidRPr="00B92FD5">
        <w:rPr>
          <w:lang w:val="es-ES_tradnl" w:eastAsia="es-ES" w:bidi="es-ES"/>
        </w:rPr>
        <w:t xml:space="preserve"> </w:t>
      </w:r>
      <w:proofErr w:type="spellStart"/>
      <w:r w:rsidRPr="00B92FD5">
        <w:rPr>
          <w:lang w:val="es-ES_tradnl" w:eastAsia="es-ES" w:bidi="es-ES"/>
        </w:rPr>
        <w:t>Insecticides</w:t>
      </w:r>
      <w:proofErr w:type="spellEnd"/>
      <w:r w:rsidRPr="00B92FD5">
        <w:rPr>
          <w:lang w:val="es-ES_tradnl" w:eastAsia="es-ES" w:bidi="es-ES"/>
        </w:rPr>
        <w:t xml:space="preserve"> Used </w:t>
      </w:r>
      <w:proofErr w:type="spellStart"/>
      <w:r w:rsidRPr="00B92FD5">
        <w:rPr>
          <w:lang w:val="es-ES_tradnl" w:eastAsia="es-ES" w:bidi="es-ES"/>
        </w:rPr>
        <w:t>for</w:t>
      </w:r>
      <w:proofErr w:type="spellEnd"/>
      <w:r w:rsidRPr="00B92FD5">
        <w:rPr>
          <w:lang w:val="es-ES_tradnl" w:eastAsia="es-ES" w:bidi="es-ES"/>
        </w:rPr>
        <w:t xml:space="preserve"> </w:t>
      </w:r>
      <w:proofErr w:type="spellStart"/>
      <w:r w:rsidRPr="00B92FD5">
        <w:rPr>
          <w:lang w:val="es-ES_tradnl" w:eastAsia="es-ES" w:bidi="es-ES"/>
        </w:rPr>
        <w:t>Eradicating</w:t>
      </w:r>
      <w:proofErr w:type="spellEnd"/>
      <w:r w:rsidRPr="00B92FD5">
        <w:rPr>
          <w:lang w:val="es-ES_tradnl" w:eastAsia="es-ES" w:bidi="es-ES"/>
        </w:rPr>
        <w:t xml:space="preserve"> </w:t>
      </w:r>
      <w:proofErr w:type="spellStart"/>
      <w:r w:rsidRPr="00B92FD5">
        <w:rPr>
          <w:lang w:val="es-ES_tradnl" w:eastAsia="es-ES" w:bidi="es-ES"/>
        </w:rPr>
        <w:t>Mosquitoes</w:t>
      </w:r>
      <w:proofErr w:type="spellEnd"/>
      <w:r w:rsidRPr="00B92FD5">
        <w:rPr>
          <w:lang w:val="es-ES_tradnl" w:eastAsia="es-ES" w:bidi="es-ES"/>
        </w:rPr>
        <w:t xml:space="preserve"> (West </w:t>
      </w:r>
      <w:proofErr w:type="spellStart"/>
      <w:r w:rsidRPr="00B92FD5">
        <w:rPr>
          <w:lang w:val="es-ES_tradnl" w:eastAsia="es-ES" w:bidi="es-ES"/>
        </w:rPr>
        <w:t>Nile</w:t>
      </w:r>
      <w:proofErr w:type="spellEnd"/>
      <w:r w:rsidRPr="00B92FD5">
        <w:rPr>
          <w:lang w:val="es-ES_tradnl" w:eastAsia="es-ES" w:bidi="es-ES"/>
        </w:rPr>
        <w:t xml:space="preserve"> Virus Control); Department of </w:t>
      </w:r>
      <w:proofErr w:type="spellStart"/>
      <w:r w:rsidRPr="00B92FD5">
        <w:rPr>
          <w:lang w:val="es-ES_tradnl" w:eastAsia="es-ES" w:bidi="es-ES"/>
        </w:rPr>
        <w:t>Health</w:t>
      </w:r>
      <w:proofErr w:type="spellEnd"/>
      <w:r w:rsidRPr="00B92FD5">
        <w:rPr>
          <w:lang w:val="es-ES_tradnl" w:eastAsia="es-ES" w:bidi="es-ES"/>
        </w:rPr>
        <w:t xml:space="preserve"> and Human </w:t>
      </w:r>
      <w:proofErr w:type="spellStart"/>
      <w:r w:rsidRPr="00B92FD5">
        <w:rPr>
          <w:lang w:val="es-ES_tradnl" w:eastAsia="es-ES" w:bidi="es-ES"/>
        </w:rPr>
        <w:t>Services</w:t>
      </w:r>
      <w:proofErr w:type="spellEnd"/>
      <w:r w:rsidRPr="00B92FD5">
        <w:rPr>
          <w:lang w:val="es-ES_tradnl" w:eastAsia="es-ES" w:bidi="es-ES"/>
        </w:rPr>
        <w:t xml:space="preserve">: Agency </w:t>
      </w:r>
      <w:proofErr w:type="spellStart"/>
      <w:r w:rsidRPr="00B92FD5">
        <w:rPr>
          <w:lang w:val="es-ES_tradnl" w:eastAsia="es-ES" w:bidi="es-ES"/>
        </w:rPr>
        <w:t>for</w:t>
      </w:r>
      <w:proofErr w:type="spellEnd"/>
      <w:r w:rsidRPr="00B92FD5">
        <w:rPr>
          <w:lang w:val="es-ES_tradnl" w:eastAsia="es-ES" w:bidi="es-ES"/>
        </w:rPr>
        <w:t xml:space="preserve"> </w:t>
      </w:r>
      <w:proofErr w:type="spellStart"/>
      <w:r w:rsidRPr="00B92FD5">
        <w:rPr>
          <w:lang w:val="es-ES_tradnl" w:eastAsia="es-ES" w:bidi="es-ES"/>
        </w:rPr>
        <w:t>Toxic</w:t>
      </w:r>
      <w:proofErr w:type="spellEnd"/>
      <w:r w:rsidRPr="00B92FD5">
        <w:rPr>
          <w:lang w:val="es-ES_tradnl" w:eastAsia="es-ES" w:bidi="es-ES"/>
        </w:rPr>
        <w:t xml:space="preserve"> </w:t>
      </w:r>
      <w:proofErr w:type="spellStart"/>
      <w:r w:rsidRPr="00B92FD5">
        <w:rPr>
          <w:lang w:val="es-ES_tradnl" w:eastAsia="es-ES" w:bidi="es-ES"/>
        </w:rPr>
        <w:t>Substances</w:t>
      </w:r>
      <w:proofErr w:type="spellEnd"/>
      <w:r w:rsidRPr="00B92FD5">
        <w:rPr>
          <w:lang w:val="es-ES_tradnl" w:eastAsia="es-ES" w:bidi="es-ES"/>
        </w:rPr>
        <w:t xml:space="preserve"> and </w:t>
      </w:r>
      <w:proofErr w:type="spellStart"/>
      <w:r w:rsidRPr="00B92FD5">
        <w:rPr>
          <w:lang w:val="es-ES_tradnl" w:eastAsia="es-ES" w:bidi="es-ES"/>
        </w:rPr>
        <w:t>Disease</w:t>
      </w:r>
      <w:proofErr w:type="spellEnd"/>
      <w:r w:rsidRPr="00B92FD5">
        <w:rPr>
          <w:lang w:val="es-ES_tradnl" w:eastAsia="es-ES" w:bidi="es-ES"/>
        </w:rPr>
        <w:t xml:space="preserve"> </w:t>
      </w:r>
      <w:proofErr w:type="spellStart"/>
      <w:r w:rsidRPr="00B92FD5">
        <w:rPr>
          <w:lang w:val="es-ES_tradnl" w:eastAsia="es-ES" w:bidi="es-ES"/>
        </w:rPr>
        <w:t>Registry</w:t>
      </w:r>
      <w:proofErr w:type="spellEnd"/>
      <w:r w:rsidRPr="00B92FD5">
        <w:rPr>
          <w:lang w:val="es-ES_tradnl" w:eastAsia="es-ES" w:bidi="es-ES"/>
        </w:rPr>
        <w:t xml:space="preserve">. Disponible en: </w:t>
      </w:r>
      <w:hyperlink r:id="rId24">
        <w:r w:rsidRPr="00B92FD5">
          <w:rPr>
            <w:lang w:val="es-ES_tradnl" w:eastAsia="es-ES" w:bidi="es-ES"/>
          </w:rPr>
          <w:t>http://www.atsdr.cdc.gov/consultations/west_nile_virus/fenthion.html</w:t>
        </w:r>
      </w:hyperlink>
      <w:r w:rsidRPr="00B92FD5">
        <w:rPr>
          <w:lang w:val="es-ES_tradnl" w:eastAsia="es-ES" w:bidi="es-ES"/>
        </w:rPr>
        <w:t>. Acceso 25 de abril 2009.</w:t>
      </w:r>
    </w:p>
    <w:p w14:paraId="04D3C4EE"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EU (2002): </w:t>
      </w:r>
      <w:proofErr w:type="spellStart"/>
      <w:r w:rsidRPr="00B92FD5">
        <w:rPr>
          <w:lang w:val="es-ES_tradnl" w:eastAsia="es-ES" w:bidi="es-ES"/>
        </w:rPr>
        <w:t>Review</w:t>
      </w:r>
      <w:proofErr w:type="spellEnd"/>
      <w:r w:rsidRPr="00B92FD5">
        <w:rPr>
          <w:lang w:val="es-ES_tradnl" w:eastAsia="es-ES" w:bidi="es-ES"/>
        </w:rPr>
        <w:t xml:space="preserve"> </w:t>
      </w:r>
      <w:proofErr w:type="spellStart"/>
      <w:r w:rsidRPr="00B92FD5">
        <w:rPr>
          <w:lang w:val="es-ES_tradnl" w:eastAsia="es-ES" w:bidi="es-ES"/>
        </w:rPr>
        <w:t>report</w:t>
      </w:r>
      <w:proofErr w:type="spellEnd"/>
      <w:r w:rsidRPr="00B92FD5">
        <w:rPr>
          <w:lang w:val="es-ES_tradnl" w:eastAsia="es-ES" w:bidi="es-ES"/>
        </w:rPr>
        <w:t xml:space="preserve"> </w:t>
      </w:r>
      <w:proofErr w:type="spellStart"/>
      <w:r w:rsidRPr="00B92FD5">
        <w:rPr>
          <w:lang w:val="es-ES_tradnl" w:eastAsia="es-ES" w:bidi="es-ES"/>
        </w:rPr>
        <w:t>for</w:t>
      </w:r>
      <w:proofErr w:type="spellEnd"/>
      <w:r w:rsidRPr="00B92FD5">
        <w:rPr>
          <w:lang w:val="es-ES_tradnl" w:eastAsia="es-ES" w:bidi="es-ES"/>
        </w:rPr>
        <w:t xml:space="preserve"> the active </w:t>
      </w:r>
      <w:proofErr w:type="spellStart"/>
      <w:r w:rsidRPr="00B92FD5">
        <w:rPr>
          <w:lang w:val="es-ES_tradnl" w:eastAsia="es-ES" w:bidi="es-ES"/>
        </w:rPr>
        <w:t>substance</w:t>
      </w:r>
      <w:proofErr w:type="spellEnd"/>
      <w:r w:rsidRPr="00B92FD5">
        <w:rPr>
          <w:lang w:val="es-ES_tradnl" w:eastAsia="es-ES" w:bidi="es-ES"/>
        </w:rPr>
        <w:t xml:space="preserve"> </w:t>
      </w:r>
      <w:proofErr w:type="spellStart"/>
      <w:r w:rsidRPr="00B92FD5">
        <w:rPr>
          <w:lang w:val="es-ES_tradnl" w:eastAsia="es-ES" w:bidi="es-ES"/>
        </w:rPr>
        <w:t>Fenthion</w:t>
      </w:r>
      <w:proofErr w:type="spellEnd"/>
      <w:r w:rsidRPr="00B92FD5">
        <w:rPr>
          <w:lang w:val="es-ES_tradnl" w:eastAsia="es-ES" w:bidi="es-ES"/>
        </w:rPr>
        <w:t xml:space="preserve">. </w:t>
      </w:r>
      <w:proofErr w:type="spellStart"/>
      <w:r w:rsidRPr="00B92FD5">
        <w:rPr>
          <w:lang w:val="es-ES_tradnl" w:eastAsia="es-ES" w:bidi="es-ES"/>
        </w:rPr>
        <w:t>Document</w:t>
      </w:r>
      <w:proofErr w:type="spellEnd"/>
      <w:r w:rsidRPr="00B92FD5">
        <w:rPr>
          <w:lang w:val="es-ES_tradnl" w:eastAsia="es-ES" w:bidi="es-ES"/>
        </w:rPr>
        <w:t xml:space="preserve"> SANCO/485/00 – </w:t>
      </w:r>
      <w:proofErr w:type="spellStart"/>
      <w:r w:rsidRPr="00B92FD5">
        <w:rPr>
          <w:lang w:val="es-ES_tradnl" w:eastAsia="es-ES" w:bidi="es-ES"/>
        </w:rPr>
        <w:t>rev.</w:t>
      </w:r>
      <w:proofErr w:type="spellEnd"/>
      <w:r w:rsidRPr="00B92FD5">
        <w:rPr>
          <w:lang w:val="es-ES_tradnl" w:eastAsia="es-ES" w:bidi="es-ES"/>
        </w:rPr>
        <w:t xml:space="preserve"> 12 (</w:t>
      </w:r>
      <w:proofErr w:type="spellStart"/>
      <w:r w:rsidRPr="00B92FD5">
        <w:rPr>
          <w:lang w:val="es-ES_tradnl" w:eastAsia="es-ES" w:bidi="es-ES"/>
        </w:rPr>
        <w:t>this</w:t>
      </w:r>
      <w:proofErr w:type="spellEnd"/>
      <w:r w:rsidRPr="00B92FD5">
        <w:rPr>
          <w:lang w:val="es-ES_tradnl" w:eastAsia="es-ES" w:bidi="es-ES"/>
        </w:rPr>
        <w:t xml:space="preserve"> </w:t>
      </w:r>
      <w:proofErr w:type="spellStart"/>
      <w:r w:rsidRPr="00B92FD5">
        <w:rPr>
          <w:lang w:val="es-ES_tradnl" w:eastAsia="es-ES" w:bidi="es-ES"/>
        </w:rPr>
        <w:t>version</w:t>
      </w:r>
      <w:proofErr w:type="spellEnd"/>
      <w:r w:rsidRPr="00B92FD5">
        <w:rPr>
          <w:lang w:val="es-ES_tradnl" w:eastAsia="es-ES" w:bidi="es-ES"/>
        </w:rPr>
        <w:t xml:space="preserve"> </w:t>
      </w:r>
      <w:proofErr w:type="spellStart"/>
      <w:r w:rsidRPr="00B92FD5">
        <w:rPr>
          <w:lang w:val="es-ES_tradnl" w:eastAsia="es-ES" w:bidi="es-ES"/>
        </w:rPr>
        <w:t>includes</w:t>
      </w:r>
      <w:proofErr w:type="spellEnd"/>
      <w:r w:rsidRPr="00B92FD5">
        <w:rPr>
          <w:lang w:val="es-ES_tradnl" w:eastAsia="es-ES" w:bidi="es-ES"/>
        </w:rPr>
        <w:t xml:space="preserve"> the “</w:t>
      </w:r>
      <w:proofErr w:type="spellStart"/>
      <w:r w:rsidRPr="00B92FD5">
        <w:rPr>
          <w:lang w:val="es-ES_tradnl" w:eastAsia="es-ES" w:bidi="es-ES"/>
        </w:rPr>
        <w:t>List</w:t>
      </w:r>
      <w:proofErr w:type="spellEnd"/>
      <w:r w:rsidRPr="00B92FD5">
        <w:rPr>
          <w:lang w:val="es-ES_tradnl" w:eastAsia="es-ES" w:bidi="es-ES"/>
        </w:rPr>
        <w:t xml:space="preserve"> of </w:t>
      </w:r>
      <w:proofErr w:type="spellStart"/>
      <w:r w:rsidRPr="00B92FD5">
        <w:rPr>
          <w:lang w:val="es-ES_tradnl" w:eastAsia="es-ES" w:bidi="es-ES"/>
        </w:rPr>
        <w:t>Endpoints</w:t>
      </w:r>
      <w:proofErr w:type="spellEnd"/>
      <w:r w:rsidRPr="00B92FD5">
        <w:rPr>
          <w:lang w:val="es-ES_tradnl" w:eastAsia="es-ES" w:bidi="es-ES"/>
        </w:rPr>
        <w:t>”)</w:t>
      </w:r>
    </w:p>
    <w:p w14:paraId="4B367F0E" w14:textId="77777777" w:rsidR="00114789" w:rsidRPr="00B92FD5" w:rsidRDefault="00114789" w:rsidP="00114789">
      <w:pPr>
        <w:autoSpaceDE w:val="0"/>
        <w:autoSpaceDN w:val="0"/>
        <w:adjustRightInd w:val="0"/>
        <w:snapToGrid w:val="0"/>
        <w:spacing w:after="120"/>
        <w:rPr>
          <w:lang w:val="es-ES_tradnl" w:eastAsia="es-ES" w:bidi="es-ES"/>
        </w:rPr>
      </w:pPr>
      <w:r w:rsidRPr="00B92FD5">
        <w:rPr>
          <w:lang w:val="es-ES_tradnl" w:eastAsia="es-ES" w:bidi="es-ES"/>
        </w:rPr>
        <w:t xml:space="preserve">EU (2003): </w:t>
      </w:r>
      <w:proofErr w:type="spellStart"/>
      <w:r w:rsidRPr="00B92FD5">
        <w:rPr>
          <w:lang w:val="es-ES_tradnl" w:eastAsia="es-ES" w:bidi="es-ES"/>
        </w:rPr>
        <w:t>Review</w:t>
      </w:r>
      <w:proofErr w:type="spellEnd"/>
      <w:r w:rsidRPr="00B92FD5">
        <w:rPr>
          <w:lang w:val="es-ES_tradnl" w:eastAsia="es-ES" w:bidi="es-ES"/>
        </w:rPr>
        <w:t xml:space="preserve"> </w:t>
      </w:r>
      <w:proofErr w:type="spellStart"/>
      <w:r w:rsidRPr="00B92FD5">
        <w:rPr>
          <w:lang w:val="es-ES_tradnl" w:eastAsia="es-ES" w:bidi="es-ES"/>
        </w:rPr>
        <w:t>report</w:t>
      </w:r>
      <w:proofErr w:type="spellEnd"/>
      <w:r w:rsidRPr="00B92FD5">
        <w:rPr>
          <w:lang w:val="es-ES_tradnl" w:eastAsia="es-ES" w:bidi="es-ES"/>
        </w:rPr>
        <w:t xml:space="preserve"> </w:t>
      </w:r>
      <w:proofErr w:type="spellStart"/>
      <w:r w:rsidRPr="00B92FD5">
        <w:rPr>
          <w:lang w:val="es-ES_tradnl" w:eastAsia="es-ES" w:bidi="es-ES"/>
        </w:rPr>
        <w:t>for</w:t>
      </w:r>
      <w:proofErr w:type="spellEnd"/>
      <w:r w:rsidRPr="00B92FD5">
        <w:rPr>
          <w:lang w:val="es-ES_tradnl" w:eastAsia="es-ES" w:bidi="es-ES"/>
        </w:rPr>
        <w:t xml:space="preserve"> the active </w:t>
      </w:r>
      <w:proofErr w:type="spellStart"/>
      <w:r w:rsidRPr="00B92FD5">
        <w:rPr>
          <w:lang w:val="es-ES_tradnl" w:eastAsia="es-ES" w:bidi="es-ES"/>
        </w:rPr>
        <w:t>substance</w:t>
      </w:r>
      <w:proofErr w:type="spellEnd"/>
      <w:r w:rsidRPr="00B92FD5">
        <w:rPr>
          <w:lang w:val="es-ES_tradnl" w:eastAsia="es-ES" w:bidi="es-ES"/>
        </w:rPr>
        <w:t xml:space="preserve"> </w:t>
      </w:r>
      <w:proofErr w:type="spellStart"/>
      <w:r w:rsidRPr="00B92FD5">
        <w:rPr>
          <w:lang w:val="es-ES_tradnl" w:eastAsia="es-ES" w:bidi="es-ES"/>
        </w:rPr>
        <w:t>Fenthion</w:t>
      </w:r>
      <w:proofErr w:type="spellEnd"/>
      <w:r w:rsidRPr="00B92FD5">
        <w:rPr>
          <w:lang w:val="es-ES_tradnl" w:eastAsia="es-ES" w:bidi="es-ES"/>
        </w:rPr>
        <w:t xml:space="preserve">. </w:t>
      </w:r>
      <w:proofErr w:type="spellStart"/>
      <w:r w:rsidRPr="00B92FD5">
        <w:rPr>
          <w:lang w:val="es-ES_tradnl" w:eastAsia="es-ES" w:bidi="es-ES"/>
        </w:rPr>
        <w:t>Document</w:t>
      </w:r>
      <w:proofErr w:type="spellEnd"/>
      <w:r w:rsidRPr="00B92FD5">
        <w:rPr>
          <w:lang w:val="es-ES_tradnl" w:eastAsia="es-ES" w:bidi="es-ES"/>
        </w:rPr>
        <w:t xml:space="preserve"> SANCO/485/00 - final. Disponible en: </w:t>
      </w:r>
      <w:hyperlink r:id="rId25">
        <w:r w:rsidRPr="00B92FD5">
          <w:rPr>
            <w:lang w:val="es-ES_tradnl" w:eastAsia="es-ES" w:bidi="es-ES"/>
          </w:rPr>
          <w:t>http://ec.europa.eu/sanco_pesticides/public/?event=activesubstance.ViewReview&amp;id=174</w:t>
        </w:r>
      </w:hyperlink>
      <w:r w:rsidRPr="00B92FD5">
        <w:rPr>
          <w:lang w:val="es-ES_tradnl" w:eastAsia="es-ES" w:bidi="es-ES"/>
        </w:rPr>
        <w:t>.</w:t>
      </w:r>
    </w:p>
    <w:p w14:paraId="04B51674" w14:textId="77777777" w:rsidR="00114789" w:rsidRPr="00B92FD5" w:rsidRDefault="00114789" w:rsidP="00114789">
      <w:pPr>
        <w:autoSpaceDE w:val="0"/>
        <w:autoSpaceDN w:val="0"/>
        <w:adjustRightInd w:val="0"/>
        <w:snapToGrid w:val="0"/>
        <w:spacing w:after="120"/>
        <w:rPr>
          <w:lang w:val="es-ES_tradnl" w:eastAsia="es-ES" w:bidi="es-ES"/>
        </w:rPr>
      </w:pPr>
      <w:r w:rsidRPr="00B92FD5">
        <w:rPr>
          <w:lang w:val="es-ES_tradnl" w:eastAsia="es-ES" w:bidi="es-ES"/>
        </w:rPr>
        <w:t xml:space="preserve">EU (2005): </w:t>
      </w:r>
      <w:proofErr w:type="spellStart"/>
      <w:r w:rsidRPr="00B92FD5">
        <w:rPr>
          <w:lang w:val="es-ES_tradnl" w:eastAsia="es-ES" w:bidi="es-ES"/>
        </w:rPr>
        <w:t>Form</w:t>
      </w:r>
      <w:proofErr w:type="spellEnd"/>
      <w:r w:rsidRPr="00B92FD5">
        <w:rPr>
          <w:lang w:val="es-ES_tradnl" w:eastAsia="es-ES" w:bidi="es-ES"/>
        </w:rPr>
        <w:t xml:space="preserve"> </w:t>
      </w:r>
      <w:proofErr w:type="spellStart"/>
      <w:r w:rsidRPr="00B92FD5">
        <w:rPr>
          <w:lang w:val="es-ES_tradnl" w:eastAsia="es-ES" w:bidi="es-ES"/>
        </w:rPr>
        <w:t>for</w:t>
      </w:r>
      <w:proofErr w:type="spellEnd"/>
      <w:r w:rsidRPr="00B92FD5">
        <w:rPr>
          <w:lang w:val="es-ES_tradnl" w:eastAsia="es-ES" w:bidi="es-ES"/>
        </w:rPr>
        <w:t xml:space="preserve"> </w:t>
      </w:r>
      <w:proofErr w:type="spellStart"/>
      <w:r w:rsidRPr="00B92FD5">
        <w:rPr>
          <w:lang w:val="es-ES_tradnl" w:eastAsia="es-ES" w:bidi="es-ES"/>
        </w:rPr>
        <w:t>notification</w:t>
      </w:r>
      <w:proofErr w:type="spellEnd"/>
      <w:r w:rsidRPr="00B92FD5">
        <w:rPr>
          <w:lang w:val="es-ES_tradnl" w:eastAsia="es-ES" w:bidi="es-ES"/>
        </w:rPr>
        <w:t xml:space="preserve"> of final </w:t>
      </w:r>
      <w:proofErr w:type="spellStart"/>
      <w:r w:rsidRPr="00B92FD5">
        <w:rPr>
          <w:lang w:val="es-ES_tradnl" w:eastAsia="es-ES" w:bidi="es-ES"/>
        </w:rPr>
        <w:t>regulatory</w:t>
      </w:r>
      <w:proofErr w:type="spellEnd"/>
      <w:r w:rsidRPr="00B92FD5">
        <w:rPr>
          <w:lang w:val="es-ES_tradnl" w:eastAsia="es-ES" w:bidi="es-ES"/>
        </w:rPr>
        <w:t xml:space="preserve"> </w:t>
      </w:r>
      <w:proofErr w:type="spellStart"/>
      <w:r w:rsidRPr="00B92FD5">
        <w:rPr>
          <w:lang w:val="es-ES_tradnl" w:eastAsia="es-ES" w:bidi="es-ES"/>
        </w:rPr>
        <w:t>action</w:t>
      </w:r>
      <w:proofErr w:type="spellEnd"/>
      <w:r w:rsidRPr="00B92FD5">
        <w:rPr>
          <w:lang w:val="es-ES_tradnl" w:eastAsia="es-ES" w:bidi="es-ES"/>
        </w:rPr>
        <w:t xml:space="preserve"> </w:t>
      </w:r>
      <w:proofErr w:type="spellStart"/>
      <w:r w:rsidRPr="00B92FD5">
        <w:rPr>
          <w:lang w:val="es-ES_tradnl" w:eastAsia="es-ES" w:bidi="es-ES"/>
        </w:rPr>
        <w:t>to</w:t>
      </w:r>
      <w:proofErr w:type="spellEnd"/>
      <w:r w:rsidRPr="00B92FD5">
        <w:rPr>
          <w:lang w:val="es-ES_tradnl" w:eastAsia="es-ES" w:bidi="es-ES"/>
        </w:rPr>
        <w:t xml:space="preserve"> ban </w:t>
      </w:r>
      <w:proofErr w:type="spellStart"/>
      <w:r w:rsidRPr="00B92FD5">
        <w:rPr>
          <w:lang w:val="es-ES_tradnl" w:eastAsia="es-ES" w:bidi="es-ES"/>
        </w:rPr>
        <w:t>or</w:t>
      </w:r>
      <w:proofErr w:type="spellEnd"/>
      <w:r w:rsidRPr="00B92FD5">
        <w:rPr>
          <w:lang w:val="es-ES_tradnl" w:eastAsia="es-ES" w:bidi="es-ES"/>
        </w:rPr>
        <w:t xml:space="preserve"> </w:t>
      </w:r>
      <w:proofErr w:type="spellStart"/>
      <w:r w:rsidRPr="00B92FD5">
        <w:rPr>
          <w:lang w:val="es-ES_tradnl" w:eastAsia="es-ES" w:bidi="es-ES"/>
        </w:rPr>
        <w:t>severely</w:t>
      </w:r>
      <w:proofErr w:type="spellEnd"/>
      <w:r w:rsidRPr="00B92FD5">
        <w:rPr>
          <w:lang w:val="es-ES_tradnl" w:eastAsia="es-ES" w:bidi="es-ES"/>
        </w:rPr>
        <w:t xml:space="preserve"> </w:t>
      </w:r>
      <w:proofErr w:type="spellStart"/>
      <w:r w:rsidRPr="00B92FD5">
        <w:rPr>
          <w:lang w:val="es-ES_tradnl" w:eastAsia="es-ES" w:bidi="es-ES"/>
        </w:rPr>
        <w:t>restrict</w:t>
      </w:r>
      <w:proofErr w:type="spellEnd"/>
      <w:r w:rsidRPr="00B92FD5">
        <w:rPr>
          <w:lang w:val="es-ES_tradnl" w:eastAsia="es-ES" w:bidi="es-ES"/>
        </w:rPr>
        <w:t xml:space="preserve"> a </w:t>
      </w:r>
      <w:proofErr w:type="spellStart"/>
      <w:r w:rsidRPr="00B92FD5">
        <w:rPr>
          <w:lang w:val="es-ES_tradnl" w:eastAsia="es-ES" w:bidi="es-ES"/>
        </w:rPr>
        <w:t>chemical</w:t>
      </w:r>
      <w:proofErr w:type="spellEnd"/>
      <w:r w:rsidRPr="00B92FD5">
        <w:rPr>
          <w:lang w:val="es-ES_tradnl" w:eastAsia="es-ES" w:bidi="es-ES"/>
        </w:rPr>
        <w:t xml:space="preserve"> (22/08/2005)</w:t>
      </w:r>
    </w:p>
    <w:p w14:paraId="322B15DE" w14:textId="77777777" w:rsidR="00114789" w:rsidRPr="00B92FD5" w:rsidRDefault="00114789" w:rsidP="00114789">
      <w:pPr>
        <w:snapToGrid w:val="0"/>
        <w:spacing w:after="120"/>
        <w:rPr>
          <w:lang w:val="es-ES_tradnl" w:eastAsia="es-ES" w:bidi="es-ES"/>
        </w:rPr>
      </w:pPr>
      <w:proofErr w:type="spellStart"/>
      <w:r w:rsidRPr="00B92FD5">
        <w:rPr>
          <w:lang w:val="es-ES_tradnl" w:eastAsia="es-ES" w:bidi="es-ES"/>
        </w:rPr>
        <w:t>Extension</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Network (1993): </w:t>
      </w:r>
      <w:proofErr w:type="spellStart"/>
      <w:r w:rsidRPr="00B92FD5">
        <w:rPr>
          <w:lang w:val="es-ES_tradnl" w:eastAsia="es-ES" w:bidi="es-ES"/>
        </w:rPr>
        <w:t>Pesticide</w:t>
      </w:r>
      <w:proofErr w:type="spellEnd"/>
      <w:r w:rsidRPr="00B92FD5">
        <w:rPr>
          <w:lang w:val="es-ES_tradnl" w:eastAsia="es-ES" w:bidi="es-ES"/>
        </w:rPr>
        <w:t xml:space="preserve"> </w:t>
      </w:r>
      <w:proofErr w:type="spellStart"/>
      <w:r w:rsidRPr="00B92FD5">
        <w:rPr>
          <w:lang w:val="es-ES_tradnl" w:eastAsia="es-ES" w:bidi="es-ES"/>
        </w:rPr>
        <w:t>Information</w:t>
      </w:r>
      <w:proofErr w:type="spellEnd"/>
      <w:r w:rsidRPr="00B92FD5">
        <w:rPr>
          <w:lang w:val="es-ES_tradnl" w:eastAsia="es-ES" w:bidi="es-ES"/>
        </w:rPr>
        <w:t xml:space="preserve"> </w:t>
      </w:r>
      <w:proofErr w:type="spellStart"/>
      <w:r w:rsidRPr="00B92FD5">
        <w:rPr>
          <w:lang w:val="es-ES_tradnl" w:eastAsia="es-ES" w:bidi="es-ES"/>
        </w:rPr>
        <w:t>Profile</w:t>
      </w:r>
      <w:proofErr w:type="spellEnd"/>
      <w:r w:rsidRPr="00B92FD5">
        <w:rPr>
          <w:lang w:val="es-ES_tradnl" w:eastAsia="es-ES" w:bidi="es-ES"/>
        </w:rPr>
        <w:t xml:space="preserve"> </w:t>
      </w:r>
      <w:proofErr w:type="spellStart"/>
      <w:r w:rsidRPr="00B92FD5">
        <w:rPr>
          <w:lang w:val="es-ES_tradnl" w:eastAsia="es-ES" w:bidi="es-ES"/>
        </w:rPr>
        <w:t>Fenthion</w:t>
      </w:r>
      <w:proofErr w:type="spellEnd"/>
      <w:r w:rsidRPr="00B92FD5">
        <w:rPr>
          <w:lang w:val="es-ES_tradnl" w:eastAsia="es-ES" w:bidi="es-ES"/>
        </w:rPr>
        <w:t>. Disponible en: http://extoxnet.orst.edu/pips/fenthion.htm</w:t>
      </w:r>
    </w:p>
    <w:p w14:paraId="39F2A231"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FAO (2004): FAO </w:t>
      </w:r>
      <w:proofErr w:type="spellStart"/>
      <w:r w:rsidRPr="00B92FD5">
        <w:rPr>
          <w:lang w:val="es-ES_tradnl" w:eastAsia="es-ES" w:bidi="es-ES"/>
        </w:rPr>
        <w:t>Specifications</w:t>
      </w:r>
      <w:proofErr w:type="spellEnd"/>
      <w:r w:rsidRPr="00B92FD5">
        <w:rPr>
          <w:lang w:val="es-ES_tradnl" w:eastAsia="es-ES" w:bidi="es-ES"/>
        </w:rPr>
        <w:t xml:space="preserve"> and </w:t>
      </w:r>
      <w:proofErr w:type="spellStart"/>
      <w:r w:rsidRPr="00B92FD5">
        <w:rPr>
          <w:lang w:val="es-ES_tradnl" w:eastAsia="es-ES" w:bidi="es-ES"/>
        </w:rPr>
        <w:t>evaluations</w:t>
      </w:r>
      <w:proofErr w:type="spellEnd"/>
      <w:r w:rsidRPr="00B92FD5">
        <w:rPr>
          <w:lang w:val="es-ES_tradnl" w:eastAsia="es-ES" w:bidi="es-ES"/>
        </w:rPr>
        <w:t xml:space="preserve"> </w:t>
      </w:r>
      <w:proofErr w:type="spellStart"/>
      <w:r w:rsidRPr="00B92FD5">
        <w:rPr>
          <w:lang w:val="es-ES_tradnl" w:eastAsia="es-ES" w:bidi="es-ES"/>
        </w:rPr>
        <w:t>for</w:t>
      </w:r>
      <w:proofErr w:type="spellEnd"/>
      <w:r w:rsidRPr="00B92FD5">
        <w:rPr>
          <w:lang w:val="es-ES_tradnl" w:eastAsia="es-ES" w:bidi="es-ES"/>
        </w:rPr>
        <w:t xml:space="preserve"> </w:t>
      </w:r>
      <w:proofErr w:type="spellStart"/>
      <w:r w:rsidRPr="00B92FD5">
        <w:rPr>
          <w:lang w:val="es-ES_tradnl" w:eastAsia="es-ES" w:bidi="es-ES"/>
        </w:rPr>
        <w:t>Fenthion</w:t>
      </w:r>
      <w:proofErr w:type="spellEnd"/>
    </w:p>
    <w:p w14:paraId="2C4502A6"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Hazardous </w:t>
      </w:r>
      <w:proofErr w:type="spellStart"/>
      <w:r w:rsidRPr="00B92FD5">
        <w:rPr>
          <w:lang w:val="es-ES_tradnl" w:eastAsia="es-ES" w:bidi="es-ES"/>
        </w:rPr>
        <w:t>Substance</w:t>
      </w:r>
      <w:proofErr w:type="spellEnd"/>
      <w:r w:rsidRPr="00B92FD5">
        <w:rPr>
          <w:lang w:val="es-ES_tradnl" w:eastAsia="es-ES" w:bidi="es-ES"/>
        </w:rPr>
        <w:t xml:space="preserve"> Data Bank (2003): </w:t>
      </w:r>
      <w:proofErr w:type="spellStart"/>
      <w:r w:rsidRPr="00B92FD5">
        <w:rPr>
          <w:lang w:val="es-ES_tradnl" w:eastAsia="es-ES" w:bidi="es-ES"/>
        </w:rPr>
        <w:t>Fenthion</w:t>
      </w:r>
      <w:proofErr w:type="spellEnd"/>
      <w:r w:rsidRPr="00B92FD5">
        <w:rPr>
          <w:lang w:val="es-ES_tradnl" w:eastAsia="es-ES" w:bidi="es-ES"/>
        </w:rPr>
        <w:t xml:space="preserve">. </w:t>
      </w:r>
      <w:proofErr w:type="spellStart"/>
      <w:r w:rsidRPr="00B92FD5">
        <w:rPr>
          <w:lang w:val="es-ES_tradnl" w:eastAsia="es-ES" w:bidi="es-ES"/>
        </w:rPr>
        <w:t>National</w:t>
      </w:r>
      <w:proofErr w:type="spellEnd"/>
      <w:r w:rsidRPr="00B92FD5">
        <w:rPr>
          <w:lang w:val="es-ES_tradnl" w:eastAsia="es-ES" w:bidi="es-ES"/>
        </w:rPr>
        <w:t xml:space="preserve"> Library of Medicine: </w:t>
      </w:r>
      <w:proofErr w:type="spellStart"/>
      <w:r w:rsidRPr="00B92FD5">
        <w:rPr>
          <w:lang w:val="es-ES_tradnl" w:eastAsia="es-ES" w:bidi="es-ES"/>
        </w:rPr>
        <w:t>National</w:t>
      </w:r>
      <w:proofErr w:type="spellEnd"/>
      <w:r w:rsidRPr="00B92FD5">
        <w:rPr>
          <w:lang w:val="es-ES_tradnl" w:eastAsia="es-ES" w:bidi="es-ES"/>
        </w:rPr>
        <w:t xml:space="preserve"> </w:t>
      </w:r>
      <w:proofErr w:type="spellStart"/>
      <w:r w:rsidRPr="00B92FD5">
        <w:rPr>
          <w:lang w:val="es-ES_tradnl" w:eastAsia="es-ES" w:bidi="es-ES"/>
        </w:rPr>
        <w:t>Toxicology</w:t>
      </w:r>
      <w:proofErr w:type="spellEnd"/>
      <w:r w:rsidRPr="00B92FD5">
        <w:rPr>
          <w:lang w:val="es-ES_tradnl" w:eastAsia="es-ES" w:bidi="es-ES"/>
        </w:rPr>
        <w:t xml:space="preserve"> </w:t>
      </w:r>
      <w:proofErr w:type="spellStart"/>
      <w:r w:rsidRPr="00B92FD5">
        <w:rPr>
          <w:lang w:val="es-ES_tradnl" w:eastAsia="es-ES" w:bidi="es-ES"/>
        </w:rPr>
        <w:t>Program</w:t>
      </w:r>
      <w:proofErr w:type="spellEnd"/>
      <w:r w:rsidRPr="00B92FD5">
        <w:rPr>
          <w:lang w:val="es-ES_tradnl" w:eastAsia="es-ES" w:bidi="es-ES"/>
        </w:rPr>
        <w:t xml:space="preserve">: </w:t>
      </w:r>
      <w:hyperlink r:id="rId26">
        <w:r w:rsidRPr="00B92FD5">
          <w:rPr>
            <w:lang w:val="es-ES_tradnl" w:eastAsia="es-ES" w:bidi="es-ES"/>
          </w:rPr>
          <w:t>http://toxnet.nlm.nih.gov/cgi-bin/sis/htmlgen</w:t>
        </w:r>
      </w:hyperlink>
      <w:r w:rsidRPr="00B92FD5">
        <w:rPr>
          <w:lang w:val="es-ES_tradnl" w:eastAsia="es-ES" w:bidi="es-ES"/>
        </w:rPr>
        <w:t>, HSDB Acceso, 29 de abril de 2009.</w:t>
      </w:r>
    </w:p>
    <w:p w14:paraId="6E8373C4"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PPDB </w:t>
      </w:r>
      <w:proofErr w:type="spellStart"/>
      <w:r w:rsidRPr="00B92FD5">
        <w:rPr>
          <w:lang w:val="es-ES_tradnl" w:eastAsia="es-ES" w:bidi="es-ES"/>
        </w:rPr>
        <w:t>Pesticide</w:t>
      </w:r>
      <w:proofErr w:type="spellEnd"/>
      <w:r w:rsidRPr="00B92FD5">
        <w:rPr>
          <w:lang w:val="es-ES_tradnl" w:eastAsia="es-ES" w:bidi="es-ES"/>
        </w:rPr>
        <w:t xml:space="preserve"> </w:t>
      </w:r>
      <w:proofErr w:type="spellStart"/>
      <w:r w:rsidRPr="00B92FD5">
        <w:rPr>
          <w:lang w:val="es-ES_tradnl" w:eastAsia="es-ES" w:bidi="es-ES"/>
        </w:rPr>
        <w:t>Properties</w:t>
      </w:r>
      <w:proofErr w:type="spellEnd"/>
      <w:r w:rsidRPr="00B92FD5">
        <w:rPr>
          <w:lang w:val="es-ES_tradnl" w:eastAsia="es-ES" w:bidi="es-ES"/>
        </w:rPr>
        <w:t xml:space="preserve"> </w:t>
      </w:r>
      <w:proofErr w:type="spellStart"/>
      <w:r w:rsidRPr="00B92FD5">
        <w:rPr>
          <w:lang w:val="es-ES_tradnl" w:eastAsia="es-ES" w:bidi="es-ES"/>
        </w:rPr>
        <w:t>DataBase</w:t>
      </w:r>
      <w:proofErr w:type="spellEnd"/>
      <w:r w:rsidRPr="00B92FD5">
        <w:rPr>
          <w:lang w:val="es-ES_tradnl" w:eastAsia="es-ES" w:bidi="es-ES"/>
        </w:rPr>
        <w:t xml:space="preserve"> (</w:t>
      </w:r>
      <w:proofErr w:type="spellStart"/>
      <w:r w:rsidRPr="00B92FD5">
        <w:rPr>
          <w:lang w:val="es-ES_tradnl" w:eastAsia="es-ES" w:bidi="es-ES"/>
        </w:rPr>
        <w:t>Footprint</w:t>
      </w:r>
      <w:proofErr w:type="spellEnd"/>
      <w:r w:rsidRPr="00B92FD5">
        <w:rPr>
          <w:lang w:val="es-ES_tradnl" w:eastAsia="es-ES" w:bidi="es-ES"/>
        </w:rPr>
        <w:t xml:space="preserve">) </w:t>
      </w:r>
      <w:hyperlink r:id="rId27">
        <w:r w:rsidRPr="00B92FD5">
          <w:rPr>
            <w:lang w:val="es-ES_tradnl" w:eastAsia="es-ES" w:bidi="es-ES"/>
          </w:rPr>
          <w:t>http://sitem.herts.ac.uk/aeru/ppdb/en/index.htm</w:t>
        </w:r>
      </w:hyperlink>
      <w:r w:rsidRPr="00B92FD5">
        <w:rPr>
          <w:lang w:val="es-ES_tradnl" w:eastAsia="es-ES" w:bidi="es-ES"/>
        </w:rPr>
        <w:t>. Acceso: 2013.</w:t>
      </w:r>
    </w:p>
    <w:p w14:paraId="43FD21C3"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USEPA (2001): </w:t>
      </w:r>
      <w:proofErr w:type="spellStart"/>
      <w:r w:rsidRPr="00B92FD5">
        <w:rPr>
          <w:lang w:val="es-ES_tradnl" w:eastAsia="es-ES" w:bidi="es-ES"/>
        </w:rPr>
        <w:t>Interim</w:t>
      </w:r>
      <w:proofErr w:type="spellEnd"/>
      <w:r w:rsidRPr="00B92FD5">
        <w:rPr>
          <w:lang w:val="es-ES_tradnl" w:eastAsia="es-ES" w:bidi="es-ES"/>
        </w:rPr>
        <w:t xml:space="preserve"> </w:t>
      </w:r>
      <w:proofErr w:type="spellStart"/>
      <w:r w:rsidRPr="00B92FD5">
        <w:rPr>
          <w:lang w:val="es-ES_tradnl" w:eastAsia="es-ES" w:bidi="es-ES"/>
        </w:rPr>
        <w:t>Reregistration</w:t>
      </w:r>
      <w:proofErr w:type="spellEnd"/>
      <w:r w:rsidRPr="00B92FD5">
        <w:rPr>
          <w:lang w:val="es-ES_tradnl" w:eastAsia="es-ES" w:bidi="es-ES"/>
        </w:rPr>
        <w:t xml:space="preserve"> </w:t>
      </w:r>
      <w:proofErr w:type="spellStart"/>
      <w:r w:rsidRPr="00B92FD5">
        <w:rPr>
          <w:lang w:val="es-ES_tradnl" w:eastAsia="es-ES" w:bidi="es-ES"/>
        </w:rPr>
        <w:t>Eligibility</w:t>
      </w:r>
      <w:proofErr w:type="spellEnd"/>
      <w:r w:rsidRPr="00B92FD5">
        <w:rPr>
          <w:lang w:val="es-ES_tradnl" w:eastAsia="es-ES" w:bidi="es-ES"/>
        </w:rPr>
        <w:t xml:space="preserve"> </w:t>
      </w:r>
      <w:proofErr w:type="spellStart"/>
      <w:r w:rsidRPr="00B92FD5">
        <w:rPr>
          <w:lang w:val="es-ES_tradnl" w:eastAsia="es-ES" w:bidi="es-ES"/>
        </w:rPr>
        <w:t>Decision</w:t>
      </w:r>
      <w:proofErr w:type="spellEnd"/>
      <w:r w:rsidRPr="00B92FD5">
        <w:rPr>
          <w:lang w:val="es-ES_tradnl" w:eastAsia="es-ES" w:bidi="es-ES"/>
        </w:rPr>
        <w:t xml:space="preserve"> </w:t>
      </w:r>
      <w:proofErr w:type="spellStart"/>
      <w:r w:rsidRPr="00B92FD5">
        <w:rPr>
          <w:lang w:val="es-ES_tradnl" w:eastAsia="es-ES" w:bidi="es-ES"/>
        </w:rPr>
        <w:t>for</w:t>
      </w:r>
      <w:proofErr w:type="spellEnd"/>
      <w:r w:rsidRPr="00B92FD5">
        <w:rPr>
          <w:lang w:val="es-ES_tradnl" w:eastAsia="es-ES" w:bidi="es-ES"/>
        </w:rPr>
        <w:t xml:space="preserve"> </w:t>
      </w:r>
      <w:proofErr w:type="spellStart"/>
      <w:r w:rsidRPr="00B92FD5">
        <w:rPr>
          <w:lang w:val="es-ES_tradnl" w:eastAsia="es-ES" w:bidi="es-ES"/>
        </w:rPr>
        <w:t>Fenthion</w:t>
      </w:r>
      <w:proofErr w:type="spellEnd"/>
      <w:r w:rsidRPr="00B92FD5">
        <w:rPr>
          <w:lang w:val="es-ES_tradnl" w:eastAsia="es-ES" w:bidi="es-ES"/>
        </w:rPr>
        <w:t xml:space="preserve">. </w:t>
      </w:r>
      <w:proofErr w:type="spellStart"/>
      <w:r w:rsidRPr="00B92FD5">
        <w:rPr>
          <w:lang w:val="es-ES_tradnl" w:eastAsia="es-ES" w:bidi="es-ES"/>
        </w:rPr>
        <w:t>United</w:t>
      </w:r>
      <w:proofErr w:type="spellEnd"/>
      <w:r w:rsidRPr="00B92FD5">
        <w:rPr>
          <w:lang w:val="es-ES_tradnl" w:eastAsia="es-ES" w:bidi="es-ES"/>
        </w:rPr>
        <w:t xml:space="preserve"> </w:t>
      </w:r>
      <w:proofErr w:type="spellStart"/>
      <w:r w:rsidRPr="00B92FD5">
        <w:rPr>
          <w:lang w:val="es-ES_tradnl" w:eastAsia="es-ES" w:bidi="es-ES"/>
        </w:rPr>
        <w:t>States</w:t>
      </w:r>
      <w:proofErr w:type="spellEnd"/>
      <w:r w:rsidRPr="00B92FD5">
        <w:rPr>
          <w:lang w:val="es-ES_tradnl" w:eastAsia="es-ES" w:bidi="es-ES"/>
        </w:rPr>
        <w:t xml:space="preserve"> </w:t>
      </w:r>
      <w:proofErr w:type="spellStart"/>
      <w:r w:rsidRPr="00B92FD5">
        <w:rPr>
          <w:lang w:val="es-ES_tradnl" w:eastAsia="es-ES" w:bidi="es-ES"/>
        </w:rPr>
        <w:t>Environmental</w:t>
      </w:r>
      <w:proofErr w:type="spellEnd"/>
      <w:r w:rsidRPr="00B92FD5">
        <w:rPr>
          <w:lang w:val="es-ES_tradnl" w:eastAsia="es-ES" w:bidi="es-ES"/>
        </w:rPr>
        <w:t xml:space="preserve"> </w:t>
      </w:r>
      <w:proofErr w:type="spellStart"/>
      <w:r w:rsidRPr="00B92FD5">
        <w:rPr>
          <w:lang w:val="es-ES_tradnl" w:eastAsia="es-ES" w:bidi="es-ES"/>
        </w:rPr>
        <w:t>Protection</w:t>
      </w:r>
      <w:proofErr w:type="spellEnd"/>
      <w:r w:rsidRPr="00B92FD5">
        <w:rPr>
          <w:lang w:val="es-ES_tradnl" w:eastAsia="es-ES" w:bidi="es-ES"/>
        </w:rPr>
        <w:t xml:space="preserve"> Agency. Disponible en: </w:t>
      </w:r>
      <w:hyperlink r:id="rId28">
        <w:r w:rsidRPr="00B92FD5">
          <w:rPr>
            <w:lang w:val="es-ES_tradnl" w:eastAsia="es-ES" w:bidi="es-ES"/>
          </w:rPr>
          <w:t>http://www.epa.gov/pesticides/reregistration/REDs/0290ired.pdf</w:t>
        </w:r>
      </w:hyperlink>
      <w:r w:rsidRPr="00B92FD5">
        <w:rPr>
          <w:lang w:val="es-ES_tradnl" w:eastAsia="es-ES" w:bidi="es-ES"/>
        </w:rPr>
        <w:t>. Acceso, 25 de abril de 2009.</w:t>
      </w:r>
    </w:p>
    <w:p w14:paraId="6104FD8B" w14:textId="77777777" w:rsidR="00114789" w:rsidRPr="00B92FD5" w:rsidRDefault="00114789" w:rsidP="00114789">
      <w:pPr>
        <w:snapToGrid w:val="0"/>
        <w:spacing w:after="120"/>
        <w:rPr>
          <w:lang w:val="es-ES_tradnl" w:eastAsia="es-ES" w:bidi="es-ES"/>
        </w:rPr>
      </w:pPr>
      <w:r w:rsidRPr="00B92FD5">
        <w:rPr>
          <w:lang w:val="es-ES_tradnl" w:eastAsia="es-ES" w:bidi="es-ES"/>
        </w:rPr>
        <w:t xml:space="preserve">WHO (2009): WHO </w:t>
      </w:r>
      <w:proofErr w:type="spellStart"/>
      <w:r w:rsidRPr="00B92FD5">
        <w:rPr>
          <w:lang w:val="es-ES_tradnl" w:eastAsia="es-ES" w:bidi="es-ES"/>
        </w:rPr>
        <w:t>Recommended</w:t>
      </w:r>
      <w:proofErr w:type="spellEnd"/>
      <w:r w:rsidRPr="00B92FD5">
        <w:rPr>
          <w:lang w:val="es-ES_tradnl" w:eastAsia="es-ES" w:bidi="es-ES"/>
        </w:rPr>
        <w:t xml:space="preserve"> </w:t>
      </w:r>
      <w:proofErr w:type="spellStart"/>
      <w:r w:rsidRPr="00B92FD5">
        <w:rPr>
          <w:lang w:val="es-ES_tradnl" w:eastAsia="es-ES" w:bidi="es-ES"/>
        </w:rPr>
        <w:t>Classification</w:t>
      </w:r>
      <w:proofErr w:type="spellEnd"/>
      <w:r w:rsidRPr="00B92FD5">
        <w:rPr>
          <w:lang w:val="es-ES_tradnl" w:eastAsia="es-ES" w:bidi="es-ES"/>
        </w:rPr>
        <w:t xml:space="preserve"> of </w:t>
      </w:r>
      <w:proofErr w:type="spellStart"/>
      <w:r w:rsidRPr="00B92FD5">
        <w:rPr>
          <w:lang w:val="es-ES_tradnl" w:eastAsia="es-ES" w:bidi="es-ES"/>
        </w:rPr>
        <w:t>Pesticides</w:t>
      </w:r>
      <w:proofErr w:type="spellEnd"/>
      <w:r w:rsidRPr="00B92FD5">
        <w:rPr>
          <w:lang w:val="es-ES_tradnl" w:eastAsia="es-ES" w:bidi="es-ES"/>
        </w:rPr>
        <w:t xml:space="preserve"> </w:t>
      </w:r>
      <w:proofErr w:type="spellStart"/>
      <w:r w:rsidRPr="00B92FD5">
        <w:rPr>
          <w:lang w:val="es-ES_tradnl" w:eastAsia="es-ES" w:bidi="es-ES"/>
        </w:rPr>
        <w:t>by</w:t>
      </w:r>
      <w:proofErr w:type="spellEnd"/>
      <w:r w:rsidRPr="00B92FD5">
        <w:rPr>
          <w:lang w:val="es-ES_tradnl" w:eastAsia="es-ES" w:bidi="es-ES"/>
        </w:rPr>
        <w:t xml:space="preserve"> Hazard and </w:t>
      </w:r>
      <w:proofErr w:type="spellStart"/>
      <w:r w:rsidRPr="00B92FD5">
        <w:rPr>
          <w:lang w:val="es-ES_tradnl" w:eastAsia="es-ES" w:bidi="es-ES"/>
        </w:rPr>
        <w:t>Guidelines</w:t>
      </w:r>
      <w:proofErr w:type="spellEnd"/>
      <w:r w:rsidRPr="00B92FD5">
        <w:rPr>
          <w:lang w:val="es-ES_tradnl" w:eastAsia="es-ES" w:bidi="es-ES"/>
        </w:rPr>
        <w:t xml:space="preserve"> </w:t>
      </w:r>
      <w:proofErr w:type="spellStart"/>
      <w:r w:rsidRPr="00B92FD5">
        <w:rPr>
          <w:lang w:val="es-ES_tradnl" w:eastAsia="es-ES" w:bidi="es-ES"/>
        </w:rPr>
        <w:t>to</w:t>
      </w:r>
      <w:proofErr w:type="spellEnd"/>
      <w:r w:rsidRPr="00B92FD5">
        <w:rPr>
          <w:lang w:val="es-ES_tradnl" w:eastAsia="es-ES" w:bidi="es-ES"/>
        </w:rPr>
        <w:t xml:space="preserve"> </w:t>
      </w:r>
      <w:proofErr w:type="spellStart"/>
      <w:r w:rsidRPr="00B92FD5">
        <w:rPr>
          <w:lang w:val="es-ES_tradnl" w:eastAsia="es-ES" w:bidi="es-ES"/>
        </w:rPr>
        <w:t>Classification</w:t>
      </w:r>
      <w:proofErr w:type="spellEnd"/>
      <w:r w:rsidRPr="00B92FD5">
        <w:rPr>
          <w:lang w:val="es-ES_tradnl" w:eastAsia="es-ES" w:bidi="es-ES"/>
        </w:rPr>
        <w:t xml:space="preserve">. Disponible en: </w:t>
      </w:r>
      <w:hyperlink r:id="rId29">
        <w:r w:rsidRPr="00B92FD5">
          <w:rPr>
            <w:lang w:val="es-ES_tradnl" w:eastAsia="es-ES" w:bidi="es-ES"/>
          </w:rPr>
          <w:t>http://www.who.int/ipcs/publications/pesticides_hazard/en/</w:t>
        </w:r>
      </w:hyperlink>
      <w:r w:rsidRPr="00B92FD5">
        <w:rPr>
          <w:lang w:val="es-ES_tradnl" w:eastAsia="es-ES" w:bidi="es-ES"/>
        </w:rPr>
        <w:t>.</w:t>
      </w:r>
    </w:p>
    <w:p w14:paraId="177FB72F" w14:textId="77777777" w:rsidR="00114789" w:rsidRPr="00B92FD5" w:rsidRDefault="00114789" w:rsidP="003F3C32">
      <w:pPr>
        <w:tabs>
          <w:tab w:val="clear" w:pos="1814"/>
          <w:tab w:val="clear" w:pos="2381"/>
          <w:tab w:val="clear" w:pos="2948"/>
          <w:tab w:val="clear" w:pos="3515"/>
        </w:tabs>
        <w:spacing w:after="120"/>
        <w:rPr>
          <w:b/>
          <w:bCs/>
          <w:sz w:val="28"/>
          <w:szCs w:val="22"/>
          <w:lang w:val="es-ES_tradnl"/>
        </w:rPr>
      </w:pPr>
      <w:r w:rsidRPr="00B92FD5">
        <w:rPr>
          <w:lang w:val="es-ES_tradnl" w:eastAsia="es-ES" w:bidi="es-ES"/>
        </w:rPr>
        <w:t>WHO (</w:t>
      </w:r>
      <w:proofErr w:type="spellStart"/>
      <w:r w:rsidRPr="00B92FD5">
        <w:rPr>
          <w:lang w:val="es-ES_tradnl" w:eastAsia="es-ES" w:bidi="es-ES"/>
        </w:rPr>
        <w:t>December</w:t>
      </w:r>
      <w:proofErr w:type="spellEnd"/>
      <w:r w:rsidRPr="00B92FD5">
        <w:rPr>
          <w:lang w:val="es-ES_tradnl" w:eastAsia="es-ES" w:bidi="es-ES"/>
        </w:rPr>
        <w:t xml:space="preserve"> 1976): Data </w:t>
      </w:r>
      <w:proofErr w:type="spellStart"/>
      <w:r w:rsidRPr="00B92FD5">
        <w:rPr>
          <w:lang w:val="es-ES_tradnl" w:eastAsia="es-ES" w:bidi="es-ES"/>
        </w:rPr>
        <w:t>Sheets</w:t>
      </w:r>
      <w:proofErr w:type="spellEnd"/>
      <w:r w:rsidRPr="00B92FD5">
        <w:rPr>
          <w:lang w:val="es-ES_tradnl" w:eastAsia="es-ES" w:bidi="es-ES"/>
        </w:rPr>
        <w:t xml:space="preserve"> </w:t>
      </w:r>
      <w:proofErr w:type="spellStart"/>
      <w:r w:rsidRPr="00B92FD5">
        <w:rPr>
          <w:lang w:val="es-ES_tradnl" w:eastAsia="es-ES" w:bidi="es-ES"/>
        </w:rPr>
        <w:t>on</w:t>
      </w:r>
      <w:proofErr w:type="spellEnd"/>
      <w:r w:rsidRPr="00B92FD5">
        <w:rPr>
          <w:lang w:val="es-ES_tradnl" w:eastAsia="es-ES" w:bidi="es-ES"/>
        </w:rPr>
        <w:t xml:space="preserve"> </w:t>
      </w:r>
      <w:proofErr w:type="spellStart"/>
      <w:r w:rsidRPr="00B92FD5">
        <w:rPr>
          <w:lang w:val="es-ES_tradnl" w:eastAsia="es-ES" w:bidi="es-ES"/>
        </w:rPr>
        <w:t>Pesticides</w:t>
      </w:r>
      <w:proofErr w:type="spellEnd"/>
      <w:r w:rsidRPr="00B92FD5">
        <w:rPr>
          <w:lang w:val="es-ES_tradnl" w:eastAsia="es-ES" w:bidi="es-ES"/>
        </w:rPr>
        <w:t xml:space="preserve"> No. 23, IPCS, INCHEM</w:t>
      </w:r>
    </w:p>
    <w:tbl>
      <w:tblPr>
        <w:tblW w:w="0" w:type="auto"/>
        <w:tblLook w:val="04A0" w:firstRow="1" w:lastRow="0" w:firstColumn="1" w:lastColumn="0" w:noHBand="0" w:noVBand="1"/>
      </w:tblPr>
      <w:tblGrid>
        <w:gridCol w:w="1898"/>
        <w:gridCol w:w="1899"/>
        <w:gridCol w:w="1900"/>
        <w:gridCol w:w="1900"/>
        <w:gridCol w:w="1900"/>
      </w:tblGrid>
      <w:tr w:rsidR="00114789" w:rsidRPr="00B92FD5" w14:paraId="352135C8" w14:textId="77777777" w:rsidTr="003F3C32">
        <w:tc>
          <w:tcPr>
            <w:tcW w:w="1898" w:type="dxa"/>
            <w:shd w:val="clear" w:color="auto" w:fill="auto"/>
          </w:tcPr>
          <w:p w14:paraId="25CCA8EE" w14:textId="77777777" w:rsidR="00114789" w:rsidRPr="00B92FD5" w:rsidRDefault="00114789" w:rsidP="00A642F9">
            <w:pPr>
              <w:spacing w:before="520"/>
              <w:rPr>
                <w:rFonts w:eastAsia="SimSun"/>
                <w:lang w:val="es-ES_tradnl"/>
              </w:rPr>
            </w:pPr>
          </w:p>
        </w:tc>
        <w:tc>
          <w:tcPr>
            <w:tcW w:w="1899" w:type="dxa"/>
            <w:shd w:val="clear" w:color="auto" w:fill="auto"/>
          </w:tcPr>
          <w:p w14:paraId="37798675" w14:textId="77777777" w:rsidR="00114789" w:rsidRPr="00B92FD5" w:rsidRDefault="00114789" w:rsidP="00A642F9">
            <w:pPr>
              <w:spacing w:before="520"/>
              <w:rPr>
                <w:rFonts w:eastAsia="SimSun"/>
                <w:lang w:val="es-ES_tradnl"/>
              </w:rPr>
            </w:pPr>
          </w:p>
        </w:tc>
        <w:tc>
          <w:tcPr>
            <w:tcW w:w="1900" w:type="dxa"/>
            <w:tcBorders>
              <w:bottom w:val="single" w:sz="4" w:space="0" w:color="auto"/>
            </w:tcBorders>
            <w:shd w:val="clear" w:color="auto" w:fill="auto"/>
          </w:tcPr>
          <w:p w14:paraId="4C2801BB" w14:textId="77777777" w:rsidR="00114789" w:rsidRPr="00B92FD5" w:rsidRDefault="00114789" w:rsidP="00A642F9">
            <w:pPr>
              <w:spacing w:before="520"/>
              <w:rPr>
                <w:rFonts w:eastAsia="SimSun"/>
                <w:lang w:val="es-ES_tradnl"/>
              </w:rPr>
            </w:pPr>
          </w:p>
        </w:tc>
        <w:tc>
          <w:tcPr>
            <w:tcW w:w="1900" w:type="dxa"/>
            <w:shd w:val="clear" w:color="auto" w:fill="auto"/>
          </w:tcPr>
          <w:p w14:paraId="35D74ADC" w14:textId="77777777" w:rsidR="00114789" w:rsidRPr="00B92FD5" w:rsidRDefault="00114789" w:rsidP="00A642F9">
            <w:pPr>
              <w:spacing w:before="520"/>
              <w:rPr>
                <w:rFonts w:eastAsia="SimSun"/>
                <w:lang w:val="es-ES_tradnl"/>
              </w:rPr>
            </w:pPr>
          </w:p>
        </w:tc>
        <w:tc>
          <w:tcPr>
            <w:tcW w:w="1900" w:type="dxa"/>
            <w:shd w:val="clear" w:color="auto" w:fill="auto"/>
          </w:tcPr>
          <w:p w14:paraId="1F5FB14A" w14:textId="77777777" w:rsidR="00114789" w:rsidRPr="00B92FD5" w:rsidRDefault="00114789" w:rsidP="00A642F9">
            <w:pPr>
              <w:spacing w:before="520"/>
              <w:rPr>
                <w:rFonts w:eastAsia="SimSun"/>
                <w:lang w:val="es-ES_tradnl"/>
              </w:rPr>
            </w:pPr>
          </w:p>
        </w:tc>
      </w:tr>
    </w:tbl>
    <w:p w14:paraId="56190196" w14:textId="77777777" w:rsidR="00114789" w:rsidRPr="00B92FD5" w:rsidRDefault="00114789" w:rsidP="00114789">
      <w:pPr>
        <w:rPr>
          <w:lang w:val="es-ES_tradnl"/>
        </w:rPr>
      </w:pPr>
    </w:p>
    <w:sectPr w:rsidR="00114789" w:rsidRPr="00B92FD5" w:rsidSect="00114789">
      <w:headerReference w:type="even" r:id="rId30"/>
      <w:headerReference w:type="default" r:id="rId31"/>
      <w:footerReference w:type="even" r:id="rId32"/>
      <w:footerReference w:type="default" r:id="rId33"/>
      <w:footerReference w:type="first" r:id="rId34"/>
      <w:type w:val="continuous"/>
      <w:pgSz w:w="11907" w:h="16840" w:code="9"/>
      <w:pgMar w:top="907" w:right="992" w:bottom="1418" w:left="1418" w:header="539" w:footer="975"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A5F16" w14:textId="77777777" w:rsidR="006B0778" w:rsidRPr="00864712" w:rsidRDefault="006B0778">
      <w:r w:rsidRPr="00864712">
        <w:separator/>
      </w:r>
    </w:p>
  </w:endnote>
  <w:endnote w:type="continuationSeparator" w:id="0">
    <w:p w14:paraId="4B18D263" w14:textId="77777777" w:rsidR="006B0778" w:rsidRPr="00864712" w:rsidRDefault="006B0778">
      <w:r w:rsidRPr="0086471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imesNewRoman">
    <w:altName w:val="Arial Unicode MS"/>
    <w:panose1 w:val="00000000000000000000"/>
    <w:charset w:val="00"/>
    <w:family w:val="roman"/>
    <w:notTrueType/>
    <w:pitch w:val="default"/>
    <w:sig w:usb0="00000003" w:usb1="00000000" w:usb2="00000000" w:usb3="00000000" w:csb0="00000001" w:csb1="00000000"/>
  </w:font>
  <w:font w:name="Abadi MT Condensed">
    <w:altName w:val="Times New Roman"/>
    <w:charset w:val="00"/>
    <w:family w:val="auto"/>
    <w:pitch w:val="default"/>
    <w:sig w:usb0="00000003" w:usb1="00000000" w:usb2="00000000" w:usb3="00000000" w:csb0="00000001" w:csb1="00000000"/>
  </w:font>
  <w:font w:name="Wingdings-Regular">
    <w:altName w:val="Malgun Gothic Semilight"/>
    <w:panose1 w:val="00000000000000000000"/>
    <w:charset w:val="88"/>
    <w:family w:val="auto"/>
    <w:notTrueType/>
    <w:pitch w:val="default"/>
    <w:sig w:usb0="00000000" w:usb1="08080000" w:usb2="00000010" w:usb3="00000000" w:csb0="00100000"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18436" w14:textId="55CA1914" w:rsidR="00ED5AB4" w:rsidRPr="000D781B" w:rsidRDefault="00ED5AB4" w:rsidP="00ED5AB4">
    <w:pPr>
      <w:tabs>
        <w:tab w:val="clear" w:pos="1247"/>
        <w:tab w:val="clear" w:pos="1814"/>
        <w:tab w:val="clear" w:pos="2381"/>
        <w:tab w:val="clear" w:pos="2948"/>
        <w:tab w:val="clear" w:pos="3515"/>
        <w:tab w:val="left" w:pos="1710"/>
      </w:tabs>
    </w:pPr>
    <w:r w:rsidRPr="002A7053">
      <w:rPr>
        <w:rFonts w:hint="eastAsia"/>
      </w:rPr>
      <w:t>K250817</w:t>
    </w:r>
    <w:r>
      <w:rPr>
        <w:rFonts w:hint="eastAsia"/>
      </w:rPr>
      <w:t>5</w:t>
    </w:r>
    <w:r w:rsidRPr="002A7053">
      <w:rPr>
        <w:rFonts w:hint="eastAsia"/>
      </w:rPr>
      <w:t>[</w:t>
    </w:r>
    <w:r>
      <w:t>S</w:t>
    </w:r>
    <w:r w:rsidRPr="002A7053">
      <w:rPr>
        <w:rFonts w:hint="eastAsia"/>
      </w:rPr>
      <w:t>]</w:t>
    </w:r>
    <w:r w:rsidRPr="002A7053">
      <w:tab/>
    </w:r>
    <w:r w:rsidRPr="002A7053">
      <w:rPr>
        <w:rFonts w:hint="eastAsia"/>
      </w:rPr>
      <w:t>0</w:t>
    </w:r>
    <w:r>
      <w:t>4</w:t>
    </w:r>
    <w:r w:rsidRPr="002A7053">
      <w:rPr>
        <w:rFonts w:hint="eastAsia"/>
      </w:rPr>
      <w:t>0625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7B136" w14:textId="77777777" w:rsidR="00693BF1" w:rsidRPr="0031518D" w:rsidRDefault="00ED5AB4">
    <w:pPr>
      <w:pStyle w:val="Footer"/>
      <w:rPr>
        <w:b w:val="0"/>
        <w:szCs w:val="18"/>
      </w:rPr>
    </w:pPr>
    <w:r w:rsidRPr="0031518D">
      <w:rPr>
        <w:b w:val="0"/>
        <w:szCs w:val="18"/>
      </w:rPr>
      <w:fldChar w:fldCharType="begin"/>
    </w:r>
    <w:r w:rsidRPr="0031518D">
      <w:rPr>
        <w:szCs w:val="18"/>
      </w:rPr>
      <w:instrText xml:space="preserve"> PAGE   \* MERGEFORMAT </w:instrText>
    </w:r>
    <w:r w:rsidRPr="0031518D">
      <w:rPr>
        <w:b w:val="0"/>
        <w:szCs w:val="18"/>
      </w:rPr>
      <w:fldChar w:fldCharType="separate"/>
    </w:r>
    <w:r>
      <w:rPr>
        <w:noProof/>
        <w:szCs w:val="18"/>
      </w:rPr>
      <w:t>20</w:t>
    </w:r>
    <w:r w:rsidRPr="0031518D">
      <w:rPr>
        <w:b w:val="0"/>
        <w:noProof/>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58A3F" w14:textId="77777777" w:rsidR="00693BF1" w:rsidRPr="003F3C32" w:rsidRDefault="00ED5AB4" w:rsidP="003F3C32">
    <w:pPr>
      <w:pStyle w:val="Footer"/>
      <w:jc w:val="right"/>
      <w:rPr>
        <w:noProof/>
        <w:szCs w:val="18"/>
      </w:rPr>
    </w:pPr>
    <w:r w:rsidRPr="008D3962">
      <w:rPr>
        <w:b w:val="0"/>
        <w:szCs w:val="18"/>
      </w:rPr>
      <w:fldChar w:fldCharType="begin"/>
    </w:r>
    <w:r w:rsidRPr="008D3962">
      <w:rPr>
        <w:szCs w:val="18"/>
      </w:rPr>
      <w:instrText xml:space="preserve"> PAGE   \* MERGEFORMAT </w:instrText>
    </w:r>
    <w:r w:rsidRPr="008D3962">
      <w:rPr>
        <w:b w:val="0"/>
        <w:szCs w:val="18"/>
      </w:rPr>
      <w:fldChar w:fldCharType="separate"/>
    </w:r>
    <w:r>
      <w:rPr>
        <w:noProof/>
        <w:szCs w:val="18"/>
      </w:rPr>
      <w:t>19</w:t>
    </w:r>
    <w:r w:rsidRPr="008D3962">
      <w:rPr>
        <w:b w:val="0"/>
        <w:noProof/>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5788061"/>
      <w:docPartObj>
        <w:docPartGallery w:val="Page Numbers (Bottom of Page)"/>
        <w:docPartUnique/>
      </w:docPartObj>
    </w:sdtPr>
    <w:sdtEndPr>
      <w:rPr>
        <w:noProof/>
      </w:rPr>
    </w:sdtEndPr>
    <w:sdtContent>
      <w:p w14:paraId="73158070" w14:textId="3BF20688" w:rsidR="00693BF1" w:rsidRPr="00ED5AB4" w:rsidRDefault="00ED5AB4" w:rsidP="00ED5AB4">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1A66A" w14:textId="77777777" w:rsidR="006B0778" w:rsidRPr="00864712" w:rsidRDefault="006B0778" w:rsidP="00654881">
      <w:pPr>
        <w:spacing w:before="60"/>
        <w:ind w:left="624"/>
        <w:rPr>
          <w:sz w:val="18"/>
          <w:szCs w:val="18"/>
        </w:rPr>
      </w:pPr>
      <w:r w:rsidRPr="00864712">
        <w:rPr>
          <w:sz w:val="18"/>
          <w:szCs w:val="18"/>
        </w:rPr>
        <w:separator/>
      </w:r>
    </w:p>
  </w:footnote>
  <w:footnote w:type="continuationSeparator" w:id="0">
    <w:p w14:paraId="6FE2D985" w14:textId="77777777" w:rsidR="006B0778" w:rsidRPr="00864712" w:rsidRDefault="006B0778">
      <w:r w:rsidRPr="00864712">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0E193" w14:textId="23EE9898" w:rsidR="00ED5AB4" w:rsidRPr="00ED5AB4" w:rsidRDefault="00ED5AB4" w:rsidP="00ED5AB4">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752AB" w14:textId="0280A40C" w:rsidR="00693BF1" w:rsidRPr="00ED5AB4" w:rsidRDefault="00693BF1" w:rsidP="00ED5AB4">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788D6" w14:textId="53F5C661" w:rsidR="00693BF1" w:rsidRPr="00ED5AB4" w:rsidRDefault="00693BF1" w:rsidP="00ED5AB4">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EDC2A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9C8600E"/>
    <w:lvl w:ilvl="0">
      <w:start w:val="1"/>
      <w:numFmt w:val="decimal"/>
      <w:pStyle w:val="ListNumber5"/>
      <w:lvlText w:val="%1."/>
      <w:lvlJc w:val="left"/>
      <w:pPr>
        <w:tabs>
          <w:tab w:val="num" w:pos="1492"/>
        </w:tabs>
        <w:ind w:left="1492" w:hanging="360"/>
      </w:pPr>
    </w:lvl>
  </w:abstractNum>
  <w:abstractNum w:abstractNumId="2" w15:restartNumberingAfterBreak="0">
    <w:nsid w:val="FFFFFF7D"/>
    <w:multiLevelType w:val="singleLevel"/>
    <w:tmpl w:val="BD308264"/>
    <w:lvl w:ilvl="0">
      <w:start w:val="1"/>
      <w:numFmt w:val="decimal"/>
      <w:pStyle w:val="ListNumber4"/>
      <w:lvlText w:val="%1."/>
      <w:lvlJc w:val="left"/>
      <w:pPr>
        <w:tabs>
          <w:tab w:val="num" w:pos="1209"/>
        </w:tabs>
        <w:ind w:left="1209" w:hanging="360"/>
      </w:pPr>
    </w:lvl>
  </w:abstractNum>
  <w:abstractNum w:abstractNumId="3" w15:restartNumberingAfterBreak="0">
    <w:nsid w:val="FFFFFF7E"/>
    <w:multiLevelType w:val="singleLevel"/>
    <w:tmpl w:val="9490C3C4"/>
    <w:lvl w:ilvl="0">
      <w:start w:val="1"/>
      <w:numFmt w:val="decimal"/>
      <w:pStyle w:val="ListNumber3"/>
      <w:lvlText w:val="%1."/>
      <w:lvlJc w:val="left"/>
      <w:pPr>
        <w:tabs>
          <w:tab w:val="num" w:pos="926"/>
        </w:tabs>
        <w:ind w:left="926" w:hanging="360"/>
      </w:pPr>
    </w:lvl>
  </w:abstractNum>
  <w:abstractNum w:abstractNumId="4" w15:restartNumberingAfterBreak="0">
    <w:nsid w:val="FFFFFF7F"/>
    <w:multiLevelType w:val="singleLevel"/>
    <w:tmpl w:val="CAA6ECDE"/>
    <w:lvl w:ilvl="0">
      <w:start w:val="1"/>
      <w:numFmt w:val="decimal"/>
      <w:pStyle w:val="ListNumber2"/>
      <w:lvlText w:val="%1."/>
      <w:lvlJc w:val="left"/>
      <w:pPr>
        <w:tabs>
          <w:tab w:val="num" w:pos="643"/>
        </w:tabs>
        <w:ind w:left="643" w:hanging="360"/>
      </w:pPr>
    </w:lvl>
  </w:abstractNum>
  <w:abstractNum w:abstractNumId="5" w15:restartNumberingAfterBreak="0">
    <w:nsid w:val="FFFFFF80"/>
    <w:multiLevelType w:val="singleLevel"/>
    <w:tmpl w:val="B64AB730"/>
    <w:lvl w:ilvl="0">
      <w:start w:val="1"/>
      <w:numFmt w:val="bullet"/>
      <w:pStyle w:val="ListBullet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659EBB8C"/>
    <w:lvl w:ilvl="0">
      <w:start w:val="1"/>
      <w:numFmt w:val="bullet"/>
      <w:pStyle w:val="ListBullet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E2E0409C"/>
    <w:lvl w:ilvl="0">
      <w:start w:val="1"/>
      <w:numFmt w:val="bullet"/>
      <w:pStyle w:val="ListBullet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EAA6A664"/>
    <w:lvl w:ilvl="0">
      <w:start w:val="1"/>
      <w:numFmt w:val="bullet"/>
      <w:pStyle w:val="ListBullet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D1E517E"/>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40320800"/>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01485682"/>
    <w:multiLevelType w:val="hybridMultilevel"/>
    <w:tmpl w:val="7D3AB8B8"/>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08073848"/>
    <w:multiLevelType w:val="hybridMultilevel"/>
    <w:tmpl w:val="BC881F98"/>
    <w:lvl w:ilvl="0" w:tplc="B84E26D8">
      <w:start w:val="5"/>
      <w:numFmt w:val="bullet"/>
      <w:lvlText w:val="-"/>
      <w:lvlJc w:val="left"/>
      <w:pPr>
        <w:ind w:left="1440" w:hanging="360"/>
      </w:pPr>
      <w:rPr>
        <w:rFonts w:ascii="Times New Roman" w:eastAsia="SimSun" w:hAnsi="Times New Roman" w:cs="Times New Roman"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3" w15:restartNumberingAfterBreak="0">
    <w:nsid w:val="0BD22D72"/>
    <w:multiLevelType w:val="hybridMultilevel"/>
    <w:tmpl w:val="502E5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412666"/>
    <w:multiLevelType w:val="hybridMultilevel"/>
    <w:tmpl w:val="7EF059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1113A7"/>
    <w:multiLevelType w:val="singleLevel"/>
    <w:tmpl w:val="BFA0F994"/>
    <w:lvl w:ilvl="0">
      <w:start w:val="1"/>
      <w:numFmt w:val="lowerLetter"/>
      <w:lvlText w:val="(%1)"/>
      <w:lvlJc w:val="left"/>
      <w:pPr>
        <w:tabs>
          <w:tab w:val="num" w:pos="938"/>
        </w:tabs>
        <w:ind w:left="0" w:firstLine="578"/>
      </w:pPr>
    </w:lvl>
  </w:abstractNum>
  <w:abstractNum w:abstractNumId="16" w15:restartNumberingAfterBreak="0">
    <w:nsid w:val="1B4F6127"/>
    <w:multiLevelType w:val="hybridMultilevel"/>
    <w:tmpl w:val="276EF206"/>
    <w:lvl w:ilvl="0" w:tplc="AAAAE4A4">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7" w15:restartNumberingAfterBreak="0">
    <w:nsid w:val="1B571867"/>
    <w:multiLevelType w:val="singleLevel"/>
    <w:tmpl w:val="A2E252AA"/>
    <w:lvl w:ilvl="0">
      <w:start w:val="1"/>
      <w:numFmt w:val="upperRoman"/>
      <w:lvlText w:val="%1."/>
      <w:lvlJc w:val="left"/>
      <w:pPr>
        <w:tabs>
          <w:tab w:val="num" w:pos="720"/>
        </w:tabs>
        <w:ind w:left="720" w:hanging="720"/>
      </w:pPr>
      <w:rPr>
        <w:rFonts w:hint="default"/>
      </w:rPr>
    </w:lvl>
  </w:abstractNum>
  <w:abstractNum w:abstractNumId="18" w15:restartNumberingAfterBreak="0">
    <w:nsid w:val="1CD83B22"/>
    <w:multiLevelType w:val="hybridMultilevel"/>
    <w:tmpl w:val="9F74B2D0"/>
    <w:lvl w:ilvl="0" w:tplc="FFFFFFFF">
      <w:start w:val="1"/>
      <w:numFmt w:val="decimal"/>
      <w:lvlText w:val="%1."/>
      <w:lvlJc w:val="left"/>
      <w:pPr>
        <w:ind w:left="2664" w:hanging="360"/>
      </w:pPr>
    </w:lvl>
    <w:lvl w:ilvl="1" w:tplc="FFFFFFFF" w:tentative="1">
      <w:start w:val="1"/>
      <w:numFmt w:val="lowerLetter"/>
      <w:lvlText w:val="%2."/>
      <w:lvlJc w:val="left"/>
      <w:pPr>
        <w:ind w:left="3384" w:hanging="360"/>
      </w:pPr>
    </w:lvl>
    <w:lvl w:ilvl="2" w:tplc="FFFFFFFF" w:tentative="1">
      <w:start w:val="1"/>
      <w:numFmt w:val="lowerRoman"/>
      <w:lvlText w:val="%3."/>
      <w:lvlJc w:val="right"/>
      <w:pPr>
        <w:ind w:left="4104" w:hanging="180"/>
      </w:pPr>
    </w:lvl>
    <w:lvl w:ilvl="3" w:tplc="FFFFFFFF" w:tentative="1">
      <w:start w:val="1"/>
      <w:numFmt w:val="decimal"/>
      <w:lvlText w:val="%4."/>
      <w:lvlJc w:val="left"/>
      <w:pPr>
        <w:ind w:left="4824" w:hanging="360"/>
      </w:pPr>
    </w:lvl>
    <w:lvl w:ilvl="4" w:tplc="FFFFFFFF" w:tentative="1">
      <w:start w:val="1"/>
      <w:numFmt w:val="lowerLetter"/>
      <w:lvlText w:val="%5."/>
      <w:lvlJc w:val="left"/>
      <w:pPr>
        <w:ind w:left="5544" w:hanging="360"/>
      </w:pPr>
    </w:lvl>
    <w:lvl w:ilvl="5" w:tplc="FFFFFFFF" w:tentative="1">
      <w:start w:val="1"/>
      <w:numFmt w:val="lowerRoman"/>
      <w:lvlText w:val="%6."/>
      <w:lvlJc w:val="right"/>
      <w:pPr>
        <w:ind w:left="6264" w:hanging="180"/>
      </w:pPr>
    </w:lvl>
    <w:lvl w:ilvl="6" w:tplc="FFFFFFFF" w:tentative="1">
      <w:start w:val="1"/>
      <w:numFmt w:val="decimal"/>
      <w:lvlText w:val="%7."/>
      <w:lvlJc w:val="left"/>
      <w:pPr>
        <w:ind w:left="6984" w:hanging="360"/>
      </w:pPr>
    </w:lvl>
    <w:lvl w:ilvl="7" w:tplc="FFFFFFFF" w:tentative="1">
      <w:start w:val="1"/>
      <w:numFmt w:val="lowerLetter"/>
      <w:lvlText w:val="%8."/>
      <w:lvlJc w:val="left"/>
      <w:pPr>
        <w:ind w:left="7704" w:hanging="360"/>
      </w:pPr>
    </w:lvl>
    <w:lvl w:ilvl="8" w:tplc="FFFFFFFF" w:tentative="1">
      <w:start w:val="1"/>
      <w:numFmt w:val="lowerRoman"/>
      <w:lvlText w:val="%9."/>
      <w:lvlJc w:val="right"/>
      <w:pPr>
        <w:ind w:left="8424" w:hanging="180"/>
      </w:pPr>
    </w:lvl>
  </w:abstractNum>
  <w:abstractNum w:abstractNumId="19" w15:restartNumberingAfterBreak="0">
    <w:nsid w:val="220E21E1"/>
    <w:multiLevelType w:val="hybridMultilevel"/>
    <w:tmpl w:val="C0D0A2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6D27BE"/>
    <w:multiLevelType w:val="hybridMultilevel"/>
    <w:tmpl w:val="9FA631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33F575B5"/>
    <w:multiLevelType w:val="hybridMultilevel"/>
    <w:tmpl w:val="F9ACDB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571603"/>
    <w:multiLevelType w:val="singleLevel"/>
    <w:tmpl w:val="2868AC2A"/>
    <w:lvl w:ilvl="0">
      <w:start w:val="6"/>
      <w:numFmt w:val="upperLetter"/>
      <w:lvlText w:val="%1."/>
      <w:lvlJc w:val="left"/>
      <w:pPr>
        <w:tabs>
          <w:tab w:val="num" w:pos="360"/>
        </w:tabs>
        <w:ind w:left="360" w:hanging="360"/>
      </w:pPr>
      <w:rPr>
        <w:rFonts w:hint="default"/>
      </w:rPr>
    </w:lvl>
  </w:abstractNum>
  <w:abstractNum w:abstractNumId="24" w15:restartNumberingAfterBreak="0">
    <w:nsid w:val="48EC3BB8"/>
    <w:multiLevelType w:val="hybridMultilevel"/>
    <w:tmpl w:val="836C5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EBD6056"/>
    <w:multiLevelType w:val="singleLevel"/>
    <w:tmpl w:val="22D82B4C"/>
    <w:lvl w:ilvl="0">
      <w:start w:val="1"/>
      <w:numFmt w:val="lowerRoman"/>
      <w:lvlText w:val="(%1)"/>
      <w:lvlJc w:val="left"/>
      <w:pPr>
        <w:tabs>
          <w:tab w:val="num" w:pos="2892"/>
        </w:tabs>
        <w:ind w:left="2892" w:hanging="579"/>
      </w:pPr>
      <w:rPr>
        <w:rFonts w:hint="default"/>
      </w:rPr>
    </w:lvl>
  </w:abstractNum>
  <w:abstractNum w:abstractNumId="26" w15:restartNumberingAfterBreak="0">
    <w:nsid w:val="4F6E03E2"/>
    <w:multiLevelType w:val="hybridMultilevel"/>
    <w:tmpl w:val="5C28EE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E47F8"/>
    <w:multiLevelType w:val="hybridMultilevel"/>
    <w:tmpl w:val="49D4CB38"/>
    <w:lvl w:ilvl="0" w:tplc="01741314">
      <w:start w:val="1"/>
      <w:numFmt w:val="bullet"/>
      <w:lvlText w:val=""/>
      <w:lvlJc w:val="left"/>
      <w:pPr>
        <w:tabs>
          <w:tab w:val="num" w:pos="720"/>
        </w:tabs>
        <w:ind w:left="720" w:hanging="360"/>
      </w:pPr>
      <w:rPr>
        <w:rFonts w:ascii="Symbol" w:hAnsi="Symbol" w:hint="default"/>
      </w:rPr>
    </w:lvl>
    <w:lvl w:ilvl="1" w:tplc="593EFF38">
      <w:start w:val="5"/>
      <w:numFmt w:val="bullet"/>
      <w:lvlText w:val="-"/>
      <w:lvlJc w:val="left"/>
      <w:pPr>
        <w:tabs>
          <w:tab w:val="num" w:pos="1440"/>
        </w:tabs>
        <w:ind w:left="1440" w:hanging="360"/>
      </w:pPr>
      <w:rPr>
        <w:rFonts w:ascii="Times New Roman" w:eastAsia="SimSun" w:hAnsi="Times New Roman" w:cs="Times New Roman" w:hint="default"/>
      </w:rPr>
    </w:lvl>
    <w:lvl w:ilvl="2" w:tplc="C4F6AB68" w:tentative="1">
      <w:start w:val="1"/>
      <w:numFmt w:val="bullet"/>
      <w:lvlText w:val=""/>
      <w:lvlJc w:val="left"/>
      <w:pPr>
        <w:tabs>
          <w:tab w:val="num" w:pos="2160"/>
        </w:tabs>
        <w:ind w:left="2160" w:hanging="360"/>
      </w:pPr>
      <w:rPr>
        <w:rFonts w:ascii="Wingdings" w:hAnsi="Wingdings" w:hint="default"/>
      </w:rPr>
    </w:lvl>
    <w:lvl w:ilvl="3" w:tplc="3C6092D0" w:tentative="1">
      <w:start w:val="1"/>
      <w:numFmt w:val="bullet"/>
      <w:lvlText w:val=""/>
      <w:lvlJc w:val="left"/>
      <w:pPr>
        <w:tabs>
          <w:tab w:val="num" w:pos="2880"/>
        </w:tabs>
        <w:ind w:left="2880" w:hanging="360"/>
      </w:pPr>
      <w:rPr>
        <w:rFonts w:ascii="Symbol" w:hAnsi="Symbol" w:hint="default"/>
      </w:rPr>
    </w:lvl>
    <w:lvl w:ilvl="4" w:tplc="C004CCFA" w:tentative="1">
      <w:start w:val="1"/>
      <w:numFmt w:val="bullet"/>
      <w:lvlText w:val="o"/>
      <w:lvlJc w:val="left"/>
      <w:pPr>
        <w:tabs>
          <w:tab w:val="num" w:pos="3600"/>
        </w:tabs>
        <w:ind w:left="3600" w:hanging="360"/>
      </w:pPr>
      <w:rPr>
        <w:rFonts w:ascii="Courier New" w:hAnsi="Courier New" w:cs="Courier New" w:hint="default"/>
      </w:rPr>
    </w:lvl>
    <w:lvl w:ilvl="5" w:tplc="51D4B56E" w:tentative="1">
      <w:start w:val="1"/>
      <w:numFmt w:val="bullet"/>
      <w:lvlText w:val=""/>
      <w:lvlJc w:val="left"/>
      <w:pPr>
        <w:tabs>
          <w:tab w:val="num" w:pos="4320"/>
        </w:tabs>
        <w:ind w:left="4320" w:hanging="360"/>
      </w:pPr>
      <w:rPr>
        <w:rFonts w:ascii="Wingdings" w:hAnsi="Wingdings" w:hint="default"/>
      </w:rPr>
    </w:lvl>
    <w:lvl w:ilvl="6" w:tplc="DEF88B5A" w:tentative="1">
      <w:start w:val="1"/>
      <w:numFmt w:val="bullet"/>
      <w:lvlText w:val=""/>
      <w:lvlJc w:val="left"/>
      <w:pPr>
        <w:tabs>
          <w:tab w:val="num" w:pos="5040"/>
        </w:tabs>
        <w:ind w:left="5040" w:hanging="360"/>
      </w:pPr>
      <w:rPr>
        <w:rFonts w:ascii="Symbol" w:hAnsi="Symbol" w:hint="default"/>
      </w:rPr>
    </w:lvl>
    <w:lvl w:ilvl="7" w:tplc="6ECAC7EE" w:tentative="1">
      <w:start w:val="1"/>
      <w:numFmt w:val="bullet"/>
      <w:lvlText w:val="o"/>
      <w:lvlJc w:val="left"/>
      <w:pPr>
        <w:tabs>
          <w:tab w:val="num" w:pos="5760"/>
        </w:tabs>
        <w:ind w:left="5760" w:hanging="360"/>
      </w:pPr>
      <w:rPr>
        <w:rFonts w:ascii="Courier New" w:hAnsi="Courier New" w:cs="Courier New" w:hint="default"/>
      </w:rPr>
    </w:lvl>
    <w:lvl w:ilvl="8" w:tplc="7DDCBD4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1D76DA7"/>
    <w:multiLevelType w:val="hybridMultilevel"/>
    <w:tmpl w:val="43CC69DC"/>
    <w:lvl w:ilvl="0" w:tplc="E9EA4AF4">
      <w:start w:val="1"/>
      <w:numFmt w:val="decimal"/>
      <w:lvlText w:val="%1."/>
      <w:lvlJc w:val="left"/>
      <w:pPr>
        <w:tabs>
          <w:tab w:val="num" w:pos="4197"/>
        </w:tabs>
        <w:ind w:left="3630" w:firstLine="0"/>
      </w:pPr>
      <w:rPr>
        <w:rFonts w:ascii="Times New Roman" w:hAnsi="Times New Roman" w:hint="default"/>
        <w:b w:val="0"/>
        <w:i w:val="0"/>
        <w:sz w:val="20"/>
        <w:szCs w:val="20"/>
      </w:rPr>
    </w:lvl>
    <w:lvl w:ilvl="1" w:tplc="E0D62F7C">
      <w:start w:val="8"/>
      <w:numFmt w:val="decimal"/>
      <w:lvlText w:val="%2"/>
      <w:lvlJc w:val="left"/>
      <w:pPr>
        <w:tabs>
          <w:tab w:val="num" w:pos="1440"/>
        </w:tabs>
        <w:ind w:left="1440" w:hanging="360"/>
      </w:pPr>
      <w:rPr>
        <w:rFonts w:hint="default"/>
      </w:rPr>
    </w:lvl>
    <w:lvl w:ilvl="2" w:tplc="FDFE9270" w:tentative="1">
      <w:start w:val="1"/>
      <w:numFmt w:val="lowerRoman"/>
      <w:lvlText w:val="%3."/>
      <w:lvlJc w:val="right"/>
      <w:pPr>
        <w:tabs>
          <w:tab w:val="num" w:pos="2160"/>
        </w:tabs>
        <w:ind w:left="2160" w:hanging="180"/>
      </w:pPr>
    </w:lvl>
    <w:lvl w:ilvl="3" w:tplc="66F4FB0E" w:tentative="1">
      <w:start w:val="1"/>
      <w:numFmt w:val="decimal"/>
      <w:lvlText w:val="%4."/>
      <w:lvlJc w:val="left"/>
      <w:pPr>
        <w:tabs>
          <w:tab w:val="num" w:pos="2880"/>
        </w:tabs>
        <w:ind w:left="2880" w:hanging="360"/>
      </w:pPr>
    </w:lvl>
    <w:lvl w:ilvl="4" w:tplc="0A885080" w:tentative="1">
      <w:start w:val="1"/>
      <w:numFmt w:val="lowerLetter"/>
      <w:lvlText w:val="%5."/>
      <w:lvlJc w:val="left"/>
      <w:pPr>
        <w:tabs>
          <w:tab w:val="num" w:pos="3600"/>
        </w:tabs>
        <w:ind w:left="3600" w:hanging="360"/>
      </w:pPr>
    </w:lvl>
    <w:lvl w:ilvl="5" w:tplc="A0067842" w:tentative="1">
      <w:start w:val="1"/>
      <w:numFmt w:val="lowerRoman"/>
      <w:lvlText w:val="%6."/>
      <w:lvlJc w:val="right"/>
      <w:pPr>
        <w:tabs>
          <w:tab w:val="num" w:pos="4320"/>
        </w:tabs>
        <w:ind w:left="4320" w:hanging="180"/>
      </w:pPr>
    </w:lvl>
    <w:lvl w:ilvl="6" w:tplc="DCC64F64" w:tentative="1">
      <w:start w:val="1"/>
      <w:numFmt w:val="decimal"/>
      <w:lvlText w:val="%7."/>
      <w:lvlJc w:val="left"/>
      <w:pPr>
        <w:tabs>
          <w:tab w:val="num" w:pos="5040"/>
        </w:tabs>
        <w:ind w:left="5040" w:hanging="360"/>
      </w:pPr>
    </w:lvl>
    <w:lvl w:ilvl="7" w:tplc="465A52D8" w:tentative="1">
      <w:start w:val="1"/>
      <w:numFmt w:val="lowerLetter"/>
      <w:lvlText w:val="%8."/>
      <w:lvlJc w:val="left"/>
      <w:pPr>
        <w:tabs>
          <w:tab w:val="num" w:pos="5760"/>
        </w:tabs>
        <w:ind w:left="5760" w:hanging="360"/>
      </w:pPr>
    </w:lvl>
    <w:lvl w:ilvl="8" w:tplc="87EC04FE" w:tentative="1">
      <w:start w:val="1"/>
      <w:numFmt w:val="lowerRoman"/>
      <w:lvlText w:val="%9."/>
      <w:lvlJc w:val="right"/>
      <w:pPr>
        <w:tabs>
          <w:tab w:val="num" w:pos="6480"/>
        </w:tabs>
        <w:ind w:left="6480" w:hanging="180"/>
      </w:pPr>
    </w:lvl>
  </w:abstractNum>
  <w:abstractNum w:abstractNumId="29" w15:restartNumberingAfterBreak="0">
    <w:nsid w:val="522408CA"/>
    <w:multiLevelType w:val="hybridMultilevel"/>
    <w:tmpl w:val="9FDADAC0"/>
    <w:lvl w:ilvl="0" w:tplc="888AB4FA">
      <w:start w:val="5"/>
      <w:numFmt w:val="bullet"/>
      <w:lvlText w:val="-"/>
      <w:lvlJc w:val="left"/>
      <w:pPr>
        <w:ind w:left="1440" w:hanging="360"/>
      </w:pPr>
      <w:rPr>
        <w:rFonts w:ascii="Times New Roman" w:eastAsia="SimSun" w:hAnsi="Times New Roman" w:cs="Times New Roman" w:hint="default"/>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30"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31" w15:restartNumberingAfterBreak="0">
    <w:nsid w:val="543A779A"/>
    <w:multiLevelType w:val="hybridMultilevel"/>
    <w:tmpl w:val="22BA8358"/>
    <w:lvl w:ilvl="0" w:tplc="04090005">
      <w:start w:val="1"/>
      <w:numFmt w:val="decimal"/>
      <w:lvlText w:val="%1."/>
      <w:lvlJc w:val="left"/>
      <w:pPr>
        <w:tabs>
          <w:tab w:val="num" w:pos="1800"/>
        </w:tabs>
        <w:ind w:left="1800" w:hanging="360"/>
      </w:pPr>
      <w:rPr>
        <w:rFonts w:hint="default"/>
        <w:b w:val="0"/>
        <w:i w:val="0"/>
        <w:color w:val="auto"/>
        <w:sz w:val="20"/>
      </w:rPr>
    </w:lvl>
    <w:lvl w:ilvl="1" w:tplc="04090003">
      <w:start w:val="1"/>
      <w:numFmt w:val="upperLetter"/>
      <w:lvlText w:val="%2."/>
      <w:lvlJc w:val="left"/>
      <w:pPr>
        <w:tabs>
          <w:tab w:val="num" w:pos="4128"/>
        </w:tabs>
        <w:ind w:left="4128" w:hanging="360"/>
      </w:pPr>
      <w:rPr>
        <w:rFonts w:hint="default"/>
        <w:b/>
        <w:i w:val="0"/>
        <w:color w:val="auto"/>
      </w:rPr>
    </w:lvl>
    <w:lvl w:ilvl="2" w:tplc="04090005">
      <w:start w:val="1"/>
      <w:numFmt w:val="decimal"/>
      <w:lvlText w:val="%3."/>
      <w:lvlJc w:val="left"/>
      <w:pPr>
        <w:tabs>
          <w:tab w:val="num" w:pos="5028"/>
        </w:tabs>
        <w:ind w:left="5028" w:hanging="360"/>
      </w:pPr>
      <w:rPr>
        <w:rFonts w:hint="default"/>
        <w:b w:val="0"/>
        <w:i w:val="0"/>
        <w:color w:val="auto"/>
      </w:rPr>
    </w:lvl>
    <w:lvl w:ilvl="3" w:tplc="04090001">
      <w:start w:val="1"/>
      <w:numFmt w:val="decimal"/>
      <w:lvlText w:val="%4."/>
      <w:lvlJc w:val="left"/>
      <w:pPr>
        <w:tabs>
          <w:tab w:val="num" w:pos="5568"/>
        </w:tabs>
        <w:ind w:left="5568" w:hanging="360"/>
      </w:pPr>
    </w:lvl>
    <w:lvl w:ilvl="4" w:tplc="04090003" w:tentative="1">
      <w:start w:val="1"/>
      <w:numFmt w:val="lowerLetter"/>
      <w:lvlText w:val="%5."/>
      <w:lvlJc w:val="left"/>
      <w:pPr>
        <w:tabs>
          <w:tab w:val="num" w:pos="6288"/>
        </w:tabs>
        <w:ind w:left="6288" w:hanging="360"/>
      </w:pPr>
    </w:lvl>
    <w:lvl w:ilvl="5" w:tplc="04090005" w:tentative="1">
      <w:start w:val="1"/>
      <w:numFmt w:val="lowerRoman"/>
      <w:lvlText w:val="%6."/>
      <w:lvlJc w:val="right"/>
      <w:pPr>
        <w:tabs>
          <w:tab w:val="num" w:pos="7008"/>
        </w:tabs>
        <w:ind w:left="7008" w:hanging="180"/>
      </w:pPr>
    </w:lvl>
    <w:lvl w:ilvl="6" w:tplc="04090001" w:tentative="1">
      <w:start w:val="1"/>
      <w:numFmt w:val="decimal"/>
      <w:lvlText w:val="%7."/>
      <w:lvlJc w:val="left"/>
      <w:pPr>
        <w:tabs>
          <w:tab w:val="num" w:pos="7728"/>
        </w:tabs>
        <w:ind w:left="7728" w:hanging="360"/>
      </w:pPr>
    </w:lvl>
    <w:lvl w:ilvl="7" w:tplc="04090003" w:tentative="1">
      <w:start w:val="1"/>
      <w:numFmt w:val="lowerLetter"/>
      <w:lvlText w:val="%8."/>
      <w:lvlJc w:val="left"/>
      <w:pPr>
        <w:tabs>
          <w:tab w:val="num" w:pos="8448"/>
        </w:tabs>
        <w:ind w:left="8448" w:hanging="360"/>
      </w:pPr>
    </w:lvl>
    <w:lvl w:ilvl="8" w:tplc="04090005" w:tentative="1">
      <w:start w:val="1"/>
      <w:numFmt w:val="lowerRoman"/>
      <w:lvlText w:val="%9."/>
      <w:lvlJc w:val="right"/>
      <w:pPr>
        <w:tabs>
          <w:tab w:val="num" w:pos="9168"/>
        </w:tabs>
        <w:ind w:left="9168" w:hanging="180"/>
      </w:pPr>
    </w:lvl>
  </w:abstractNum>
  <w:abstractNum w:abstractNumId="32" w15:restartNumberingAfterBreak="0">
    <w:nsid w:val="561D70DD"/>
    <w:multiLevelType w:val="singleLevel"/>
    <w:tmpl w:val="5F5CC798"/>
    <w:lvl w:ilvl="0">
      <w:start w:val="10"/>
      <w:numFmt w:val="bullet"/>
      <w:lvlText w:val=""/>
      <w:lvlJc w:val="left"/>
      <w:pPr>
        <w:tabs>
          <w:tab w:val="num" w:pos="1440"/>
        </w:tabs>
        <w:ind w:left="1440" w:hanging="720"/>
      </w:pPr>
      <w:rPr>
        <w:rFonts w:ascii="Symbol" w:hAnsi="Symbol" w:hint="default"/>
        <w:sz w:val="18"/>
        <w:szCs w:val="18"/>
      </w:rPr>
    </w:lvl>
  </w:abstractNum>
  <w:abstractNum w:abstractNumId="33" w15:restartNumberingAfterBreak="0">
    <w:nsid w:val="61A94D88"/>
    <w:multiLevelType w:val="hybridMultilevel"/>
    <w:tmpl w:val="4B06A186"/>
    <w:lvl w:ilvl="0" w:tplc="2CC60386">
      <w:start w:val="5"/>
      <w:numFmt w:val="bullet"/>
      <w:lvlText w:val="-"/>
      <w:lvlJc w:val="left"/>
      <w:pPr>
        <w:ind w:left="1440" w:hanging="360"/>
      </w:pPr>
      <w:rPr>
        <w:rFonts w:ascii="Times New Roman" w:eastAsia="SimSun" w:hAnsi="Times New Roman" w:cs="Times New Roman" w:hint="default"/>
      </w:rPr>
    </w:lvl>
    <w:lvl w:ilvl="1" w:tplc="937C7A80" w:tentative="1">
      <w:start w:val="1"/>
      <w:numFmt w:val="bullet"/>
      <w:lvlText w:val="o"/>
      <w:lvlJc w:val="left"/>
      <w:pPr>
        <w:ind w:left="2160" w:hanging="360"/>
      </w:pPr>
      <w:rPr>
        <w:rFonts w:ascii="Courier New" w:hAnsi="Courier New" w:cs="Courier New" w:hint="default"/>
      </w:rPr>
    </w:lvl>
    <w:lvl w:ilvl="2" w:tplc="1C7C07E4" w:tentative="1">
      <w:start w:val="1"/>
      <w:numFmt w:val="bullet"/>
      <w:lvlText w:val=""/>
      <w:lvlJc w:val="left"/>
      <w:pPr>
        <w:ind w:left="2880" w:hanging="360"/>
      </w:pPr>
      <w:rPr>
        <w:rFonts w:ascii="Wingdings" w:hAnsi="Wingdings" w:hint="default"/>
      </w:rPr>
    </w:lvl>
    <w:lvl w:ilvl="3" w:tplc="EE5285CE" w:tentative="1">
      <w:start w:val="1"/>
      <w:numFmt w:val="bullet"/>
      <w:lvlText w:val=""/>
      <w:lvlJc w:val="left"/>
      <w:pPr>
        <w:ind w:left="3600" w:hanging="360"/>
      </w:pPr>
      <w:rPr>
        <w:rFonts w:ascii="Symbol" w:hAnsi="Symbol" w:hint="default"/>
      </w:rPr>
    </w:lvl>
    <w:lvl w:ilvl="4" w:tplc="D6C4BDEE" w:tentative="1">
      <w:start w:val="1"/>
      <w:numFmt w:val="bullet"/>
      <w:lvlText w:val="o"/>
      <w:lvlJc w:val="left"/>
      <w:pPr>
        <w:ind w:left="4320" w:hanging="360"/>
      </w:pPr>
      <w:rPr>
        <w:rFonts w:ascii="Courier New" w:hAnsi="Courier New" w:cs="Courier New" w:hint="default"/>
      </w:rPr>
    </w:lvl>
    <w:lvl w:ilvl="5" w:tplc="F42E2E76" w:tentative="1">
      <w:start w:val="1"/>
      <w:numFmt w:val="bullet"/>
      <w:lvlText w:val=""/>
      <w:lvlJc w:val="left"/>
      <w:pPr>
        <w:ind w:left="5040" w:hanging="360"/>
      </w:pPr>
      <w:rPr>
        <w:rFonts w:ascii="Wingdings" w:hAnsi="Wingdings" w:hint="default"/>
      </w:rPr>
    </w:lvl>
    <w:lvl w:ilvl="6" w:tplc="A9C8036C" w:tentative="1">
      <w:start w:val="1"/>
      <w:numFmt w:val="bullet"/>
      <w:lvlText w:val=""/>
      <w:lvlJc w:val="left"/>
      <w:pPr>
        <w:ind w:left="5760" w:hanging="360"/>
      </w:pPr>
      <w:rPr>
        <w:rFonts w:ascii="Symbol" w:hAnsi="Symbol" w:hint="default"/>
      </w:rPr>
    </w:lvl>
    <w:lvl w:ilvl="7" w:tplc="8510313A" w:tentative="1">
      <w:start w:val="1"/>
      <w:numFmt w:val="bullet"/>
      <w:lvlText w:val="o"/>
      <w:lvlJc w:val="left"/>
      <w:pPr>
        <w:ind w:left="6480" w:hanging="360"/>
      </w:pPr>
      <w:rPr>
        <w:rFonts w:ascii="Courier New" w:hAnsi="Courier New" w:cs="Courier New" w:hint="default"/>
      </w:rPr>
    </w:lvl>
    <w:lvl w:ilvl="8" w:tplc="D2083D52" w:tentative="1">
      <w:start w:val="1"/>
      <w:numFmt w:val="bullet"/>
      <w:lvlText w:val=""/>
      <w:lvlJc w:val="left"/>
      <w:pPr>
        <w:ind w:left="7200" w:hanging="360"/>
      </w:pPr>
      <w:rPr>
        <w:rFonts w:ascii="Wingdings" w:hAnsi="Wingdings" w:hint="default"/>
      </w:rPr>
    </w:lvl>
  </w:abstractNum>
  <w:abstractNum w:abstractNumId="34" w15:restartNumberingAfterBreak="0">
    <w:nsid w:val="686A0193"/>
    <w:multiLevelType w:val="multilevel"/>
    <w:tmpl w:val="FFFFFFFF"/>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35" w15:restartNumberingAfterBreak="0">
    <w:nsid w:val="689452AC"/>
    <w:multiLevelType w:val="hybridMultilevel"/>
    <w:tmpl w:val="BCA0FCFC"/>
    <w:styleLink w:val="Normallist3"/>
    <w:lvl w:ilvl="0" w:tplc="E862BBC0">
      <w:start w:val="1"/>
      <w:numFmt w:val="decimal"/>
      <w:lvlText w:val="%1."/>
      <w:lvlJc w:val="left"/>
      <w:pPr>
        <w:tabs>
          <w:tab w:val="num" w:pos="1875"/>
        </w:tabs>
        <w:ind w:left="1875" w:hanging="615"/>
      </w:pPr>
      <w:rPr>
        <w:rFonts w:hint="default"/>
        <w:lang w:val="en-GB"/>
      </w:rPr>
    </w:lvl>
    <w:lvl w:ilvl="1" w:tplc="3DBCE796" w:tentative="1">
      <w:start w:val="1"/>
      <w:numFmt w:val="lowerLetter"/>
      <w:lvlText w:val="%2."/>
      <w:lvlJc w:val="left"/>
      <w:pPr>
        <w:tabs>
          <w:tab w:val="num" w:pos="2340"/>
        </w:tabs>
        <w:ind w:left="2340" w:hanging="360"/>
      </w:pPr>
    </w:lvl>
    <w:lvl w:ilvl="2" w:tplc="0B30B1EC" w:tentative="1">
      <w:start w:val="1"/>
      <w:numFmt w:val="lowerRoman"/>
      <w:lvlText w:val="%3."/>
      <w:lvlJc w:val="right"/>
      <w:pPr>
        <w:tabs>
          <w:tab w:val="num" w:pos="3060"/>
        </w:tabs>
        <w:ind w:left="3060" w:hanging="180"/>
      </w:pPr>
    </w:lvl>
    <w:lvl w:ilvl="3" w:tplc="57C234CE" w:tentative="1">
      <w:start w:val="1"/>
      <w:numFmt w:val="decimal"/>
      <w:lvlText w:val="%4."/>
      <w:lvlJc w:val="left"/>
      <w:pPr>
        <w:tabs>
          <w:tab w:val="num" w:pos="3780"/>
        </w:tabs>
        <w:ind w:left="3780" w:hanging="360"/>
      </w:pPr>
    </w:lvl>
    <w:lvl w:ilvl="4" w:tplc="23E43C3C" w:tentative="1">
      <w:start w:val="1"/>
      <w:numFmt w:val="lowerLetter"/>
      <w:lvlText w:val="%5."/>
      <w:lvlJc w:val="left"/>
      <w:pPr>
        <w:tabs>
          <w:tab w:val="num" w:pos="4500"/>
        </w:tabs>
        <w:ind w:left="4500" w:hanging="360"/>
      </w:pPr>
    </w:lvl>
    <w:lvl w:ilvl="5" w:tplc="44DAEA8E" w:tentative="1">
      <w:start w:val="1"/>
      <w:numFmt w:val="lowerRoman"/>
      <w:lvlText w:val="%6."/>
      <w:lvlJc w:val="right"/>
      <w:pPr>
        <w:tabs>
          <w:tab w:val="num" w:pos="5220"/>
        </w:tabs>
        <w:ind w:left="5220" w:hanging="180"/>
      </w:pPr>
    </w:lvl>
    <w:lvl w:ilvl="6" w:tplc="EDC8D59E" w:tentative="1">
      <w:start w:val="1"/>
      <w:numFmt w:val="decimal"/>
      <w:lvlText w:val="%7."/>
      <w:lvlJc w:val="left"/>
      <w:pPr>
        <w:tabs>
          <w:tab w:val="num" w:pos="5940"/>
        </w:tabs>
        <w:ind w:left="5940" w:hanging="360"/>
      </w:pPr>
    </w:lvl>
    <w:lvl w:ilvl="7" w:tplc="D0361EB8" w:tentative="1">
      <w:start w:val="1"/>
      <w:numFmt w:val="lowerLetter"/>
      <w:lvlText w:val="%8."/>
      <w:lvlJc w:val="left"/>
      <w:pPr>
        <w:tabs>
          <w:tab w:val="num" w:pos="6660"/>
        </w:tabs>
        <w:ind w:left="6660" w:hanging="360"/>
      </w:pPr>
    </w:lvl>
    <w:lvl w:ilvl="8" w:tplc="E2DA549A" w:tentative="1">
      <w:start w:val="1"/>
      <w:numFmt w:val="lowerRoman"/>
      <w:lvlText w:val="%9."/>
      <w:lvlJc w:val="right"/>
      <w:pPr>
        <w:tabs>
          <w:tab w:val="num" w:pos="7380"/>
        </w:tabs>
        <w:ind w:left="7380" w:hanging="180"/>
      </w:pPr>
    </w:lvl>
  </w:abstractNum>
  <w:abstractNum w:abstractNumId="36" w15:restartNumberingAfterBreak="0">
    <w:nsid w:val="698C7099"/>
    <w:multiLevelType w:val="hybridMultilevel"/>
    <w:tmpl w:val="26421FF8"/>
    <w:lvl w:ilvl="0" w:tplc="FFFFFFFF">
      <w:start w:val="1"/>
      <w:numFmt w:val="decimal"/>
      <w:lvlText w:val="%1."/>
      <w:lvlJc w:val="left"/>
      <w:pPr>
        <w:tabs>
          <w:tab w:val="num" w:pos="578"/>
        </w:tabs>
        <w:ind w:left="578" w:firstLine="0"/>
      </w:pPr>
      <w:rPr>
        <w:rFonts w:ascii="Times New Roman" w:hAnsi="Times New Roman" w:hint="default"/>
        <w:b/>
        <w:i w:val="0"/>
        <w:sz w:val="20"/>
        <w:szCs w:val="2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15:restartNumberingAfterBreak="0">
    <w:nsid w:val="6D117A52"/>
    <w:multiLevelType w:val="hybridMultilevel"/>
    <w:tmpl w:val="00760FD8"/>
    <w:lvl w:ilvl="0" w:tplc="B68EFBA6">
      <w:start w:val="5"/>
      <w:numFmt w:val="bullet"/>
      <w:lvlText w:val="-"/>
      <w:lvlJc w:val="left"/>
      <w:pPr>
        <w:ind w:left="1440" w:hanging="360"/>
      </w:pPr>
      <w:rPr>
        <w:rFonts w:ascii="Times New Roman" w:eastAsia="SimSun" w:hAnsi="Times New Roman" w:cs="Times New Roman" w:hint="default"/>
      </w:rPr>
    </w:lvl>
    <w:lvl w:ilvl="1" w:tplc="0409000F"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38" w15:restartNumberingAfterBreak="0">
    <w:nsid w:val="6FF7321D"/>
    <w:multiLevelType w:val="multilevel"/>
    <w:tmpl w:val="455C47CC"/>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pStyle w:val="Heading4"/>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39" w15:restartNumberingAfterBreak="0">
    <w:nsid w:val="7632398E"/>
    <w:multiLevelType w:val="hybridMultilevel"/>
    <w:tmpl w:val="8E82789A"/>
    <w:lvl w:ilvl="0" w:tplc="3DA439B8">
      <w:start w:val="1"/>
      <w:numFmt w:val="lowerLetter"/>
      <w:lvlText w:val="(%1)"/>
      <w:lvlJc w:val="left"/>
      <w:pPr>
        <w:tabs>
          <w:tab w:val="num" w:pos="1608"/>
        </w:tabs>
        <w:ind w:left="1608" w:hanging="360"/>
      </w:pPr>
      <w:rPr>
        <w:rFonts w:cs="Times New Roman" w:hint="default"/>
      </w:rPr>
    </w:lvl>
    <w:lvl w:ilvl="1" w:tplc="AB903EA8">
      <w:start w:val="1"/>
      <w:numFmt w:val="bullet"/>
      <w:lvlText w:val="o"/>
      <w:lvlJc w:val="left"/>
      <w:pPr>
        <w:tabs>
          <w:tab w:val="num" w:pos="2328"/>
        </w:tabs>
        <w:ind w:left="2328" w:hanging="360"/>
      </w:pPr>
      <w:rPr>
        <w:rFonts w:ascii="Courier New" w:hAnsi="Courier New" w:hint="default"/>
      </w:rPr>
    </w:lvl>
    <w:lvl w:ilvl="2" w:tplc="47C4A546" w:tentative="1">
      <w:start w:val="1"/>
      <w:numFmt w:val="bullet"/>
      <w:lvlText w:val=""/>
      <w:lvlJc w:val="left"/>
      <w:pPr>
        <w:tabs>
          <w:tab w:val="num" w:pos="3048"/>
        </w:tabs>
        <w:ind w:left="3048" w:hanging="360"/>
      </w:pPr>
      <w:rPr>
        <w:rFonts w:ascii="Wingdings" w:hAnsi="Wingdings" w:hint="default"/>
      </w:rPr>
    </w:lvl>
    <w:lvl w:ilvl="3" w:tplc="1428A026" w:tentative="1">
      <w:start w:val="1"/>
      <w:numFmt w:val="bullet"/>
      <w:lvlText w:val=""/>
      <w:lvlJc w:val="left"/>
      <w:pPr>
        <w:tabs>
          <w:tab w:val="num" w:pos="3768"/>
        </w:tabs>
        <w:ind w:left="3768" w:hanging="360"/>
      </w:pPr>
      <w:rPr>
        <w:rFonts w:ascii="Symbol" w:hAnsi="Symbol" w:hint="default"/>
      </w:rPr>
    </w:lvl>
    <w:lvl w:ilvl="4" w:tplc="476AFE72" w:tentative="1">
      <w:start w:val="1"/>
      <w:numFmt w:val="bullet"/>
      <w:lvlText w:val="o"/>
      <w:lvlJc w:val="left"/>
      <w:pPr>
        <w:tabs>
          <w:tab w:val="num" w:pos="4488"/>
        </w:tabs>
        <w:ind w:left="4488" w:hanging="360"/>
      </w:pPr>
      <w:rPr>
        <w:rFonts w:ascii="Courier New" w:hAnsi="Courier New" w:hint="default"/>
      </w:rPr>
    </w:lvl>
    <w:lvl w:ilvl="5" w:tplc="F2CC2F4C" w:tentative="1">
      <w:start w:val="1"/>
      <w:numFmt w:val="bullet"/>
      <w:lvlText w:val=""/>
      <w:lvlJc w:val="left"/>
      <w:pPr>
        <w:tabs>
          <w:tab w:val="num" w:pos="5208"/>
        </w:tabs>
        <w:ind w:left="5208" w:hanging="360"/>
      </w:pPr>
      <w:rPr>
        <w:rFonts w:ascii="Wingdings" w:hAnsi="Wingdings" w:hint="default"/>
      </w:rPr>
    </w:lvl>
    <w:lvl w:ilvl="6" w:tplc="C616ED3A" w:tentative="1">
      <w:start w:val="1"/>
      <w:numFmt w:val="bullet"/>
      <w:lvlText w:val=""/>
      <w:lvlJc w:val="left"/>
      <w:pPr>
        <w:tabs>
          <w:tab w:val="num" w:pos="5928"/>
        </w:tabs>
        <w:ind w:left="5928" w:hanging="360"/>
      </w:pPr>
      <w:rPr>
        <w:rFonts w:ascii="Symbol" w:hAnsi="Symbol" w:hint="default"/>
      </w:rPr>
    </w:lvl>
    <w:lvl w:ilvl="7" w:tplc="8794B5D0" w:tentative="1">
      <w:start w:val="1"/>
      <w:numFmt w:val="bullet"/>
      <w:lvlText w:val="o"/>
      <w:lvlJc w:val="left"/>
      <w:pPr>
        <w:tabs>
          <w:tab w:val="num" w:pos="6648"/>
        </w:tabs>
        <w:ind w:left="6648" w:hanging="360"/>
      </w:pPr>
      <w:rPr>
        <w:rFonts w:ascii="Courier New" w:hAnsi="Courier New" w:hint="default"/>
      </w:rPr>
    </w:lvl>
    <w:lvl w:ilvl="8" w:tplc="614ABEF4" w:tentative="1">
      <w:start w:val="1"/>
      <w:numFmt w:val="bullet"/>
      <w:lvlText w:val=""/>
      <w:lvlJc w:val="left"/>
      <w:pPr>
        <w:tabs>
          <w:tab w:val="num" w:pos="7368"/>
        </w:tabs>
        <w:ind w:left="7368" w:hanging="360"/>
      </w:pPr>
      <w:rPr>
        <w:rFonts w:ascii="Wingdings" w:hAnsi="Wingdings" w:hint="default"/>
      </w:rPr>
    </w:lvl>
  </w:abstractNum>
  <w:abstractNum w:abstractNumId="40" w15:restartNumberingAfterBreak="0">
    <w:nsid w:val="7F861E4D"/>
    <w:multiLevelType w:val="hybridMultilevel"/>
    <w:tmpl w:val="3BB037BE"/>
    <w:lvl w:ilvl="0" w:tplc="FFFFFFFF">
      <w:start w:val="1"/>
      <w:numFmt w:val="decimal"/>
      <w:lvlText w:val="%1."/>
      <w:lvlJc w:val="left"/>
      <w:pPr>
        <w:ind w:left="1608" w:hanging="360"/>
      </w:pPr>
    </w:lvl>
    <w:lvl w:ilvl="1" w:tplc="FFFFFFFF" w:tentative="1">
      <w:start w:val="1"/>
      <w:numFmt w:val="lowerLetter"/>
      <w:lvlText w:val="%2."/>
      <w:lvlJc w:val="left"/>
      <w:pPr>
        <w:ind w:left="2328" w:hanging="360"/>
      </w:pPr>
    </w:lvl>
    <w:lvl w:ilvl="2" w:tplc="FFFFFFFF" w:tentative="1">
      <w:start w:val="1"/>
      <w:numFmt w:val="lowerRoman"/>
      <w:lvlText w:val="%3."/>
      <w:lvlJc w:val="right"/>
      <w:pPr>
        <w:ind w:left="3048" w:hanging="180"/>
      </w:pPr>
    </w:lvl>
    <w:lvl w:ilvl="3" w:tplc="FFFFFFFF" w:tentative="1">
      <w:start w:val="1"/>
      <w:numFmt w:val="decimal"/>
      <w:lvlText w:val="%4."/>
      <w:lvlJc w:val="left"/>
      <w:pPr>
        <w:ind w:left="3768" w:hanging="360"/>
      </w:pPr>
    </w:lvl>
    <w:lvl w:ilvl="4" w:tplc="FFFFFFFF" w:tentative="1">
      <w:start w:val="1"/>
      <w:numFmt w:val="lowerLetter"/>
      <w:lvlText w:val="%5."/>
      <w:lvlJc w:val="left"/>
      <w:pPr>
        <w:ind w:left="4488" w:hanging="360"/>
      </w:pPr>
    </w:lvl>
    <w:lvl w:ilvl="5" w:tplc="FFFFFFFF" w:tentative="1">
      <w:start w:val="1"/>
      <w:numFmt w:val="lowerRoman"/>
      <w:lvlText w:val="%6."/>
      <w:lvlJc w:val="right"/>
      <w:pPr>
        <w:ind w:left="5208" w:hanging="180"/>
      </w:pPr>
    </w:lvl>
    <w:lvl w:ilvl="6" w:tplc="FFFFFFFF" w:tentative="1">
      <w:start w:val="1"/>
      <w:numFmt w:val="decimal"/>
      <w:lvlText w:val="%7."/>
      <w:lvlJc w:val="left"/>
      <w:pPr>
        <w:ind w:left="5928" w:hanging="360"/>
      </w:pPr>
    </w:lvl>
    <w:lvl w:ilvl="7" w:tplc="FFFFFFFF" w:tentative="1">
      <w:start w:val="1"/>
      <w:numFmt w:val="lowerLetter"/>
      <w:lvlText w:val="%8."/>
      <w:lvlJc w:val="left"/>
      <w:pPr>
        <w:ind w:left="6648" w:hanging="360"/>
      </w:pPr>
    </w:lvl>
    <w:lvl w:ilvl="8" w:tplc="FFFFFFFF" w:tentative="1">
      <w:start w:val="1"/>
      <w:numFmt w:val="lowerRoman"/>
      <w:lvlText w:val="%9."/>
      <w:lvlJc w:val="right"/>
      <w:pPr>
        <w:ind w:left="7368" w:hanging="180"/>
      </w:pPr>
    </w:lvl>
  </w:abstractNum>
  <w:num w:numId="1" w16cid:durableId="229704689">
    <w:abstractNumId w:val="17"/>
  </w:num>
  <w:num w:numId="2" w16cid:durableId="1938322466">
    <w:abstractNumId w:val="23"/>
  </w:num>
  <w:num w:numId="3" w16cid:durableId="19286451">
    <w:abstractNumId w:val="30"/>
  </w:num>
  <w:num w:numId="4" w16cid:durableId="1180970001">
    <w:abstractNumId w:val="30"/>
    <w:lvlOverride w:ilvl="0">
      <w:lvl w:ilvl="0">
        <w:start w:val="1"/>
        <w:numFmt w:val="decimal"/>
        <w:pStyle w:val="Normalnumber"/>
        <w:lvlText w:val="%1."/>
        <w:lvlJc w:val="left"/>
        <w:pPr>
          <w:tabs>
            <w:tab w:val="num" w:pos="1134"/>
          </w:tabs>
          <w:ind w:left="1247" w:firstLine="0"/>
        </w:pPr>
        <w:rPr>
          <w:rFonts w:hint="default"/>
        </w:rPr>
      </w:lvl>
    </w:lvlOverride>
    <w:lvlOverride w:ilvl="1">
      <w:lvl w:ilvl="1">
        <w:start w:val="1"/>
        <w:numFmt w:val="lowerLetter"/>
        <w:lvlText w:val="(%2)"/>
        <w:lvlJc w:val="left"/>
        <w:pPr>
          <w:tabs>
            <w:tab w:val="num" w:pos="1134"/>
          </w:tabs>
          <w:ind w:left="1247" w:firstLine="567"/>
        </w:pPr>
        <w:rPr>
          <w:rFonts w:hint="default"/>
        </w:rPr>
      </w:lvl>
    </w:lvlOverride>
  </w:num>
  <w:num w:numId="5" w16cid:durableId="1963608394">
    <w:abstractNumId w:val="31"/>
  </w:num>
  <w:num w:numId="6" w16cid:durableId="1136336204">
    <w:abstractNumId w:val="25"/>
  </w:num>
  <w:num w:numId="7" w16cid:durableId="2122257277">
    <w:abstractNumId w:val="35"/>
  </w:num>
  <w:num w:numId="8" w16cid:durableId="501555559">
    <w:abstractNumId w:val="28"/>
  </w:num>
  <w:num w:numId="9" w16cid:durableId="1382749501">
    <w:abstractNumId w:val="38"/>
  </w:num>
  <w:num w:numId="10" w16cid:durableId="1347173690">
    <w:abstractNumId w:val="21"/>
  </w:num>
  <w:num w:numId="11" w16cid:durableId="1554536862">
    <w:abstractNumId w:val="11"/>
  </w:num>
  <w:num w:numId="12" w16cid:durableId="392387966">
    <w:abstractNumId w:val="16"/>
  </w:num>
  <w:num w:numId="13" w16cid:durableId="1571378168">
    <w:abstractNumId w:val="10"/>
  </w:num>
  <w:num w:numId="14" w16cid:durableId="144663393">
    <w:abstractNumId w:val="8"/>
  </w:num>
  <w:num w:numId="15" w16cid:durableId="1953709252">
    <w:abstractNumId w:val="7"/>
  </w:num>
  <w:num w:numId="16" w16cid:durableId="1257052458">
    <w:abstractNumId w:val="6"/>
  </w:num>
  <w:num w:numId="17" w16cid:durableId="460462683">
    <w:abstractNumId w:val="5"/>
  </w:num>
  <w:num w:numId="18" w16cid:durableId="433521070">
    <w:abstractNumId w:val="9"/>
  </w:num>
  <w:num w:numId="19" w16cid:durableId="689186837">
    <w:abstractNumId w:val="4"/>
  </w:num>
  <w:num w:numId="20" w16cid:durableId="276371199">
    <w:abstractNumId w:val="3"/>
  </w:num>
  <w:num w:numId="21" w16cid:durableId="278463068">
    <w:abstractNumId w:val="2"/>
  </w:num>
  <w:num w:numId="22" w16cid:durableId="1665888986">
    <w:abstractNumId w:val="1"/>
  </w:num>
  <w:num w:numId="23" w16cid:durableId="1196383232">
    <w:abstractNumId w:val="36"/>
  </w:num>
  <w:num w:numId="24" w16cid:durableId="967469900">
    <w:abstractNumId w:val="32"/>
  </w:num>
  <w:num w:numId="25" w16cid:durableId="395512048">
    <w:abstractNumId w:val="40"/>
  </w:num>
  <w:num w:numId="26" w16cid:durableId="137962275">
    <w:abstractNumId w:val="18"/>
  </w:num>
  <w:num w:numId="27" w16cid:durableId="1061710499">
    <w:abstractNumId w:val="27"/>
  </w:num>
  <w:num w:numId="28" w16cid:durableId="1000158794">
    <w:abstractNumId w:val="12"/>
  </w:num>
  <w:num w:numId="29" w16cid:durableId="1704748690">
    <w:abstractNumId w:val="33"/>
  </w:num>
  <w:num w:numId="30" w16cid:durableId="1029797172">
    <w:abstractNumId w:val="37"/>
  </w:num>
  <w:num w:numId="31" w16cid:durableId="302656639">
    <w:abstractNumId w:val="29"/>
  </w:num>
  <w:num w:numId="32" w16cid:durableId="993025169">
    <w:abstractNumId w:val="26"/>
  </w:num>
  <w:num w:numId="33" w16cid:durableId="1949005877">
    <w:abstractNumId w:val="20"/>
  </w:num>
  <w:num w:numId="34" w16cid:durableId="1569145111">
    <w:abstractNumId w:val="14"/>
  </w:num>
  <w:num w:numId="35" w16cid:durableId="1662663079">
    <w:abstractNumId w:val="22"/>
  </w:num>
  <w:num w:numId="36" w16cid:durableId="57367873">
    <w:abstractNumId w:val="19"/>
  </w:num>
  <w:num w:numId="37" w16cid:durableId="1130319398">
    <w:abstractNumId w:val="0"/>
  </w:num>
  <w:num w:numId="38" w16cid:durableId="403839547">
    <w:abstractNumId w:val="15"/>
    <w:lvlOverride w:ilvl="0">
      <w:lvl w:ilvl="0">
        <w:start w:val="1"/>
        <w:numFmt w:val="decimal"/>
        <w:lvlText w:val="%1."/>
        <w:lvlJc w:val="left"/>
        <w:pPr>
          <w:tabs>
            <w:tab w:val="num" w:pos="567"/>
          </w:tabs>
          <w:ind w:left="1247" w:firstLine="0"/>
        </w:pPr>
        <w:rPr>
          <w:rFonts w:hint="default"/>
        </w:rPr>
      </w:lvl>
    </w:lvlOverride>
  </w:num>
  <w:num w:numId="39" w16cid:durableId="1577124793">
    <w:abstractNumId w:val="15"/>
    <w:lvlOverride w:ilvl="0">
      <w:lvl w:ilvl="0">
        <w:start w:val="1"/>
        <w:numFmt w:val="decimal"/>
        <w:lvlText w:val="%1."/>
        <w:lvlJc w:val="left"/>
        <w:pPr>
          <w:tabs>
            <w:tab w:val="num" w:pos="567"/>
          </w:tabs>
          <w:ind w:left="1247" w:firstLine="0"/>
        </w:pPr>
        <w:rPr>
          <w:rFonts w:hint="default"/>
        </w:rPr>
      </w:lvl>
    </w:lvlOverride>
  </w:num>
  <w:num w:numId="40" w16cid:durableId="681012370">
    <w:abstractNumId w:val="34"/>
  </w:num>
  <w:num w:numId="41" w16cid:durableId="2049602290">
    <w:abstractNumId w:val="24"/>
  </w:num>
  <w:num w:numId="42" w16cid:durableId="292636633">
    <w:abstractNumId w:val="13"/>
  </w:num>
  <w:num w:numId="43" w16cid:durableId="445320387">
    <w:abstractNumId w:val="3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0" w:nlCheck="1" w:checkStyle="1"/>
  <w:activeWritingStyle w:appName="MSWord" w:lang="en-US" w:vendorID="64" w:dllVersion="0" w:nlCheck="1" w:checkStyle="0"/>
  <w:activeWritingStyle w:appName="MSWord" w:lang="en-GB" w:vendorID="64" w:dllVersion="0" w:nlCheck="1" w:checkStyle="1"/>
  <w:activeWritingStyle w:appName="MSWord" w:lang="es-ES" w:vendorID="64" w:dllVersion="0" w:nlCheck="1" w:checkStyle="1"/>
  <w:activeWritingStyle w:appName="MSWord" w:lang="fr-CH"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s-ES_tradnl" w:vendorID="64" w:dllVersion="0" w:nlCheck="1" w:checkStyle="0"/>
  <w:activeWritingStyle w:appName="MSWord" w:lang="fr-FR" w:vendorID="64" w:dllVersion="4096" w:nlCheck="1" w:checkStyle="0"/>
  <w:activeWritingStyle w:appName="MSWord" w:lang="de-DE" w:vendorID="64" w:dllVersion="4096" w:nlCheck="1" w:checkStyle="0"/>
  <w:activeWritingStyle w:appName="MSWord" w:lang="fr-CH" w:vendorID="64" w:dllVersion="4096" w:nlCheck="1" w:checkStyle="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de-DE" w:vendorID="64" w:dllVersion="0" w:nlCheck="1" w:checkStyle="0"/>
  <w:activeWritingStyle w:appName="MSWord" w:lang="es-ES" w:vendorID="64" w:dllVersion="4096" w:nlCheck="1" w:checkStyle="0"/>
  <w:activeWritingStyle w:appName="MSWord" w:lang="es-AR" w:vendorID="64" w:dllVersion="0"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E66"/>
    <w:rsid w:val="00000F65"/>
    <w:rsid w:val="00011317"/>
    <w:rsid w:val="00011376"/>
    <w:rsid w:val="0001156E"/>
    <w:rsid w:val="00012608"/>
    <w:rsid w:val="0001286C"/>
    <w:rsid w:val="000149E6"/>
    <w:rsid w:val="000247B0"/>
    <w:rsid w:val="000258A3"/>
    <w:rsid w:val="00026997"/>
    <w:rsid w:val="00033E0B"/>
    <w:rsid w:val="00035EDE"/>
    <w:rsid w:val="00037560"/>
    <w:rsid w:val="00040DD2"/>
    <w:rsid w:val="0004459A"/>
    <w:rsid w:val="00045071"/>
    <w:rsid w:val="000509B4"/>
    <w:rsid w:val="00054A58"/>
    <w:rsid w:val="00057CEE"/>
    <w:rsid w:val="0006035B"/>
    <w:rsid w:val="000622E7"/>
    <w:rsid w:val="00065E2D"/>
    <w:rsid w:val="000710BB"/>
    <w:rsid w:val="00071886"/>
    <w:rsid w:val="000729B4"/>
    <w:rsid w:val="000742BC"/>
    <w:rsid w:val="00075D19"/>
    <w:rsid w:val="000779DA"/>
    <w:rsid w:val="00082A0C"/>
    <w:rsid w:val="00083504"/>
    <w:rsid w:val="00092249"/>
    <w:rsid w:val="00093688"/>
    <w:rsid w:val="00095746"/>
    <w:rsid w:val="0009640C"/>
    <w:rsid w:val="000A48E5"/>
    <w:rsid w:val="000B22A2"/>
    <w:rsid w:val="000B5350"/>
    <w:rsid w:val="000C19C9"/>
    <w:rsid w:val="000C2A52"/>
    <w:rsid w:val="000C34C0"/>
    <w:rsid w:val="000D167C"/>
    <w:rsid w:val="000D33C0"/>
    <w:rsid w:val="000D3553"/>
    <w:rsid w:val="000D6941"/>
    <w:rsid w:val="000D711F"/>
    <w:rsid w:val="000E0207"/>
    <w:rsid w:val="0010049C"/>
    <w:rsid w:val="00101B1B"/>
    <w:rsid w:val="00113ABA"/>
    <w:rsid w:val="00114789"/>
    <w:rsid w:val="00116113"/>
    <w:rsid w:val="001202E3"/>
    <w:rsid w:val="00123699"/>
    <w:rsid w:val="00125721"/>
    <w:rsid w:val="00126DD7"/>
    <w:rsid w:val="0013059D"/>
    <w:rsid w:val="001328DA"/>
    <w:rsid w:val="00141A55"/>
    <w:rsid w:val="00142EBA"/>
    <w:rsid w:val="001446A3"/>
    <w:rsid w:val="00144762"/>
    <w:rsid w:val="0014775E"/>
    <w:rsid w:val="00155395"/>
    <w:rsid w:val="00156A74"/>
    <w:rsid w:val="00160D74"/>
    <w:rsid w:val="00167D02"/>
    <w:rsid w:val="0017593D"/>
    <w:rsid w:val="00181EC8"/>
    <w:rsid w:val="00184349"/>
    <w:rsid w:val="00184E0B"/>
    <w:rsid w:val="00195F33"/>
    <w:rsid w:val="00197578"/>
    <w:rsid w:val="001B0FC9"/>
    <w:rsid w:val="001B1617"/>
    <w:rsid w:val="001B504B"/>
    <w:rsid w:val="001D3874"/>
    <w:rsid w:val="001D63E2"/>
    <w:rsid w:val="001D7E75"/>
    <w:rsid w:val="001E01DE"/>
    <w:rsid w:val="001E1A27"/>
    <w:rsid w:val="001E20CC"/>
    <w:rsid w:val="001E32CA"/>
    <w:rsid w:val="001E56D2"/>
    <w:rsid w:val="001E7D56"/>
    <w:rsid w:val="001F3D97"/>
    <w:rsid w:val="001F427C"/>
    <w:rsid w:val="001F75DE"/>
    <w:rsid w:val="00200D58"/>
    <w:rsid w:val="002013BE"/>
    <w:rsid w:val="00204D4C"/>
    <w:rsid w:val="002063A4"/>
    <w:rsid w:val="0021145B"/>
    <w:rsid w:val="00220BC1"/>
    <w:rsid w:val="0022628D"/>
    <w:rsid w:val="00230ACC"/>
    <w:rsid w:val="00233354"/>
    <w:rsid w:val="0023385C"/>
    <w:rsid w:val="0024204A"/>
    <w:rsid w:val="00243D36"/>
    <w:rsid w:val="00246EF5"/>
    <w:rsid w:val="00247707"/>
    <w:rsid w:val="00247B60"/>
    <w:rsid w:val="002534B2"/>
    <w:rsid w:val="0026018E"/>
    <w:rsid w:val="002609BD"/>
    <w:rsid w:val="00260D0C"/>
    <w:rsid w:val="00263F70"/>
    <w:rsid w:val="00265DF8"/>
    <w:rsid w:val="00276414"/>
    <w:rsid w:val="00285C19"/>
    <w:rsid w:val="00285C23"/>
    <w:rsid w:val="00286740"/>
    <w:rsid w:val="0028763D"/>
    <w:rsid w:val="002927E6"/>
    <w:rsid w:val="002929D8"/>
    <w:rsid w:val="00293C4B"/>
    <w:rsid w:val="002A237D"/>
    <w:rsid w:val="002A4C53"/>
    <w:rsid w:val="002B0672"/>
    <w:rsid w:val="002B247F"/>
    <w:rsid w:val="002C145D"/>
    <w:rsid w:val="002C1B42"/>
    <w:rsid w:val="002C2C3E"/>
    <w:rsid w:val="002C533E"/>
    <w:rsid w:val="002C6478"/>
    <w:rsid w:val="002D027F"/>
    <w:rsid w:val="002D7A85"/>
    <w:rsid w:val="002D7B60"/>
    <w:rsid w:val="002E4A37"/>
    <w:rsid w:val="002E7AA8"/>
    <w:rsid w:val="002F17D5"/>
    <w:rsid w:val="002F4761"/>
    <w:rsid w:val="002F5C79"/>
    <w:rsid w:val="00301739"/>
    <w:rsid w:val="003019E2"/>
    <w:rsid w:val="00305A94"/>
    <w:rsid w:val="0031413F"/>
    <w:rsid w:val="003148BB"/>
    <w:rsid w:val="00315D4A"/>
    <w:rsid w:val="00317976"/>
    <w:rsid w:val="00331A38"/>
    <w:rsid w:val="00341404"/>
    <w:rsid w:val="00341B76"/>
    <w:rsid w:val="00344798"/>
    <w:rsid w:val="003458A0"/>
    <w:rsid w:val="003515D9"/>
    <w:rsid w:val="00355EA9"/>
    <w:rsid w:val="003578DE"/>
    <w:rsid w:val="00363C8F"/>
    <w:rsid w:val="00363D96"/>
    <w:rsid w:val="00365BD8"/>
    <w:rsid w:val="00366A34"/>
    <w:rsid w:val="00371A03"/>
    <w:rsid w:val="003811CB"/>
    <w:rsid w:val="0038710D"/>
    <w:rsid w:val="00392C55"/>
    <w:rsid w:val="00396257"/>
    <w:rsid w:val="00397EB8"/>
    <w:rsid w:val="003A0366"/>
    <w:rsid w:val="003A3BAB"/>
    <w:rsid w:val="003A4FD0"/>
    <w:rsid w:val="003A5C8C"/>
    <w:rsid w:val="003A69D1"/>
    <w:rsid w:val="003A7705"/>
    <w:rsid w:val="003A77F1"/>
    <w:rsid w:val="003B1545"/>
    <w:rsid w:val="003B353B"/>
    <w:rsid w:val="003B6F35"/>
    <w:rsid w:val="003C05F1"/>
    <w:rsid w:val="003C35E3"/>
    <w:rsid w:val="003C409D"/>
    <w:rsid w:val="003C5BA6"/>
    <w:rsid w:val="003C6C85"/>
    <w:rsid w:val="003D3D89"/>
    <w:rsid w:val="003F0E85"/>
    <w:rsid w:val="003F3C32"/>
    <w:rsid w:val="003F7745"/>
    <w:rsid w:val="00410C55"/>
    <w:rsid w:val="00412512"/>
    <w:rsid w:val="00413232"/>
    <w:rsid w:val="004141BF"/>
    <w:rsid w:val="00416854"/>
    <w:rsid w:val="00417725"/>
    <w:rsid w:val="00427277"/>
    <w:rsid w:val="00435002"/>
    <w:rsid w:val="00437F26"/>
    <w:rsid w:val="00444097"/>
    <w:rsid w:val="00445487"/>
    <w:rsid w:val="00454769"/>
    <w:rsid w:val="0045777A"/>
    <w:rsid w:val="00463EC9"/>
    <w:rsid w:val="0046459D"/>
    <w:rsid w:val="00466991"/>
    <w:rsid w:val="0047064C"/>
    <w:rsid w:val="00470B06"/>
    <w:rsid w:val="00471AAF"/>
    <w:rsid w:val="00485AD6"/>
    <w:rsid w:val="004926B3"/>
    <w:rsid w:val="004A0C2F"/>
    <w:rsid w:val="004A42E1"/>
    <w:rsid w:val="004B162C"/>
    <w:rsid w:val="004B1E9F"/>
    <w:rsid w:val="004C07C2"/>
    <w:rsid w:val="004C0E49"/>
    <w:rsid w:val="004C2628"/>
    <w:rsid w:val="004C3DBE"/>
    <w:rsid w:val="004C5C96"/>
    <w:rsid w:val="004D06A4"/>
    <w:rsid w:val="004D5187"/>
    <w:rsid w:val="004D53B7"/>
    <w:rsid w:val="004D5FE2"/>
    <w:rsid w:val="004D7DC3"/>
    <w:rsid w:val="004E1B6D"/>
    <w:rsid w:val="004E5D23"/>
    <w:rsid w:val="004F1A81"/>
    <w:rsid w:val="004F23DE"/>
    <w:rsid w:val="004F4F09"/>
    <w:rsid w:val="00501320"/>
    <w:rsid w:val="005218D9"/>
    <w:rsid w:val="00530353"/>
    <w:rsid w:val="0053344E"/>
    <w:rsid w:val="00536186"/>
    <w:rsid w:val="005374D4"/>
    <w:rsid w:val="00544CBB"/>
    <w:rsid w:val="00546DE3"/>
    <w:rsid w:val="00551E15"/>
    <w:rsid w:val="0055459E"/>
    <w:rsid w:val="00560284"/>
    <w:rsid w:val="005634EB"/>
    <w:rsid w:val="0057315F"/>
    <w:rsid w:val="00576104"/>
    <w:rsid w:val="0058631F"/>
    <w:rsid w:val="00595271"/>
    <w:rsid w:val="0059601B"/>
    <w:rsid w:val="005B5BF6"/>
    <w:rsid w:val="005C67C8"/>
    <w:rsid w:val="005C6CB4"/>
    <w:rsid w:val="005D0249"/>
    <w:rsid w:val="005D6E8C"/>
    <w:rsid w:val="005D7D88"/>
    <w:rsid w:val="005E00E1"/>
    <w:rsid w:val="005E2889"/>
    <w:rsid w:val="005F100C"/>
    <w:rsid w:val="005F15E0"/>
    <w:rsid w:val="005F1837"/>
    <w:rsid w:val="005F197C"/>
    <w:rsid w:val="005F68DA"/>
    <w:rsid w:val="0060773B"/>
    <w:rsid w:val="006157B5"/>
    <w:rsid w:val="0062059B"/>
    <w:rsid w:val="00626FC6"/>
    <w:rsid w:val="006303B4"/>
    <w:rsid w:val="006323F9"/>
    <w:rsid w:val="00633D3D"/>
    <w:rsid w:val="006371A6"/>
    <w:rsid w:val="00641703"/>
    <w:rsid w:val="006431A6"/>
    <w:rsid w:val="006459F6"/>
    <w:rsid w:val="006501AD"/>
    <w:rsid w:val="00651BFA"/>
    <w:rsid w:val="00654475"/>
    <w:rsid w:val="00654881"/>
    <w:rsid w:val="00663EF5"/>
    <w:rsid w:val="00664620"/>
    <w:rsid w:val="00665A4B"/>
    <w:rsid w:val="0067139A"/>
    <w:rsid w:val="00683124"/>
    <w:rsid w:val="006876D9"/>
    <w:rsid w:val="00691977"/>
    <w:rsid w:val="00691B2B"/>
    <w:rsid w:val="00692124"/>
    <w:rsid w:val="00692E2A"/>
    <w:rsid w:val="00693BF1"/>
    <w:rsid w:val="006A64BF"/>
    <w:rsid w:val="006A76F2"/>
    <w:rsid w:val="006B0778"/>
    <w:rsid w:val="006B2EE0"/>
    <w:rsid w:val="006B7F71"/>
    <w:rsid w:val="006C2EB7"/>
    <w:rsid w:val="006C3CF2"/>
    <w:rsid w:val="006D0DDD"/>
    <w:rsid w:val="006D7EFB"/>
    <w:rsid w:val="006E0E0C"/>
    <w:rsid w:val="006E6672"/>
    <w:rsid w:val="006E6722"/>
    <w:rsid w:val="006E6DF0"/>
    <w:rsid w:val="006E7845"/>
    <w:rsid w:val="006E7A5F"/>
    <w:rsid w:val="006F77FB"/>
    <w:rsid w:val="007027B9"/>
    <w:rsid w:val="0071394A"/>
    <w:rsid w:val="00715E88"/>
    <w:rsid w:val="007164F6"/>
    <w:rsid w:val="00734CAA"/>
    <w:rsid w:val="0075533C"/>
    <w:rsid w:val="00755CC5"/>
    <w:rsid w:val="00757581"/>
    <w:rsid w:val="007611A0"/>
    <w:rsid w:val="00761AB2"/>
    <w:rsid w:val="00765020"/>
    <w:rsid w:val="00771A8A"/>
    <w:rsid w:val="00772E66"/>
    <w:rsid w:val="00773EC7"/>
    <w:rsid w:val="00796D3F"/>
    <w:rsid w:val="007A1683"/>
    <w:rsid w:val="007A3E34"/>
    <w:rsid w:val="007A5403"/>
    <w:rsid w:val="007A5C12"/>
    <w:rsid w:val="007A7CB0"/>
    <w:rsid w:val="007B50CD"/>
    <w:rsid w:val="007B68A3"/>
    <w:rsid w:val="007C0246"/>
    <w:rsid w:val="007C123B"/>
    <w:rsid w:val="007C2541"/>
    <w:rsid w:val="007C5C6A"/>
    <w:rsid w:val="007D248A"/>
    <w:rsid w:val="007D2E3D"/>
    <w:rsid w:val="007D66A8"/>
    <w:rsid w:val="007D7722"/>
    <w:rsid w:val="007E003F"/>
    <w:rsid w:val="007E27A1"/>
    <w:rsid w:val="007E6681"/>
    <w:rsid w:val="007E6EEC"/>
    <w:rsid w:val="007F057F"/>
    <w:rsid w:val="008040F6"/>
    <w:rsid w:val="0080434F"/>
    <w:rsid w:val="00805D6B"/>
    <w:rsid w:val="00807301"/>
    <w:rsid w:val="008164F2"/>
    <w:rsid w:val="00821395"/>
    <w:rsid w:val="00830E26"/>
    <w:rsid w:val="0083545D"/>
    <w:rsid w:val="00836E90"/>
    <w:rsid w:val="00843576"/>
    <w:rsid w:val="00843B64"/>
    <w:rsid w:val="008478FC"/>
    <w:rsid w:val="00864712"/>
    <w:rsid w:val="00867BFF"/>
    <w:rsid w:val="0087174E"/>
    <w:rsid w:val="0088480A"/>
    <w:rsid w:val="0088757A"/>
    <w:rsid w:val="00891187"/>
    <w:rsid w:val="008957DD"/>
    <w:rsid w:val="00897858"/>
    <w:rsid w:val="00897D98"/>
    <w:rsid w:val="008A1FE0"/>
    <w:rsid w:val="008A5EED"/>
    <w:rsid w:val="008A6DF2"/>
    <w:rsid w:val="008A7807"/>
    <w:rsid w:val="008B07DF"/>
    <w:rsid w:val="008B1093"/>
    <w:rsid w:val="008B4CC9"/>
    <w:rsid w:val="008C1A96"/>
    <w:rsid w:val="008C2D3B"/>
    <w:rsid w:val="008C3704"/>
    <w:rsid w:val="008D68EB"/>
    <w:rsid w:val="008D7C99"/>
    <w:rsid w:val="008E0FCB"/>
    <w:rsid w:val="008E7BEF"/>
    <w:rsid w:val="00901C24"/>
    <w:rsid w:val="009141E0"/>
    <w:rsid w:val="00920705"/>
    <w:rsid w:val="0092178C"/>
    <w:rsid w:val="009227B4"/>
    <w:rsid w:val="00930B88"/>
    <w:rsid w:val="00940DCC"/>
    <w:rsid w:val="0094179A"/>
    <w:rsid w:val="0094459E"/>
    <w:rsid w:val="00944DBC"/>
    <w:rsid w:val="0094550C"/>
    <w:rsid w:val="00950977"/>
    <w:rsid w:val="00951A7B"/>
    <w:rsid w:val="00953676"/>
    <w:rsid w:val="009541B4"/>
    <w:rsid w:val="009564A6"/>
    <w:rsid w:val="0096218F"/>
    <w:rsid w:val="009621FC"/>
    <w:rsid w:val="00963B1A"/>
    <w:rsid w:val="00965191"/>
    <w:rsid w:val="00967000"/>
    <w:rsid w:val="00967621"/>
    <w:rsid w:val="00967E6A"/>
    <w:rsid w:val="0097495C"/>
    <w:rsid w:val="00976043"/>
    <w:rsid w:val="0098493C"/>
    <w:rsid w:val="00985EC8"/>
    <w:rsid w:val="00992CEF"/>
    <w:rsid w:val="0099769F"/>
    <w:rsid w:val="009A5D91"/>
    <w:rsid w:val="009B4A0F"/>
    <w:rsid w:val="009B61A8"/>
    <w:rsid w:val="009C005E"/>
    <w:rsid w:val="009C11D2"/>
    <w:rsid w:val="009C2AEA"/>
    <w:rsid w:val="009C6C70"/>
    <w:rsid w:val="009C7457"/>
    <w:rsid w:val="009D0B63"/>
    <w:rsid w:val="009D33B9"/>
    <w:rsid w:val="009D69EF"/>
    <w:rsid w:val="009E307E"/>
    <w:rsid w:val="009F773B"/>
    <w:rsid w:val="009F7C5E"/>
    <w:rsid w:val="00A005AE"/>
    <w:rsid w:val="00A006A8"/>
    <w:rsid w:val="00A02806"/>
    <w:rsid w:val="00A05B77"/>
    <w:rsid w:val="00A07870"/>
    <w:rsid w:val="00A07F19"/>
    <w:rsid w:val="00A13370"/>
    <w:rsid w:val="00A1348D"/>
    <w:rsid w:val="00A232EE"/>
    <w:rsid w:val="00A238A2"/>
    <w:rsid w:val="00A3226E"/>
    <w:rsid w:val="00A4175F"/>
    <w:rsid w:val="00A43944"/>
    <w:rsid w:val="00A44411"/>
    <w:rsid w:val="00A469FA"/>
    <w:rsid w:val="00A540DD"/>
    <w:rsid w:val="00A55B01"/>
    <w:rsid w:val="00A56B5B"/>
    <w:rsid w:val="00A603FF"/>
    <w:rsid w:val="00A605EB"/>
    <w:rsid w:val="00A63897"/>
    <w:rsid w:val="00A6486C"/>
    <w:rsid w:val="00A657DD"/>
    <w:rsid w:val="00A66189"/>
    <w:rsid w:val="00A666A6"/>
    <w:rsid w:val="00A675FD"/>
    <w:rsid w:val="00A72437"/>
    <w:rsid w:val="00A80611"/>
    <w:rsid w:val="00A85B2D"/>
    <w:rsid w:val="00A9624D"/>
    <w:rsid w:val="00AA578C"/>
    <w:rsid w:val="00AB445B"/>
    <w:rsid w:val="00AB5340"/>
    <w:rsid w:val="00AB698A"/>
    <w:rsid w:val="00AB6ECF"/>
    <w:rsid w:val="00AC0A89"/>
    <w:rsid w:val="00AC7C96"/>
    <w:rsid w:val="00AD06C5"/>
    <w:rsid w:val="00AE237D"/>
    <w:rsid w:val="00AE502A"/>
    <w:rsid w:val="00AF104B"/>
    <w:rsid w:val="00AF7A26"/>
    <w:rsid w:val="00AF7C07"/>
    <w:rsid w:val="00B04DDA"/>
    <w:rsid w:val="00B16CD6"/>
    <w:rsid w:val="00B22C93"/>
    <w:rsid w:val="00B27589"/>
    <w:rsid w:val="00B32170"/>
    <w:rsid w:val="00B324BC"/>
    <w:rsid w:val="00B36969"/>
    <w:rsid w:val="00B405B7"/>
    <w:rsid w:val="00B45BFB"/>
    <w:rsid w:val="00B50CEA"/>
    <w:rsid w:val="00B52222"/>
    <w:rsid w:val="00B5276F"/>
    <w:rsid w:val="00B54FE7"/>
    <w:rsid w:val="00B66901"/>
    <w:rsid w:val="00B6745B"/>
    <w:rsid w:val="00B70243"/>
    <w:rsid w:val="00B71E6D"/>
    <w:rsid w:val="00B72070"/>
    <w:rsid w:val="00B7361F"/>
    <w:rsid w:val="00B774BD"/>
    <w:rsid w:val="00B779E1"/>
    <w:rsid w:val="00B83A32"/>
    <w:rsid w:val="00B91EE1"/>
    <w:rsid w:val="00B92FD5"/>
    <w:rsid w:val="00BA0090"/>
    <w:rsid w:val="00BA1A67"/>
    <w:rsid w:val="00BA1E5E"/>
    <w:rsid w:val="00BA4785"/>
    <w:rsid w:val="00BB6E5A"/>
    <w:rsid w:val="00BC58EC"/>
    <w:rsid w:val="00BD1835"/>
    <w:rsid w:val="00BD445B"/>
    <w:rsid w:val="00BD449D"/>
    <w:rsid w:val="00BE3A2D"/>
    <w:rsid w:val="00BE518F"/>
    <w:rsid w:val="00BE5B5F"/>
    <w:rsid w:val="00BE691B"/>
    <w:rsid w:val="00BF21BC"/>
    <w:rsid w:val="00C03875"/>
    <w:rsid w:val="00C1591A"/>
    <w:rsid w:val="00C1719D"/>
    <w:rsid w:val="00C26F55"/>
    <w:rsid w:val="00C30C63"/>
    <w:rsid w:val="00C32474"/>
    <w:rsid w:val="00C36B8B"/>
    <w:rsid w:val="00C415C1"/>
    <w:rsid w:val="00C45E19"/>
    <w:rsid w:val="00C47DBF"/>
    <w:rsid w:val="00C546E8"/>
    <w:rsid w:val="00C552FF"/>
    <w:rsid w:val="00C558DA"/>
    <w:rsid w:val="00C55AF3"/>
    <w:rsid w:val="00C61CF3"/>
    <w:rsid w:val="00C70B20"/>
    <w:rsid w:val="00C71044"/>
    <w:rsid w:val="00C84759"/>
    <w:rsid w:val="00C85F88"/>
    <w:rsid w:val="00CA6C7F"/>
    <w:rsid w:val="00CB41A9"/>
    <w:rsid w:val="00CC10A6"/>
    <w:rsid w:val="00CC44AA"/>
    <w:rsid w:val="00CD0325"/>
    <w:rsid w:val="00CD1B39"/>
    <w:rsid w:val="00CD27DC"/>
    <w:rsid w:val="00CD48F8"/>
    <w:rsid w:val="00CD55AD"/>
    <w:rsid w:val="00CD5EB8"/>
    <w:rsid w:val="00CD7044"/>
    <w:rsid w:val="00CE08B9"/>
    <w:rsid w:val="00CE524C"/>
    <w:rsid w:val="00CF141F"/>
    <w:rsid w:val="00CF1625"/>
    <w:rsid w:val="00CF4777"/>
    <w:rsid w:val="00D044B5"/>
    <w:rsid w:val="00D04E3E"/>
    <w:rsid w:val="00D05A8B"/>
    <w:rsid w:val="00D067BB"/>
    <w:rsid w:val="00D07D37"/>
    <w:rsid w:val="00D1085E"/>
    <w:rsid w:val="00D10D64"/>
    <w:rsid w:val="00D1352A"/>
    <w:rsid w:val="00D135EA"/>
    <w:rsid w:val="00D15D30"/>
    <w:rsid w:val="00D15F30"/>
    <w:rsid w:val="00D169AF"/>
    <w:rsid w:val="00D25249"/>
    <w:rsid w:val="00D26F64"/>
    <w:rsid w:val="00D44172"/>
    <w:rsid w:val="00D51E69"/>
    <w:rsid w:val="00D62DE1"/>
    <w:rsid w:val="00D638E3"/>
    <w:rsid w:val="00D63B8C"/>
    <w:rsid w:val="00D65156"/>
    <w:rsid w:val="00D6543B"/>
    <w:rsid w:val="00D739CC"/>
    <w:rsid w:val="00D8093D"/>
    <w:rsid w:val="00D8108C"/>
    <w:rsid w:val="00D822E1"/>
    <w:rsid w:val="00D842AE"/>
    <w:rsid w:val="00D9211C"/>
    <w:rsid w:val="00D92C16"/>
    <w:rsid w:val="00D92DE0"/>
    <w:rsid w:val="00D92FEF"/>
    <w:rsid w:val="00D93A0F"/>
    <w:rsid w:val="00D948F4"/>
    <w:rsid w:val="00DA1BCA"/>
    <w:rsid w:val="00DA3ACB"/>
    <w:rsid w:val="00DB1235"/>
    <w:rsid w:val="00DB73E8"/>
    <w:rsid w:val="00DC17FF"/>
    <w:rsid w:val="00DC1E97"/>
    <w:rsid w:val="00DC46FF"/>
    <w:rsid w:val="00DC5254"/>
    <w:rsid w:val="00DD1A4F"/>
    <w:rsid w:val="00DD3107"/>
    <w:rsid w:val="00DD7C2C"/>
    <w:rsid w:val="00DE393A"/>
    <w:rsid w:val="00E06797"/>
    <w:rsid w:val="00E1265B"/>
    <w:rsid w:val="00E13B48"/>
    <w:rsid w:val="00E1404F"/>
    <w:rsid w:val="00E1607A"/>
    <w:rsid w:val="00E20D59"/>
    <w:rsid w:val="00E21C83"/>
    <w:rsid w:val="00E24ADA"/>
    <w:rsid w:val="00E2761A"/>
    <w:rsid w:val="00E32F59"/>
    <w:rsid w:val="00E46D9A"/>
    <w:rsid w:val="00E565FF"/>
    <w:rsid w:val="00E627AA"/>
    <w:rsid w:val="00E634BA"/>
    <w:rsid w:val="00E65388"/>
    <w:rsid w:val="00E85B7D"/>
    <w:rsid w:val="00E9089B"/>
    <w:rsid w:val="00E9121B"/>
    <w:rsid w:val="00E9502D"/>
    <w:rsid w:val="00E9593B"/>
    <w:rsid w:val="00EA0AE2"/>
    <w:rsid w:val="00EA1F24"/>
    <w:rsid w:val="00EA39E5"/>
    <w:rsid w:val="00EB3061"/>
    <w:rsid w:val="00EB39AF"/>
    <w:rsid w:val="00EB5595"/>
    <w:rsid w:val="00EC5A46"/>
    <w:rsid w:val="00EC63E2"/>
    <w:rsid w:val="00ED5AB4"/>
    <w:rsid w:val="00EE150C"/>
    <w:rsid w:val="00EF22B3"/>
    <w:rsid w:val="00EF734C"/>
    <w:rsid w:val="00F03B69"/>
    <w:rsid w:val="00F046EC"/>
    <w:rsid w:val="00F07A50"/>
    <w:rsid w:val="00F113DA"/>
    <w:rsid w:val="00F3679C"/>
    <w:rsid w:val="00F37DC8"/>
    <w:rsid w:val="00F439B3"/>
    <w:rsid w:val="00F57AF9"/>
    <w:rsid w:val="00F650C3"/>
    <w:rsid w:val="00F65D85"/>
    <w:rsid w:val="00F65FFA"/>
    <w:rsid w:val="00F70C07"/>
    <w:rsid w:val="00F8091E"/>
    <w:rsid w:val="00F849D5"/>
    <w:rsid w:val="00F849F4"/>
    <w:rsid w:val="00F8615C"/>
    <w:rsid w:val="00F90EC3"/>
    <w:rsid w:val="00F92B93"/>
    <w:rsid w:val="00F969E5"/>
    <w:rsid w:val="00F97D4C"/>
    <w:rsid w:val="00FA0359"/>
    <w:rsid w:val="00FA0A03"/>
    <w:rsid w:val="00FA6BB0"/>
    <w:rsid w:val="00FD5860"/>
    <w:rsid w:val="00FD7197"/>
    <w:rsid w:val="00FE352D"/>
    <w:rsid w:val="00FE40EB"/>
    <w:rsid w:val="00FE4D02"/>
    <w:rsid w:val="00FE7236"/>
    <w:rsid w:val="00FE7D62"/>
    <w:rsid w:val="00FF1C53"/>
    <w:rsid w:val="00FF381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819CA9"/>
  <w15:docId w15:val="{3065E340-575C-4EB4-9C9B-42E5821D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4712"/>
    <w:pPr>
      <w:tabs>
        <w:tab w:val="left" w:pos="1247"/>
        <w:tab w:val="left" w:pos="1814"/>
        <w:tab w:val="left" w:pos="2381"/>
        <w:tab w:val="left" w:pos="2948"/>
        <w:tab w:val="left" w:pos="3515"/>
      </w:tabs>
    </w:pPr>
    <w:rPr>
      <w:lang w:val="en-GB"/>
    </w:rPr>
  </w:style>
  <w:style w:type="paragraph" w:styleId="Heading1">
    <w:name w:val="heading 1"/>
    <w:basedOn w:val="CH1"/>
    <w:next w:val="Normalnumber"/>
    <w:link w:val="Heading1Char"/>
    <w:qFormat/>
    <w:rsid w:val="001D63E2"/>
    <w:pPr>
      <w:numPr>
        <w:numId w:val="9"/>
      </w:numPr>
      <w:tabs>
        <w:tab w:val="clear" w:pos="851"/>
        <w:tab w:val="clear" w:pos="1247"/>
        <w:tab w:val="clear" w:pos="4990"/>
      </w:tabs>
      <w:ind w:left="1248" w:right="624" w:hanging="397"/>
      <w:outlineLvl w:val="0"/>
    </w:pPr>
  </w:style>
  <w:style w:type="paragraph" w:styleId="Heading2">
    <w:name w:val="heading 2"/>
    <w:aliases w:val="Chpt"/>
    <w:basedOn w:val="CH2"/>
    <w:next w:val="Normalnumber"/>
    <w:link w:val="Heading2Char"/>
    <w:qFormat/>
    <w:rsid w:val="001D63E2"/>
    <w:pPr>
      <w:numPr>
        <w:numId w:val="10"/>
      </w:numPr>
      <w:tabs>
        <w:tab w:val="clear" w:pos="851"/>
        <w:tab w:val="clear" w:pos="1247"/>
        <w:tab w:val="clear" w:pos="4990"/>
      </w:tabs>
      <w:outlineLvl w:val="1"/>
    </w:pPr>
  </w:style>
  <w:style w:type="paragraph" w:styleId="Heading3">
    <w:name w:val="heading 3"/>
    <w:aliases w:val="Sec"/>
    <w:basedOn w:val="CH3"/>
    <w:next w:val="Normalnumber"/>
    <w:link w:val="Heading3Char"/>
    <w:qFormat/>
    <w:rsid w:val="001D63E2"/>
    <w:pPr>
      <w:numPr>
        <w:numId w:val="11"/>
      </w:numPr>
      <w:tabs>
        <w:tab w:val="clear" w:pos="851"/>
        <w:tab w:val="clear" w:pos="1247"/>
        <w:tab w:val="clear" w:pos="4990"/>
      </w:tabs>
      <w:outlineLvl w:val="2"/>
    </w:pPr>
  </w:style>
  <w:style w:type="paragraph" w:styleId="Heading4">
    <w:name w:val="heading 4"/>
    <w:aliases w:val="num.                                               4,MainPara"/>
    <w:basedOn w:val="Normal"/>
    <w:next w:val="Normalnumber"/>
    <w:link w:val="Heading4Char"/>
    <w:qFormat/>
    <w:rsid w:val="001D63E2"/>
    <w:pPr>
      <w:keepNext/>
      <w:keepLines/>
      <w:numPr>
        <w:ilvl w:val="3"/>
        <w:numId w:val="9"/>
      </w:numPr>
      <w:tabs>
        <w:tab w:val="clear" w:pos="1247"/>
      </w:tabs>
      <w:suppressAutoHyphens/>
      <w:spacing w:before="120"/>
      <w:ind w:left="1248" w:right="624" w:hanging="397"/>
      <w:outlineLvl w:val="3"/>
    </w:pPr>
    <w:rPr>
      <w:b/>
    </w:rPr>
  </w:style>
  <w:style w:type="paragraph" w:styleId="Heading5">
    <w:name w:val="heading 5"/>
    <w:aliases w:val="Subpara 2"/>
    <w:basedOn w:val="CH5"/>
    <w:next w:val="Normalnumber"/>
    <w:link w:val="Heading5Char"/>
    <w:qFormat/>
    <w:rsid w:val="001D63E2"/>
    <w:pPr>
      <w:numPr>
        <w:numId w:val="12"/>
      </w:numPr>
      <w:tabs>
        <w:tab w:val="clear" w:pos="851"/>
        <w:tab w:val="clear" w:pos="1247"/>
        <w:tab w:val="clear" w:pos="4990"/>
      </w:tabs>
      <w:ind w:left="1208" w:hanging="357"/>
      <w:outlineLvl w:val="4"/>
    </w:pPr>
  </w:style>
  <w:style w:type="paragraph" w:styleId="Heading6">
    <w:name w:val="heading 6"/>
    <w:basedOn w:val="CH5"/>
    <w:next w:val="Normalnumber"/>
    <w:link w:val="Heading6Char"/>
    <w:qFormat/>
    <w:rsid w:val="001D63E2"/>
    <w:pPr>
      <w:numPr>
        <w:ilvl w:val="5"/>
        <w:numId w:val="9"/>
      </w:numPr>
      <w:tabs>
        <w:tab w:val="clear" w:pos="1247"/>
        <w:tab w:val="clear" w:pos="4990"/>
      </w:tabs>
      <w:outlineLvl w:val="5"/>
    </w:pPr>
    <w:rPr>
      <w:b w:val="0"/>
      <w:bCs/>
      <w:sz w:val="24"/>
    </w:rPr>
  </w:style>
  <w:style w:type="paragraph" w:styleId="Heading7">
    <w:name w:val="heading 7"/>
    <w:basedOn w:val="CH5"/>
    <w:next w:val="Normalnumber"/>
    <w:link w:val="Heading7Char"/>
    <w:qFormat/>
    <w:rsid w:val="001D63E2"/>
    <w:pPr>
      <w:widowControl w:val="0"/>
      <w:numPr>
        <w:ilvl w:val="6"/>
        <w:numId w:val="9"/>
      </w:numPr>
      <w:tabs>
        <w:tab w:val="clear" w:pos="1247"/>
        <w:tab w:val="clear" w:pos="4990"/>
      </w:tabs>
      <w:jc w:val="center"/>
      <w:outlineLvl w:val="6"/>
    </w:pPr>
    <w:rPr>
      <w:snapToGrid w:val="0"/>
      <w:u w:val="single"/>
    </w:rPr>
  </w:style>
  <w:style w:type="paragraph" w:styleId="Heading8">
    <w:name w:val="heading 8"/>
    <w:basedOn w:val="CH5"/>
    <w:next w:val="Normal"/>
    <w:link w:val="Heading8Char"/>
    <w:qFormat/>
    <w:rsid w:val="001D63E2"/>
    <w:pPr>
      <w:widowControl w:val="0"/>
      <w:numPr>
        <w:ilvl w:val="7"/>
        <w:numId w:val="9"/>
      </w:numPr>
      <w:tabs>
        <w:tab w:val="clear" w:pos="1247"/>
        <w:tab w:val="clear" w:pos="4990"/>
        <w:tab w:val="left" w:pos="-1440"/>
        <w:tab w:val="left" w:pos="-720"/>
      </w:tabs>
      <w:jc w:val="center"/>
      <w:outlineLvl w:val="7"/>
    </w:pPr>
    <w:rPr>
      <w:snapToGrid w:val="0"/>
      <w:u w:val="single"/>
    </w:rPr>
  </w:style>
  <w:style w:type="paragraph" w:styleId="Heading9">
    <w:name w:val="heading 9"/>
    <w:basedOn w:val="Normal"/>
    <w:next w:val="Normal"/>
    <w:link w:val="Heading9Char"/>
    <w:qFormat/>
    <w:rsid w:val="001D63E2"/>
    <w:pPr>
      <w:keepNext/>
      <w:widowControl w:val="0"/>
      <w:numPr>
        <w:ilvl w:val="8"/>
        <w:numId w:val="9"/>
      </w:numPr>
      <w:tabs>
        <w:tab w:val="clear" w:pos="1247"/>
      </w:tabs>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1D63E2"/>
    <w:rPr>
      <w:rFonts w:ascii="Times New Roman" w:hAnsi="Times New Roman"/>
      <w:b/>
      <w:sz w:val="18"/>
      <w:lang w:val="en-GB"/>
    </w:rPr>
  </w:style>
  <w:style w:type="table" w:customStyle="1" w:styleId="Tabledocright">
    <w:name w:val="Table_doc_right"/>
    <w:basedOn w:val="TableNormal"/>
    <w:rsid w:val="001D63E2"/>
    <w:pPr>
      <w:spacing w:before="40" w:after="40"/>
    </w:pPr>
    <w:rPr>
      <w:rFonts w:eastAsia="SimSun"/>
      <w:sz w:val="18"/>
      <w:szCs w:val="18"/>
      <w:lang w:eastAsia="zh-CN"/>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rsid w:val="001D63E2"/>
    <w:pPr>
      <w:ind w:left="1000"/>
    </w:pPr>
    <w:rPr>
      <w:sz w:val="18"/>
      <w:szCs w:val="18"/>
    </w:rPr>
  </w:style>
  <w:style w:type="paragraph" w:styleId="TOC7">
    <w:name w:val="toc 7"/>
    <w:basedOn w:val="Normal"/>
    <w:next w:val="Normal"/>
    <w:autoRedefine/>
    <w:rsid w:val="001D63E2"/>
    <w:pPr>
      <w:ind w:left="1200"/>
    </w:pPr>
    <w:rPr>
      <w:sz w:val="18"/>
      <w:szCs w:val="18"/>
    </w:rPr>
  </w:style>
  <w:style w:type="paragraph" w:styleId="TOC8">
    <w:name w:val="toc 8"/>
    <w:basedOn w:val="Normal"/>
    <w:next w:val="Normal"/>
    <w:autoRedefine/>
    <w:rsid w:val="001D63E2"/>
    <w:pPr>
      <w:ind w:left="1400"/>
    </w:pPr>
    <w:rPr>
      <w:sz w:val="18"/>
      <w:szCs w:val="18"/>
    </w:rPr>
  </w:style>
  <w:style w:type="paragraph" w:styleId="TOC9">
    <w:name w:val="toc 9"/>
    <w:basedOn w:val="Normal"/>
    <w:next w:val="Normal"/>
    <w:autoRedefine/>
    <w:rsid w:val="001D63E2"/>
    <w:pPr>
      <w:ind w:left="1600"/>
    </w:pPr>
    <w:rPr>
      <w:sz w:val="18"/>
      <w:szCs w:val="18"/>
    </w:rPr>
  </w:style>
  <w:style w:type="paragraph" w:customStyle="1" w:styleId="Titlefigure">
    <w:name w:val="Title_figure"/>
    <w:basedOn w:val="Titletable"/>
    <w:next w:val="NormalNonumber"/>
    <w:rsid w:val="001D63E2"/>
    <w:pPr>
      <w:tabs>
        <w:tab w:val="clear" w:pos="4990"/>
      </w:tabs>
    </w:pPr>
    <w:rPr>
      <w:bCs w:val="0"/>
    </w:rPr>
  </w:style>
  <w:style w:type="paragraph" w:styleId="TableofFigures">
    <w:name w:val="table of figures"/>
    <w:basedOn w:val="Normal"/>
    <w:next w:val="Normal"/>
    <w:autoRedefine/>
    <w:rsid w:val="001D63E2"/>
    <w:pPr>
      <w:ind w:left="1814" w:hanging="567"/>
    </w:pPr>
  </w:style>
  <w:style w:type="paragraph" w:customStyle="1" w:styleId="CH1">
    <w:name w:val="CH1"/>
    <w:basedOn w:val="Normal-pool"/>
    <w:next w:val="CH2"/>
    <w:qFormat/>
    <w:rsid w:val="001D63E2"/>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1D63E2"/>
    <w:pPr>
      <w:keepNext/>
      <w:keepLines/>
      <w:tabs>
        <w:tab w:val="clear" w:pos="624"/>
        <w:tab w:val="right" w:pos="851"/>
      </w:tabs>
      <w:suppressAutoHyphens/>
      <w:spacing w:before="240" w:after="120"/>
      <w:ind w:left="1247" w:right="624" w:hanging="1247"/>
    </w:pPr>
    <w:rPr>
      <w:b/>
      <w:sz w:val="24"/>
      <w:szCs w:val="24"/>
    </w:rPr>
  </w:style>
  <w:style w:type="paragraph" w:customStyle="1" w:styleId="CH3">
    <w:name w:val="CH3"/>
    <w:basedOn w:val="Normal-pool"/>
    <w:next w:val="Normalnumber"/>
    <w:qFormat/>
    <w:rsid w:val="001D63E2"/>
    <w:pPr>
      <w:keepNext/>
      <w:keepLines/>
      <w:tabs>
        <w:tab w:val="clear" w:pos="624"/>
        <w:tab w:val="right" w:pos="851"/>
      </w:tabs>
      <w:suppressAutoHyphens/>
      <w:spacing w:before="240" w:after="120"/>
      <w:ind w:left="1247" w:right="624" w:hanging="1247"/>
    </w:pPr>
    <w:rPr>
      <w:b/>
    </w:rPr>
  </w:style>
  <w:style w:type="paragraph" w:customStyle="1" w:styleId="CH4">
    <w:name w:val="CH4"/>
    <w:basedOn w:val="Normal-pool"/>
    <w:next w:val="Normalnumber"/>
    <w:link w:val="FooterChar"/>
    <w:rsid w:val="001D63E2"/>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1D63E2"/>
    <w:rPr>
      <w:rFonts w:ascii="Arial" w:eastAsia="SimSun" w:hAnsi="Arial"/>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unhideWhenUsed/>
    <w:rsid w:val="001D63E2"/>
    <w:pPr>
      <w:keepNext/>
      <w:keepLines/>
      <w:tabs>
        <w:tab w:val="clear" w:pos="624"/>
        <w:tab w:val="right" w:pos="851"/>
        <w:tab w:val="left" w:pos="4082"/>
      </w:tabs>
      <w:suppressAutoHyphens/>
      <w:spacing w:after="120"/>
      <w:ind w:left="1247" w:right="624" w:hanging="1247"/>
    </w:pPr>
    <w:rPr>
      <w:b/>
    </w:rPr>
  </w:style>
  <w:style w:type="paragraph" w:customStyle="1" w:styleId="Footerpool">
    <w:name w:val="Footer_pool"/>
    <w:basedOn w:val="Normal"/>
    <w:next w:val="Normal"/>
    <w:semiHidden/>
    <w:rsid w:val="001D63E2"/>
    <w:pPr>
      <w:tabs>
        <w:tab w:val="left" w:pos="4321"/>
        <w:tab w:val="right" w:pos="8641"/>
      </w:tabs>
      <w:spacing w:before="60"/>
    </w:pPr>
    <w:rPr>
      <w:b/>
      <w:sz w:val="18"/>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link w:val="NormalpoolChar"/>
    <w:rsid w:val="00F57AF9"/>
    <w:pPr>
      <w:tabs>
        <w:tab w:val="left" w:pos="1247"/>
      </w:tabs>
    </w:pPr>
    <w:rPr>
      <w:lang w:val="en-GB"/>
    </w:rPr>
  </w:style>
  <w:style w:type="paragraph" w:customStyle="1" w:styleId="Footer-pool">
    <w:name w:val="Footer-pool"/>
    <w:basedOn w:val="Normal-pool"/>
    <w:next w:val="Normal-pool"/>
    <w:rsid w:val="001D63E2"/>
    <w:pPr>
      <w:tabs>
        <w:tab w:val="right" w:pos="8641"/>
      </w:tabs>
      <w:spacing w:after="120"/>
    </w:pPr>
    <w:rPr>
      <w:b/>
      <w:sz w:val="18"/>
    </w:rPr>
  </w:style>
  <w:style w:type="paragraph" w:customStyle="1" w:styleId="Header-pool">
    <w:name w:val="Header-pool"/>
    <w:basedOn w:val="Normal"/>
    <w:next w:val="Normal"/>
    <w:rsid w:val="001D63E2"/>
    <w:pPr>
      <w:pBdr>
        <w:bottom w:val="single" w:sz="4" w:space="1" w:color="auto"/>
      </w:pBdr>
      <w:tabs>
        <w:tab w:val="right" w:pos="9072"/>
      </w:tabs>
    </w:pPr>
    <w:rPr>
      <w:b/>
      <w:sz w:val="18"/>
    </w:rPr>
  </w:style>
  <w:style w:type="character" w:styleId="FootnoteReference">
    <w:name w:val="footnote reference"/>
    <w:aliases w:val="16 Point,Superscript 6 Point,ftref,number,SUPERS,Footnote Reference Superscript,(Ref. de nota al pie),fr,Ref,de nota al pie,註腳內容,de nota al pie + (Asian) MS Mincho,Footnote Reference1,11 pt,Ref. de nota de rodapé1,stylish"/>
    <w:link w:val="BVIfnrCharCharCharChar"/>
    <w:uiPriority w:val="99"/>
    <w:unhideWhenUsed/>
    <w:qFormat/>
    <w:rsid w:val="001D63E2"/>
    <w:rPr>
      <w:rFonts w:ascii="Times New Roman" w:hAnsi="Times New Roman"/>
      <w:color w:val="auto"/>
      <w:sz w:val="20"/>
      <w:szCs w:val="18"/>
      <w:vertAlign w:val="superscript"/>
      <w:lang w:val="en-GB"/>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pool"/>
    <w:link w:val="FootnoteTextChar"/>
    <w:rsid w:val="000D6941"/>
    <w:pPr>
      <w:spacing w:before="20" w:after="40"/>
      <w:ind w:left="1247"/>
    </w:pPr>
    <w:rPr>
      <w:sz w:val="18"/>
    </w:rPr>
  </w:style>
  <w:style w:type="table" w:customStyle="1" w:styleId="AATable">
    <w:name w:val="AA_Table"/>
    <w:basedOn w:val="TableNormal"/>
    <w:rsid w:val="001D63E2"/>
    <w:rPr>
      <w:rFonts w:eastAsia="SimSun"/>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qFormat/>
    <w:rsid w:val="001D63E2"/>
    <w:pPr>
      <w:keepNext/>
      <w:keepLines/>
      <w:suppressAutoHyphens/>
    </w:pPr>
    <w:rPr>
      <w:b/>
    </w:rPr>
  </w:style>
  <w:style w:type="paragraph" w:customStyle="1" w:styleId="AATitle2">
    <w:name w:val="AA_Title2"/>
    <w:basedOn w:val="AATitle"/>
    <w:qFormat/>
    <w:rsid w:val="001D63E2"/>
    <w:pPr>
      <w:keepNext w:val="0"/>
      <w:keepLines w:val="0"/>
      <w:tabs>
        <w:tab w:val="clear" w:pos="4990"/>
      </w:tabs>
      <w:spacing w:before="120" w:after="120"/>
    </w:pPr>
  </w:style>
  <w:style w:type="paragraph" w:customStyle="1" w:styleId="BBTitle">
    <w:name w:val="BB_Title"/>
    <w:basedOn w:val="Normal-pool"/>
    <w:link w:val="BBTitleChar"/>
    <w:qFormat/>
    <w:rsid w:val="001D63E2"/>
    <w:pPr>
      <w:keepNext/>
      <w:keepLines/>
      <w:suppressAutoHyphens/>
      <w:spacing w:before="320" w:after="240"/>
      <w:ind w:left="1247" w:right="567"/>
    </w:pPr>
    <w:rPr>
      <w:b/>
      <w:sz w:val="28"/>
      <w:szCs w:val="28"/>
    </w:rPr>
  </w:style>
  <w:style w:type="paragraph" w:styleId="Footer">
    <w:name w:val="footer"/>
    <w:basedOn w:val="Normal"/>
    <w:link w:val="FooterChar1"/>
    <w:uiPriority w:val="99"/>
    <w:unhideWhenUsed/>
    <w:rsid w:val="001D63E2"/>
    <w:pPr>
      <w:tabs>
        <w:tab w:val="clear" w:pos="1247"/>
        <w:tab w:val="right" w:pos="8641"/>
      </w:tabs>
    </w:pPr>
    <w:rPr>
      <w:b/>
      <w:sz w:val="18"/>
    </w:rPr>
  </w:style>
  <w:style w:type="paragraph" w:styleId="Header">
    <w:name w:val="header"/>
    <w:basedOn w:val="Normal"/>
    <w:next w:val="Header-pool"/>
    <w:link w:val="HeaderChar"/>
    <w:rsid w:val="001D63E2"/>
    <w:pPr>
      <w:pBdr>
        <w:bottom w:val="single" w:sz="4" w:space="1" w:color="auto"/>
      </w:pBdr>
      <w:tabs>
        <w:tab w:val="center" w:pos="4536"/>
        <w:tab w:val="right" w:pos="9072"/>
      </w:tabs>
    </w:pPr>
    <w:rPr>
      <w:b/>
      <w:sz w:val="18"/>
    </w:rPr>
  </w:style>
  <w:style w:type="character" w:styleId="Hyperlink">
    <w:name w:val="Hyperlink"/>
    <w:unhideWhenUsed/>
    <w:rsid w:val="001D63E2"/>
    <w:rPr>
      <w:rFonts w:ascii="Times New Roman" w:hAnsi="Times New Roman"/>
      <w:color w:val="0000FF"/>
      <w:sz w:val="20"/>
      <w:szCs w:val="20"/>
      <w:u w:val="none"/>
      <w:lang w:val="en-GB"/>
    </w:rPr>
  </w:style>
  <w:style w:type="numbering" w:customStyle="1" w:styleId="Normallist">
    <w:name w:val="Normal_list"/>
    <w:basedOn w:val="NoList"/>
    <w:rsid w:val="001D63E2"/>
    <w:pPr>
      <w:numPr>
        <w:numId w:val="3"/>
      </w:numPr>
    </w:pPr>
  </w:style>
  <w:style w:type="paragraph" w:customStyle="1" w:styleId="NormalNonumber">
    <w:name w:val="Normal_No_number"/>
    <w:basedOn w:val="Normal-pool"/>
    <w:link w:val="NormalNonumberChar"/>
    <w:qFormat/>
    <w:rsid w:val="001D63E2"/>
    <w:pPr>
      <w:spacing w:after="120"/>
      <w:ind w:left="1247"/>
    </w:pPr>
  </w:style>
  <w:style w:type="paragraph" w:customStyle="1" w:styleId="Normalnumber">
    <w:name w:val="Normal_number"/>
    <w:basedOn w:val="Normal"/>
    <w:link w:val="NormalnumberChar"/>
    <w:qFormat/>
    <w:rsid w:val="001D63E2"/>
    <w:pPr>
      <w:numPr>
        <w:numId w:val="3"/>
      </w:numPr>
      <w:tabs>
        <w:tab w:val="clear" w:pos="624"/>
      </w:tabs>
      <w:spacing w:after="120"/>
      <w:ind w:left="1247"/>
    </w:pPr>
  </w:style>
  <w:style w:type="paragraph" w:customStyle="1" w:styleId="Titletable">
    <w:name w:val="Title_table"/>
    <w:basedOn w:val="Normal-pool"/>
    <w:next w:val="NormalNonumber"/>
    <w:rsid w:val="001D63E2"/>
    <w:pPr>
      <w:keepNext/>
      <w:keepLines/>
      <w:suppressAutoHyphens/>
      <w:spacing w:after="60"/>
      <w:ind w:left="1247"/>
    </w:pPr>
    <w:rPr>
      <w:b/>
      <w:bCs/>
    </w:rPr>
  </w:style>
  <w:style w:type="paragraph" w:styleId="TOC1">
    <w:name w:val="toc 1"/>
    <w:basedOn w:val="Normal"/>
    <w:next w:val="Normal"/>
    <w:autoRedefine/>
    <w:unhideWhenUsed/>
    <w:rsid w:val="001D63E2"/>
    <w:pPr>
      <w:tabs>
        <w:tab w:val="right" w:leader="dot" w:pos="9486"/>
      </w:tabs>
      <w:spacing w:before="240"/>
      <w:ind w:left="1984" w:hanging="737"/>
    </w:pPr>
    <w:rPr>
      <w:bCs/>
    </w:rPr>
  </w:style>
  <w:style w:type="paragraph" w:styleId="TOC2">
    <w:name w:val="toc 2"/>
    <w:basedOn w:val="Normal"/>
    <w:next w:val="Normal"/>
    <w:unhideWhenUsed/>
    <w:rsid w:val="001D63E2"/>
    <w:pPr>
      <w:tabs>
        <w:tab w:val="right" w:leader="dot" w:pos="9486"/>
      </w:tabs>
      <w:spacing w:before="60"/>
      <w:ind w:left="2608" w:hanging="737"/>
    </w:pPr>
  </w:style>
  <w:style w:type="paragraph" w:styleId="TOC3">
    <w:name w:val="toc 3"/>
    <w:basedOn w:val="Normal"/>
    <w:next w:val="Normal"/>
    <w:unhideWhenUsed/>
    <w:rsid w:val="001D63E2"/>
    <w:pPr>
      <w:tabs>
        <w:tab w:val="right" w:leader="dot" w:pos="9486"/>
      </w:tabs>
      <w:ind w:left="3232" w:hanging="737"/>
    </w:pPr>
    <w:rPr>
      <w:iCs/>
    </w:rPr>
  </w:style>
  <w:style w:type="paragraph" w:styleId="TOC4">
    <w:name w:val="toc 4"/>
    <w:basedOn w:val="Normal"/>
    <w:next w:val="Normal"/>
    <w:unhideWhenUsed/>
    <w:rsid w:val="001D63E2"/>
    <w:pPr>
      <w:tabs>
        <w:tab w:val="left" w:pos="1000"/>
        <w:tab w:val="right" w:leader="dot" w:pos="9486"/>
      </w:tabs>
      <w:ind w:left="3856" w:hanging="737"/>
    </w:pPr>
    <w:rPr>
      <w:szCs w:val="18"/>
    </w:rPr>
  </w:style>
  <w:style w:type="paragraph" w:styleId="TOC5">
    <w:name w:val="toc 5"/>
    <w:basedOn w:val="Normal"/>
    <w:next w:val="Normal"/>
    <w:rsid w:val="001D63E2"/>
    <w:pPr>
      <w:tabs>
        <w:tab w:val="right" w:leader="dot" w:pos="9486"/>
      </w:tabs>
      <w:ind w:left="4479" w:hanging="737"/>
    </w:pPr>
    <w:rPr>
      <w:sz w:val="18"/>
      <w:szCs w:val="18"/>
    </w:rPr>
  </w:style>
  <w:style w:type="paragraph" w:customStyle="1" w:styleId="ZZAnxheader">
    <w:name w:val="ZZ_Anx_header"/>
    <w:basedOn w:val="Normal-pool"/>
    <w:rsid w:val="001D63E2"/>
    <w:rPr>
      <w:b/>
      <w:bCs/>
      <w:sz w:val="28"/>
      <w:szCs w:val="22"/>
    </w:rPr>
  </w:style>
  <w:style w:type="paragraph" w:customStyle="1" w:styleId="ZZAnxtitle">
    <w:name w:val="ZZ_Anx_title"/>
    <w:basedOn w:val="Normal-pool"/>
    <w:rsid w:val="001D63E2"/>
    <w:pPr>
      <w:spacing w:before="360" w:after="120"/>
      <w:ind w:left="1247"/>
    </w:pPr>
    <w:rPr>
      <w:b/>
      <w:bCs/>
      <w:sz w:val="28"/>
      <w:szCs w:val="26"/>
    </w:rPr>
  </w:style>
  <w:style w:type="character" w:styleId="CommentReference">
    <w:name w:val="annotation reference"/>
    <w:basedOn w:val="DefaultParagraphFont"/>
    <w:unhideWhenUsed/>
    <w:rsid w:val="001D63E2"/>
    <w:rPr>
      <w:sz w:val="16"/>
      <w:szCs w:val="16"/>
      <w:lang w:val="en-GB"/>
    </w:rPr>
  </w:style>
  <w:style w:type="paragraph" w:styleId="CommentText">
    <w:name w:val="annotation text"/>
    <w:basedOn w:val="Normal"/>
    <w:link w:val="CommentTextChar"/>
    <w:unhideWhenUsed/>
    <w:rsid w:val="001D63E2"/>
  </w:style>
  <w:style w:type="character" w:customStyle="1" w:styleId="CommentTextChar">
    <w:name w:val="Comment Text Char"/>
    <w:basedOn w:val="DefaultParagraphFont"/>
    <w:link w:val="CommentText"/>
    <w:rsid w:val="001D63E2"/>
    <w:rPr>
      <w:lang w:val="en-GB"/>
    </w:rPr>
  </w:style>
  <w:style w:type="paragraph" w:styleId="CommentSubject">
    <w:name w:val="annotation subject"/>
    <w:basedOn w:val="CommentText"/>
    <w:next w:val="CommentText"/>
    <w:link w:val="CommentSubjectChar"/>
    <w:unhideWhenUsed/>
    <w:rsid w:val="001D63E2"/>
    <w:rPr>
      <w:b/>
      <w:bCs/>
    </w:rPr>
  </w:style>
  <w:style w:type="character" w:customStyle="1" w:styleId="CommentSubjectChar">
    <w:name w:val="Comment Subject Char"/>
    <w:basedOn w:val="CommentTextChar"/>
    <w:link w:val="CommentSubject"/>
    <w:rsid w:val="001D63E2"/>
    <w:rPr>
      <w:b/>
      <w:bCs/>
      <w:lang w:val="en-GB"/>
    </w:rPr>
  </w:style>
  <w:style w:type="paragraph" w:styleId="Revision">
    <w:name w:val="Revision"/>
    <w:hidden/>
    <w:semiHidden/>
    <w:rsid w:val="00363D96"/>
    <w:rPr>
      <w:lang w:val="en-GB"/>
    </w:rPr>
  </w:style>
  <w:style w:type="paragraph" w:styleId="BalloonText">
    <w:name w:val="Balloon Text"/>
    <w:basedOn w:val="Normal"/>
    <w:link w:val="BalloonTextChar"/>
    <w:unhideWhenUsed/>
    <w:rsid w:val="001D63E2"/>
    <w:rPr>
      <w:rFonts w:ascii="Tahoma" w:hAnsi="Tahoma" w:cs="Tahoma"/>
      <w:sz w:val="16"/>
      <w:szCs w:val="16"/>
    </w:rPr>
  </w:style>
  <w:style w:type="character" w:customStyle="1" w:styleId="BalloonTextChar">
    <w:name w:val="Balloon Text Char"/>
    <w:basedOn w:val="DefaultParagraphFont"/>
    <w:link w:val="BalloonText"/>
    <w:rsid w:val="001D63E2"/>
    <w:rPr>
      <w:rFonts w:ascii="Tahoma" w:hAnsi="Tahoma" w:cs="Tahoma"/>
      <w:sz w:val="16"/>
      <w:szCs w:val="16"/>
      <w:lang w:val="en-GB"/>
    </w:rPr>
  </w:style>
  <w:style w:type="table" w:styleId="TableGrid">
    <w:name w:val="Table Grid"/>
    <w:basedOn w:val="TableNormal"/>
    <w:rsid w:val="001D63E2"/>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link w:val="FootnoteText"/>
    <w:locked/>
    <w:rsid w:val="00F97D4C"/>
    <w:rPr>
      <w:sz w:val="18"/>
      <w:lang w:val="en-GB"/>
    </w:rPr>
  </w:style>
  <w:style w:type="character" w:customStyle="1" w:styleId="NormalpoolChar">
    <w:name w:val="Normal_pool Char"/>
    <w:link w:val="Normalpool"/>
    <w:locked/>
    <w:rsid w:val="00F57AF9"/>
    <w:rPr>
      <w:lang w:val="en-GB"/>
    </w:rPr>
  </w:style>
  <w:style w:type="paragraph" w:customStyle="1" w:styleId="Normal-pool">
    <w:name w:val="Normal-pool"/>
    <w:link w:val="Normal-poolChar"/>
    <w:qFormat/>
    <w:rsid w:val="001D63E2"/>
    <w:pPr>
      <w:tabs>
        <w:tab w:val="left" w:pos="624"/>
        <w:tab w:val="left" w:pos="1247"/>
        <w:tab w:val="left" w:pos="1871"/>
        <w:tab w:val="left" w:pos="2495"/>
        <w:tab w:val="left" w:pos="3119"/>
        <w:tab w:val="left" w:pos="3742"/>
        <w:tab w:val="left" w:pos="4366"/>
        <w:tab w:val="left" w:pos="4990"/>
      </w:tabs>
    </w:pPr>
    <w:rPr>
      <w:lang w:val="en-GB"/>
    </w:rPr>
  </w:style>
  <w:style w:type="character" w:customStyle="1" w:styleId="NormalnumberChar">
    <w:name w:val="Normal_number Char"/>
    <w:link w:val="Normalnumber"/>
    <w:locked/>
    <w:rsid w:val="001D63E2"/>
    <w:rPr>
      <w:lang w:val="en-GB"/>
    </w:rPr>
  </w:style>
  <w:style w:type="character" w:customStyle="1" w:styleId="Normal-poolChar">
    <w:name w:val="Normal-pool Char"/>
    <w:link w:val="Normal-pool"/>
    <w:locked/>
    <w:rsid w:val="00BC58EC"/>
    <w:rPr>
      <w:lang w:val="en-GB"/>
    </w:rPr>
  </w:style>
  <w:style w:type="paragraph" w:styleId="BlockText">
    <w:name w:val="Block Text"/>
    <w:basedOn w:val="Normal"/>
    <w:rsid w:val="00265DF8"/>
    <w:pPr>
      <w:tabs>
        <w:tab w:val="clear" w:pos="1247"/>
        <w:tab w:val="clear" w:pos="1814"/>
        <w:tab w:val="clear" w:pos="2381"/>
        <w:tab w:val="clear" w:pos="2948"/>
        <w:tab w:val="clear" w:pos="3515"/>
        <w:tab w:val="left" w:pos="578"/>
        <w:tab w:val="left" w:pos="1170"/>
        <w:tab w:val="left" w:pos="1735"/>
      </w:tabs>
      <w:suppressAutoHyphens/>
      <w:ind w:left="1156" w:right="144" w:hanging="540"/>
    </w:pPr>
  </w:style>
  <w:style w:type="paragraph" w:styleId="Caption">
    <w:name w:val="caption"/>
    <w:basedOn w:val="Normal"/>
    <w:next w:val="Normal"/>
    <w:qFormat/>
    <w:rsid w:val="00265DF8"/>
    <w:pPr>
      <w:widowControl w:val="0"/>
      <w:tabs>
        <w:tab w:val="clear" w:pos="1247"/>
        <w:tab w:val="clear" w:pos="1814"/>
        <w:tab w:val="clear" w:pos="2381"/>
        <w:tab w:val="clear" w:pos="2948"/>
        <w:tab w:val="clear" w:pos="3515"/>
      </w:tabs>
    </w:pPr>
    <w:rPr>
      <w:snapToGrid w:val="0"/>
      <w:sz w:val="24"/>
    </w:rPr>
  </w:style>
  <w:style w:type="paragraph" w:styleId="Title">
    <w:name w:val="Title"/>
    <w:basedOn w:val="Normal"/>
    <w:link w:val="TitleChar"/>
    <w:autoRedefine/>
    <w:qFormat/>
    <w:rsid w:val="00265DF8"/>
    <w:pPr>
      <w:tabs>
        <w:tab w:val="clear" w:pos="1247"/>
        <w:tab w:val="clear" w:pos="1814"/>
        <w:tab w:val="clear" w:pos="2381"/>
        <w:tab w:val="clear" w:pos="2948"/>
        <w:tab w:val="clear" w:pos="3515"/>
      </w:tabs>
      <w:spacing w:before="360" w:after="240"/>
      <w:ind w:left="1247" w:right="567"/>
      <w:outlineLvl w:val="0"/>
    </w:pPr>
    <w:rPr>
      <w:rFonts w:ascii="Times New Roman Bold" w:hAnsi="Times New Roman Bold"/>
      <w:b/>
      <w:bCs/>
      <w:kern w:val="28"/>
      <w:sz w:val="28"/>
      <w:szCs w:val="22"/>
    </w:rPr>
  </w:style>
  <w:style w:type="character" w:customStyle="1" w:styleId="TitleChar">
    <w:name w:val="Title Char"/>
    <w:basedOn w:val="DefaultParagraphFont"/>
    <w:link w:val="Title"/>
    <w:rsid w:val="00265DF8"/>
    <w:rPr>
      <w:rFonts w:ascii="Times New Roman Bold" w:hAnsi="Times New Roman Bold"/>
      <w:b/>
      <w:bCs/>
      <w:kern w:val="28"/>
      <w:sz w:val="28"/>
      <w:szCs w:val="22"/>
      <w:lang w:val="en-GB"/>
    </w:rPr>
  </w:style>
  <w:style w:type="character" w:styleId="FollowedHyperlink">
    <w:name w:val="FollowedHyperlink"/>
    <w:rsid w:val="001D63E2"/>
    <w:rPr>
      <w:color w:val="0000FF"/>
      <w:u w:val="none"/>
      <w:lang w:val="en-GB"/>
    </w:rPr>
  </w:style>
  <w:style w:type="paragraph" w:styleId="BodyText">
    <w:name w:val="Body Text"/>
    <w:basedOn w:val="Normal"/>
    <w:link w:val="BodyTextChar"/>
    <w:rsid w:val="00265DF8"/>
    <w:pPr>
      <w:widowControl w:val="0"/>
      <w:tabs>
        <w:tab w:val="clear" w:pos="1247"/>
        <w:tab w:val="clear" w:pos="1814"/>
        <w:tab w:val="clear" w:pos="2381"/>
        <w:tab w:val="clear" w:pos="2948"/>
        <w:tab w:val="clear" w:pos="3515"/>
        <w:tab w:val="left" w:pos="-720"/>
      </w:tabs>
      <w:suppressAutoHyphens/>
      <w:jc w:val="center"/>
    </w:pPr>
    <w:rPr>
      <w:rFonts w:ascii="Courier New" w:hAnsi="Courier New"/>
      <w:snapToGrid w:val="0"/>
      <w:sz w:val="24"/>
    </w:rPr>
  </w:style>
  <w:style w:type="character" w:customStyle="1" w:styleId="BodyTextChar">
    <w:name w:val="Body Text Char"/>
    <w:basedOn w:val="DefaultParagraphFont"/>
    <w:link w:val="BodyText"/>
    <w:rsid w:val="00265DF8"/>
    <w:rPr>
      <w:rFonts w:ascii="Courier New" w:hAnsi="Courier New"/>
      <w:snapToGrid w:val="0"/>
      <w:sz w:val="24"/>
      <w:lang w:val="en-GB"/>
    </w:rPr>
  </w:style>
  <w:style w:type="paragraph" w:customStyle="1" w:styleId="Anxhead">
    <w:name w:val="Anx head"/>
    <w:basedOn w:val="Normal"/>
    <w:autoRedefine/>
    <w:rsid w:val="00265DF8"/>
    <w:pPr>
      <w:tabs>
        <w:tab w:val="clear" w:pos="1247"/>
        <w:tab w:val="clear" w:pos="1814"/>
        <w:tab w:val="clear" w:pos="2381"/>
        <w:tab w:val="clear" w:pos="2948"/>
        <w:tab w:val="clear" w:pos="3515"/>
        <w:tab w:val="left" w:pos="624"/>
      </w:tabs>
      <w:ind w:left="1247"/>
    </w:pPr>
    <w:rPr>
      <w:b/>
      <w:sz w:val="24"/>
      <w:szCs w:val="24"/>
    </w:rPr>
  </w:style>
  <w:style w:type="paragraph" w:customStyle="1" w:styleId="Anxtitle">
    <w:name w:val="Anx title"/>
    <w:basedOn w:val="Normal"/>
    <w:autoRedefine/>
    <w:rsid w:val="00265DF8"/>
    <w:pPr>
      <w:tabs>
        <w:tab w:val="clear" w:pos="1247"/>
        <w:tab w:val="clear" w:pos="1814"/>
        <w:tab w:val="clear" w:pos="2381"/>
        <w:tab w:val="clear" w:pos="2948"/>
        <w:tab w:val="clear" w:pos="3515"/>
      </w:tabs>
      <w:spacing w:before="360" w:after="240"/>
      <w:ind w:left="1247"/>
    </w:pPr>
    <w:rPr>
      <w:b/>
      <w:sz w:val="28"/>
      <w:szCs w:val="28"/>
    </w:rPr>
  </w:style>
  <w:style w:type="paragraph" w:customStyle="1" w:styleId="Subtitle">
    <w:name w:val="Sub title"/>
    <w:basedOn w:val="Heading2"/>
    <w:rsid w:val="00265DF8"/>
    <w:pPr>
      <w:spacing w:before="0" w:after="0"/>
      <w:ind w:firstLine="0"/>
    </w:pPr>
  </w:style>
  <w:style w:type="paragraph" w:styleId="BodyTextIndent">
    <w:name w:val="Body Text Indent"/>
    <w:basedOn w:val="Normal"/>
    <w:link w:val="BodyTextIndentChar"/>
    <w:rsid w:val="00265DF8"/>
    <w:pPr>
      <w:tabs>
        <w:tab w:val="clear" w:pos="1247"/>
        <w:tab w:val="clear" w:pos="1814"/>
        <w:tab w:val="clear" w:pos="2381"/>
        <w:tab w:val="clear" w:pos="2948"/>
        <w:tab w:val="clear" w:pos="3515"/>
      </w:tabs>
      <w:spacing w:after="120"/>
      <w:ind w:left="360"/>
    </w:pPr>
    <w:rPr>
      <w:rFonts w:eastAsia="SimSun"/>
      <w:sz w:val="24"/>
      <w:szCs w:val="24"/>
      <w:lang w:eastAsia="x-none"/>
    </w:rPr>
  </w:style>
  <w:style w:type="character" w:customStyle="1" w:styleId="BodyTextIndentChar">
    <w:name w:val="Body Text Indent Char"/>
    <w:basedOn w:val="DefaultParagraphFont"/>
    <w:link w:val="BodyTextIndent"/>
    <w:rsid w:val="00265DF8"/>
    <w:rPr>
      <w:rFonts w:eastAsia="SimSun"/>
      <w:sz w:val="24"/>
      <w:szCs w:val="24"/>
      <w:lang w:val="en-GB" w:eastAsia="x-none"/>
    </w:rPr>
  </w:style>
  <w:style w:type="paragraph" w:styleId="EnvelopeReturn">
    <w:name w:val="envelope return"/>
    <w:basedOn w:val="Normal"/>
    <w:rsid w:val="00265DF8"/>
    <w:pPr>
      <w:widowControl w:val="0"/>
      <w:tabs>
        <w:tab w:val="clear" w:pos="1247"/>
        <w:tab w:val="clear" w:pos="1814"/>
        <w:tab w:val="clear" w:pos="2381"/>
        <w:tab w:val="clear" w:pos="2948"/>
        <w:tab w:val="clear" w:pos="3515"/>
        <w:tab w:val="left" w:pos="-720"/>
      </w:tabs>
      <w:suppressAutoHyphens/>
    </w:pPr>
    <w:rPr>
      <w:rFonts w:ascii="Garamond" w:hAnsi="Garamond"/>
      <w:snapToGrid w:val="0"/>
      <w:sz w:val="22"/>
    </w:rPr>
  </w:style>
  <w:style w:type="character" w:styleId="Strong">
    <w:name w:val="Strong"/>
    <w:qFormat/>
    <w:rsid w:val="00265DF8"/>
    <w:rPr>
      <w:b/>
      <w:bCs/>
      <w:lang w:val="en-GB"/>
    </w:rPr>
  </w:style>
  <w:style w:type="paragraph" w:styleId="BodyText2">
    <w:name w:val="Body Text 2"/>
    <w:basedOn w:val="Normal"/>
    <w:link w:val="BodyText2Char"/>
    <w:rsid w:val="00265DF8"/>
    <w:pPr>
      <w:tabs>
        <w:tab w:val="clear" w:pos="1247"/>
        <w:tab w:val="clear" w:pos="1814"/>
        <w:tab w:val="clear" w:pos="2381"/>
        <w:tab w:val="clear" w:pos="2948"/>
        <w:tab w:val="clear" w:pos="3515"/>
      </w:tabs>
      <w:spacing w:after="120" w:line="480" w:lineRule="auto"/>
    </w:pPr>
    <w:rPr>
      <w:sz w:val="22"/>
    </w:rPr>
  </w:style>
  <w:style w:type="character" w:customStyle="1" w:styleId="BodyText2Char">
    <w:name w:val="Body Text 2 Char"/>
    <w:basedOn w:val="DefaultParagraphFont"/>
    <w:link w:val="BodyText2"/>
    <w:rsid w:val="00265DF8"/>
    <w:rPr>
      <w:sz w:val="22"/>
      <w:lang w:val="en-GB"/>
    </w:rPr>
  </w:style>
  <w:style w:type="paragraph" w:customStyle="1" w:styleId="Anxsubhead">
    <w:name w:val="Anx subhead"/>
    <w:basedOn w:val="Normal"/>
    <w:rsid w:val="00265DF8"/>
    <w:pPr>
      <w:tabs>
        <w:tab w:val="clear" w:pos="1814"/>
        <w:tab w:val="clear" w:pos="2381"/>
        <w:tab w:val="clear" w:pos="2948"/>
        <w:tab w:val="clear" w:pos="3515"/>
      </w:tabs>
      <w:ind w:left="1247"/>
    </w:pPr>
    <w:rPr>
      <w:b/>
      <w:bCs/>
      <w:sz w:val="24"/>
      <w:szCs w:val="24"/>
    </w:rPr>
  </w:style>
  <w:style w:type="paragraph" w:styleId="EndnoteText">
    <w:name w:val="endnote text"/>
    <w:basedOn w:val="Normal"/>
    <w:link w:val="EndnoteTextChar"/>
    <w:semiHidden/>
    <w:rsid w:val="00265DF8"/>
    <w:pPr>
      <w:widowControl w:val="0"/>
      <w:tabs>
        <w:tab w:val="clear" w:pos="1247"/>
        <w:tab w:val="clear" w:pos="1814"/>
        <w:tab w:val="clear" w:pos="2381"/>
        <w:tab w:val="clear" w:pos="2948"/>
        <w:tab w:val="clear" w:pos="3515"/>
      </w:tabs>
    </w:pPr>
    <w:rPr>
      <w:rFonts w:ascii="Courier New" w:hAnsi="Courier New"/>
      <w:snapToGrid w:val="0"/>
      <w:sz w:val="24"/>
    </w:rPr>
  </w:style>
  <w:style w:type="character" w:customStyle="1" w:styleId="EndnoteTextChar">
    <w:name w:val="Endnote Text Char"/>
    <w:basedOn w:val="DefaultParagraphFont"/>
    <w:link w:val="EndnoteText"/>
    <w:semiHidden/>
    <w:rsid w:val="00265DF8"/>
    <w:rPr>
      <w:rFonts w:ascii="Courier New" w:hAnsi="Courier New"/>
      <w:snapToGrid w:val="0"/>
      <w:sz w:val="24"/>
      <w:lang w:val="en-GB"/>
    </w:rPr>
  </w:style>
  <w:style w:type="paragraph" w:styleId="NormalWeb">
    <w:name w:val="Normal (Web)"/>
    <w:basedOn w:val="Normal"/>
    <w:uiPriority w:val="99"/>
    <w:unhideWhenUsed/>
    <w:rsid w:val="001D63E2"/>
    <w:pPr>
      <w:spacing w:before="100" w:beforeAutospacing="1" w:after="100" w:afterAutospacing="1"/>
    </w:pPr>
    <w:rPr>
      <w:rFonts w:eastAsiaTheme="minorEastAsia"/>
      <w:sz w:val="24"/>
      <w:szCs w:val="24"/>
    </w:rPr>
  </w:style>
  <w:style w:type="paragraph" w:styleId="BodyTextIndent2">
    <w:name w:val="Body Text Indent 2"/>
    <w:basedOn w:val="Normal"/>
    <w:link w:val="BodyTextIndent2Char"/>
    <w:rsid w:val="00265DF8"/>
    <w:pPr>
      <w:tabs>
        <w:tab w:val="clear" w:pos="1247"/>
        <w:tab w:val="clear" w:pos="1814"/>
        <w:tab w:val="clear" w:pos="2381"/>
        <w:tab w:val="clear" w:pos="2948"/>
        <w:tab w:val="clear" w:pos="3515"/>
      </w:tabs>
      <w:spacing w:before="120"/>
      <w:ind w:left="1248" w:firstLine="624"/>
    </w:pPr>
  </w:style>
  <w:style w:type="character" w:customStyle="1" w:styleId="BodyTextIndent2Char">
    <w:name w:val="Body Text Indent 2 Char"/>
    <w:basedOn w:val="DefaultParagraphFont"/>
    <w:link w:val="BodyTextIndent2"/>
    <w:rsid w:val="00265DF8"/>
    <w:rPr>
      <w:lang w:val="en-GB"/>
    </w:rPr>
  </w:style>
  <w:style w:type="paragraph" w:styleId="BodyText3">
    <w:name w:val="Body Text 3"/>
    <w:basedOn w:val="Normal"/>
    <w:link w:val="BodyText3Char"/>
    <w:rsid w:val="00265DF8"/>
    <w:pPr>
      <w:tabs>
        <w:tab w:val="clear" w:pos="1247"/>
        <w:tab w:val="clear" w:pos="1814"/>
        <w:tab w:val="clear" w:pos="2381"/>
        <w:tab w:val="clear" w:pos="2948"/>
        <w:tab w:val="clear" w:pos="3515"/>
      </w:tabs>
      <w:spacing w:after="120"/>
    </w:pPr>
    <w:rPr>
      <w:sz w:val="16"/>
      <w:szCs w:val="16"/>
    </w:rPr>
  </w:style>
  <w:style w:type="character" w:customStyle="1" w:styleId="BodyText3Char">
    <w:name w:val="Body Text 3 Char"/>
    <w:basedOn w:val="DefaultParagraphFont"/>
    <w:link w:val="BodyText3"/>
    <w:rsid w:val="00265DF8"/>
    <w:rPr>
      <w:sz w:val="16"/>
      <w:szCs w:val="16"/>
      <w:lang w:val="en-GB"/>
    </w:rPr>
  </w:style>
  <w:style w:type="paragraph" w:styleId="BodyTextIndent3">
    <w:name w:val="Body Text Indent 3"/>
    <w:basedOn w:val="Normal"/>
    <w:link w:val="BodyTextIndent3Char"/>
    <w:rsid w:val="00265DF8"/>
    <w:pPr>
      <w:tabs>
        <w:tab w:val="clear" w:pos="1247"/>
        <w:tab w:val="clear" w:pos="1814"/>
        <w:tab w:val="clear" w:pos="2381"/>
        <w:tab w:val="clear" w:pos="2948"/>
        <w:tab w:val="clear" w:pos="3515"/>
      </w:tabs>
      <w:ind w:left="567"/>
    </w:pPr>
    <w:rPr>
      <w:sz w:val="22"/>
      <w:szCs w:val="22"/>
    </w:rPr>
  </w:style>
  <w:style w:type="character" w:customStyle="1" w:styleId="BodyTextIndent3Char">
    <w:name w:val="Body Text Indent 3 Char"/>
    <w:basedOn w:val="DefaultParagraphFont"/>
    <w:link w:val="BodyTextIndent3"/>
    <w:rsid w:val="00265DF8"/>
    <w:rPr>
      <w:sz w:val="22"/>
      <w:szCs w:val="22"/>
      <w:lang w:val="en-GB"/>
    </w:rPr>
  </w:style>
  <w:style w:type="paragraph" w:styleId="HTMLPreformatted">
    <w:name w:val="HTML Preformatted"/>
    <w:basedOn w:val="Normal"/>
    <w:link w:val="HTMLPreformattedChar"/>
    <w:rsid w:val="00265DF8"/>
    <w:pPr>
      <w:tabs>
        <w:tab w:val="clear" w:pos="1247"/>
        <w:tab w:val="clear" w:pos="1814"/>
        <w:tab w:val="clear" w:pos="2381"/>
        <w:tab w:val="clear" w:pos="2948"/>
        <w:tab w:val="clear" w:pos="351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rPr>
  </w:style>
  <w:style w:type="character" w:customStyle="1" w:styleId="HTMLPreformattedChar">
    <w:name w:val="HTML Preformatted Char"/>
    <w:basedOn w:val="DefaultParagraphFont"/>
    <w:link w:val="HTMLPreformatted"/>
    <w:rsid w:val="00265DF8"/>
    <w:rPr>
      <w:rFonts w:ascii="Arial Unicode MS" w:eastAsia="Arial Unicode MS" w:hAnsi="Arial Unicode MS"/>
      <w:lang w:val="en-GB"/>
    </w:rPr>
  </w:style>
  <w:style w:type="character" w:customStyle="1" w:styleId="Heading4Char">
    <w:name w:val="Heading 4 Char"/>
    <w:aliases w:val="num.                                               4 Char,MainPara Char"/>
    <w:basedOn w:val="DefaultParagraphFont"/>
    <w:link w:val="Heading4"/>
    <w:rsid w:val="001D63E2"/>
    <w:rPr>
      <w:b/>
      <w:lang w:val="en-GB"/>
    </w:rPr>
  </w:style>
  <w:style w:type="paragraph" w:styleId="DocumentMap">
    <w:name w:val="Document Map"/>
    <w:basedOn w:val="Normal"/>
    <w:link w:val="DocumentMapChar"/>
    <w:semiHidden/>
    <w:rsid w:val="00265DF8"/>
    <w:pPr>
      <w:shd w:val="clear" w:color="auto" w:fill="000080"/>
      <w:tabs>
        <w:tab w:val="clear" w:pos="1247"/>
        <w:tab w:val="clear" w:pos="1814"/>
        <w:tab w:val="clear" w:pos="2381"/>
        <w:tab w:val="clear" w:pos="2948"/>
        <w:tab w:val="clear" w:pos="3515"/>
      </w:tabs>
    </w:pPr>
    <w:rPr>
      <w:rFonts w:ascii="Tahoma" w:hAnsi="Tahoma"/>
    </w:rPr>
  </w:style>
  <w:style w:type="character" w:customStyle="1" w:styleId="DocumentMapChar">
    <w:name w:val="Document Map Char"/>
    <w:basedOn w:val="DefaultParagraphFont"/>
    <w:link w:val="DocumentMap"/>
    <w:semiHidden/>
    <w:rsid w:val="00265DF8"/>
    <w:rPr>
      <w:rFonts w:ascii="Tahoma" w:hAnsi="Tahoma"/>
      <w:shd w:val="clear" w:color="auto" w:fill="000080"/>
      <w:lang w:val="en-GB"/>
    </w:rPr>
  </w:style>
  <w:style w:type="character" w:customStyle="1" w:styleId="FooterChar">
    <w:name w:val="Footer Char"/>
    <w:basedOn w:val="DefaultParagraphFont"/>
    <w:link w:val="CH4"/>
    <w:uiPriority w:val="99"/>
    <w:rsid w:val="001D63E2"/>
    <w:rPr>
      <w:b/>
      <w:lang w:val="en-GB"/>
    </w:rPr>
  </w:style>
  <w:style w:type="character" w:customStyle="1" w:styleId="NormalNonumberChar">
    <w:name w:val="Normal_No_number Char"/>
    <w:link w:val="NormalNonumber"/>
    <w:locked/>
    <w:rsid w:val="00265DF8"/>
    <w:rPr>
      <w:lang w:val="en-GB"/>
    </w:rPr>
  </w:style>
  <w:style w:type="character" w:customStyle="1" w:styleId="HeaderChar">
    <w:name w:val="Header Char"/>
    <w:basedOn w:val="DefaultParagraphFont"/>
    <w:link w:val="Header"/>
    <w:rsid w:val="001D63E2"/>
    <w:rPr>
      <w:b/>
      <w:sz w:val="18"/>
      <w:lang w:val="en-GB"/>
    </w:rPr>
  </w:style>
  <w:style w:type="character" w:customStyle="1" w:styleId="Heading1Char">
    <w:name w:val="Heading 1 Char"/>
    <w:basedOn w:val="DefaultParagraphFont"/>
    <w:link w:val="Heading1"/>
    <w:rsid w:val="001D63E2"/>
    <w:rPr>
      <w:b/>
      <w:sz w:val="28"/>
      <w:szCs w:val="28"/>
      <w:lang w:val="en-GB"/>
    </w:rPr>
  </w:style>
  <w:style w:type="character" w:customStyle="1" w:styleId="Heading2Char">
    <w:name w:val="Heading 2 Char"/>
    <w:aliases w:val="Chpt Char"/>
    <w:basedOn w:val="DefaultParagraphFont"/>
    <w:link w:val="Heading2"/>
    <w:rsid w:val="001D63E2"/>
    <w:rPr>
      <w:b/>
      <w:sz w:val="24"/>
      <w:szCs w:val="24"/>
      <w:lang w:val="en-GB"/>
    </w:rPr>
  </w:style>
  <w:style w:type="character" w:customStyle="1" w:styleId="Heading3Char">
    <w:name w:val="Heading 3 Char"/>
    <w:aliases w:val="Sec Char"/>
    <w:basedOn w:val="DefaultParagraphFont"/>
    <w:link w:val="Heading3"/>
    <w:rsid w:val="001D63E2"/>
    <w:rPr>
      <w:b/>
      <w:lang w:val="en-GB"/>
    </w:rPr>
  </w:style>
  <w:style w:type="character" w:customStyle="1" w:styleId="Heading5Char">
    <w:name w:val="Heading 5 Char"/>
    <w:aliases w:val="Subpara 2 Char"/>
    <w:basedOn w:val="DefaultParagraphFont"/>
    <w:link w:val="Heading5"/>
    <w:rsid w:val="001D63E2"/>
    <w:rPr>
      <w:b/>
      <w:lang w:val="en-GB"/>
    </w:rPr>
  </w:style>
  <w:style w:type="character" w:customStyle="1" w:styleId="Heading6Char">
    <w:name w:val="Heading 6 Char"/>
    <w:basedOn w:val="DefaultParagraphFont"/>
    <w:link w:val="Heading6"/>
    <w:rsid w:val="001D63E2"/>
    <w:rPr>
      <w:bCs/>
      <w:sz w:val="24"/>
      <w:lang w:val="en-GB"/>
    </w:rPr>
  </w:style>
  <w:style w:type="character" w:customStyle="1" w:styleId="Heading7Char">
    <w:name w:val="Heading 7 Char"/>
    <w:basedOn w:val="DefaultParagraphFont"/>
    <w:link w:val="Heading7"/>
    <w:rsid w:val="001D63E2"/>
    <w:rPr>
      <w:b/>
      <w:snapToGrid w:val="0"/>
      <w:u w:val="single"/>
      <w:lang w:val="en-GB"/>
    </w:rPr>
  </w:style>
  <w:style w:type="character" w:customStyle="1" w:styleId="Heading8Char">
    <w:name w:val="Heading 8 Char"/>
    <w:basedOn w:val="DefaultParagraphFont"/>
    <w:link w:val="Heading8"/>
    <w:rsid w:val="001D63E2"/>
    <w:rPr>
      <w:b/>
      <w:snapToGrid w:val="0"/>
      <w:u w:val="single"/>
      <w:lang w:val="en-GB"/>
    </w:rPr>
  </w:style>
  <w:style w:type="character" w:customStyle="1" w:styleId="Heading9Char">
    <w:name w:val="Heading 9 Char"/>
    <w:basedOn w:val="DefaultParagraphFont"/>
    <w:link w:val="Heading9"/>
    <w:rsid w:val="001D63E2"/>
    <w:rPr>
      <w:snapToGrid w:val="0"/>
      <w:u w:val="single"/>
      <w:lang w:val="en-GB"/>
    </w:rPr>
  </w:style>
  <w:style w:type="numbering" w:customStyle="1" w:styleId="NoList1">
    <w:name w:val="No List1"/>
    <w:next w:val="NoList"/>
    <w:semiHidden/>
    <w:unhideWhenUsed/>
    <w:rsid w:val="00265DF8"/>
  </w:style>
  <w:style w:type="paragraph" w:customStyle="1" w:styleId="Annex">
    <w:name w:val="Annex"/>
    <w:basedOn w:val="Normal"/>
    <w:next w:val="Normal"/>
    <w:autoRedefine/>
    <w:rsid w:val="00265DF8"/>
    <w:pPr>
      <w:tabs>
        <w:tab w:val="clear" w:pos="1247"/>
        <w:tab w:val="clear" w:pos="1814"/>
        <w:tab w:val="clear" w:pos="2381"/>
        <w:tab w:val="clear" w:pos="2948"/>
        <w:tab w:val="clear" w:pos="3515"/>
      </w:tabs>
    </w:pPr>
    <w:rPr>
      <w:rFonts w:eastAsia="SimSun"/>
      <w:sz w:val="22"/>
      <w:szCs w:val="22"/>
    </w:rPr>
  </w:style>
  <w:style w:type="character" w:styleId="Emphasis">
    <w:name w:val="Emphasis"/>
    <w:qFormat/>
    <w:rsid w:val="00265DF8"/>
    <w:rPr>
      <w:rFonts w:cs="Times New Roman"/>
      <w:i/>
      <w:iCs/>
      <w:lang w:val="en-GB"/>
    </w:rPr>
  </w:style>
  <w:style w:type="paragraph" w:styleId="Subtitle0">
    <w:name w:val="Subtitle"/>
    <w:basedOn w:val="Normal"/>
    <w:link w:val="SubtitleChar"/>
    <w:qFormat/>
    <w:rsid w:val="00265DF8"/>
    <w:pPr>
      <w:widowControl w:val="0"/>
      <w:tabs>
        <w:tab w:val="clear" w:pos="1247"/>
        <w:tab w:val="clear" w:pos="1814"/>
        <w:tab w:val="clear" w:pos="2381"/>
        <w:tab w:val="clear" w:pos="2948"/>
        <w:tab w:val="clear" w:pos="3515"/>
        <w:tab w:val="left" w:pos="90"/>
      </w:tabs>
      <w:spacing w:before="175"/>
    </w:pPr>
    <w:rPr>
      <w:rFonts w:eastAsia="SimSun"/>
      <w:b/>
      <w:bCs/>
      <w:color w:val="000000"/>
      <w:sz w:val="32"/>
      <w:szCs w:val="32"/>
    </w:rPr>
  </w:style>
  <w:style w:type="character" w:customStyle="1" w:styleId="SubtitleChar">
    <w:name w:val="Subtitle Char"/>
    <w:basedOn w:val="DefaultParagraphFont"/>
    <w:link w:val="Subtitle0"/>
    <w:rsid w:val="00265DF8"/>
    <w:rPr>
      <w:rFonts w:eastAsia="SimSun"/>
      <w:b/>
      <w:bCs/>
      <w:color w:val="000000"/>
      <w:sz w:val="32"/>
      <w:szCs w:val="32"/>
      <w:lang w:val="en-GB"/>
    </w:rPr>
  </w:style>
  <w:style w:type="character" w:styleId="EndnoteReference">
    <w:name w:val="endnote reference"/>
    <w:rsid w:val="00265DF8"/>
    <w:rPr>
      <w:rFonts w:cs="Times New Roman"/>
      <w:vertAlign w:val="superscript"/>
      <w:lang w:val="en-GB"/>
    </w:rPr>
  </w:style>
  <w:style w:type="numbering" w:customStyle="1" w:styleId="NoList11">
    <w:name w:val="No List11"/>
    <w:next w:val="NoList"/>
    <w:semiHidden/>
    <w:rsid w:val="00265DF8"/>
  </w:style>
  <w:style w:type="table" w:customStyle="1" w:styleId="TableGrid1">
    <w:name w:val="Table Grid1"/>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rmallist1">
    <w:name w:val="Normal_list1"/>
    <w:basedOn w:val="NoList"/>
    <w:rsid w:val="00265DF8"/>
  </w:style>
  <w:style w:type="numbering" w:customStyle="1" w:styleId="Normallist2">
    <w:name w:val="Normal_list2"/>
    <w:basedOn w:val="NoList"/>
    <w:rsid w:val="00265DF8"/>
  </w:style>
  <w:style w:type="numbering" w:customStyle="1" w:styleId="NoList2">
    <w:name w:val="No List2"/>
    <w:next w:val="NoList"/>
    <w:semiHidden/>
    <w:rsid w:val="00265DF8"/>
  </w:style>
  <w:style w:type="paragraph" w:styleId="NormalIndent">
    <w:name w:val="Normal Indent"/>
    <w:basedOn w:val="Normal"/>
    <w:rsid w:val="00265DF8"/>
    <w:pPr>
      <w:ind w:left="1247"/>
    </w:pPr>
  </w:style>
  <w:style w:type="table" w:customStyle="1" w:styleId="TableGrid2">
    <w:name w:val="Table Grid2"/>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next w:val="TableNormal"/>
    <w:semiHidden/>
    <w:rsid w:val="00265DF8"/>
    <w:rPr>
      <w:lang w:val="en-GB" w:eastAsia="en-GB"/>
    </w:rPr>
    <w:tblPr>
      <w:tblInd w:w="0" w:type="dxa"/>
      <w:tblCellMar>
        <w:top w:w="0" w:type="dxa"/>
        <w:left w:w="108" w:type="dxa"/>
        <w:bottom w:w="0" w:type="dxa"/>
        <w:right w:w="108" w:type="dxa"/>
      </w:tblCellMar>
    </w:tblPr>
  </w:style>
  <w:style w:type="numbering" w:customStyle="1" w:styleId="NoList12">
    <w:name w:val="No List12"/>
    <w:next w:val="NoList"/>
    <w:semiHidden/>
    <w:rsid w:val="00265DF8"/>
  </w:style>
  <w:style w:type="character" w:styleId="HTMLCite">
    <w:name w:val="HTML Cite"/>
    <w:rsid w:val="00265DF8"/>
    <w:rPr>
      <w:i/>
      <w:iCs/>
      <w:lang w:val="en-GB"/>
    </w:rPr>
  </w:style>
  <w:style w:type="table" w:customStyle="1" w:styleId="AATable1">
    <w:name w:val="AA_Table1"/>
    <w:basedOn w:val="TableNormal"/>
    <w:rsid w:val="00265DF8"/>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numbering" w:customStyle="1" w:styleId="Normallist3">
    <w:name w:val="Normal_list3"/>
    <w:basedOn w:val="NoList"/>
    <w:rsid w:val="00265DF8"/>
    <w:pPr>
      <w:numPr>
        <w:numId w:val="7"/>
      </w:numPr>
    </w:pPr>
  </w:style>
  <w:style w:type="numbering" w:customStyle="1" w:styleId="NoList3">
    <w:name w:val="No List3"/>
    <w:next w:val="NoList"/>
    <w:semiHidden/>
    <w:rsid w:val="00265DF8"/>
  </w:style>
  <w:style w:type="table" w:customStyle="1" w:styleId="TableGrid3">
    <w:name w:val="Table Grid3"/>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semiHidden/>
    <w:rsid w:val="00265DF8"/>
  </w:style>
  <w:style w:type="numbering" w:customStyle="1" w:styleId="Ingenliste1">
    <w:name w:val="Ingen liste1"/>
    <w:next w:val="NoList"/>
    <w:semiHidden/>
    <w:unhideWhenUsed/>
    <w:rsid w:val="00265DF8"/>
  </w:style>
  <w:style w:type="paragraph" w:styleId="ListParagraph">
    <w:name w:val="List Paragraph"/>
    <w:basedOn w:val="Normal"/>
    <w:qFormat/>
    <w:rsid w:val="001D63E2"/>
    <w:pPr>
      <w:ind w:left="720"/>
      <w:contextualSpacing/>
    </w:pPr>
  </w:style>
  <w:style w:type="paragraph" w:customStyle="1" w:styleId="berarbeitung">
    <w:name w:val="Überarbeitung"/>
    <w:hidden/>
    <w:semiHidden/>
    <w:rsid w:val="00265DF8"/>
    <w:rPr>
      <w:rFonts w:eastAsia="SimSun"/>
      <w:sz w:val="24"/>
      <w:szCs w:val="24"/>
      <w:lang w:val="en-GB" w:eastAsia="zh-CN"/>
    </w:rPr>
  </w:style>
  <w:style w:type="table" w:customStyle="1" w:styleId="AATable2">
    <w:name w:val="AA_Table2"/>
    <w:basedOn w:val="TableNormal"/>
    <w:rsid w:val="00265DF8"/>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numbering" w:customStyle="1" w:styleId="Normallist4">
    <w:name w:val="Normal_list4"/>
    <w:basedOn w:val="NoList"/>
    <w:rsid w:val="00265DF8"/>
  </w:style>
  <w:style w:type="character" w:customStyle="1" w:styleId="CH2Char">
    <w:name w:val="CH2 Char"/>
    <w:link w:val="CH2"/>
    <w:locked/>
    <w:rsid w:val="00142EBA"/>
    <w:rPr>
      <w:b/>
      <w:sz w:val="24"/>
      <w:szCs w:val="24"/>
      <w:lang w:val="en-GB"/>
    </w:rPr>
  </w:style>
  <w:style w:type="numbering" w:customStyle="1" w:styleId="NoList4">
    <w:name w:val="No List4"/>
    <w:next w:val="NoList"/>
    <w:uiPriority w:val="99"/>
    <w:semiHidden/>
    <w:unhideWhenUsed/>
    <w:rsid w:val="00265DF8"/>
  </w:style>
  <w:style w:type="table" w:customStyle="1" w:styleId="TableGrid4">
    <w:name w:val="Table Grid4"/>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semiHidden/>
    <w:rsid w:val="00265DF8"/>
  </w:style>
  <w:style w:type="numbering" w:customStyle="1" w:styleId="Ingenliste11">
    <w:name w:val="Ingen liste11"/>
    <w:next w:val="NoList"/>
    <w:semiHidden/>
    <w:unhideWhenUsed/>
    <w:rsid w:val="00265DF8"/>
  </w:style>
  <w:style w:type="table" w:customStyle="1" w:styleId="AATable3">
    <w:name w:val="AA_Table3"/>
    <w:basedOn w:val="TableNormal"/>
    <w:rsid w:val="00265DF8"/>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numbering" w:customStyle="1" w:styleId="Normallist5">
    <w:name w:val="Normal_list5"/>
    <w:basedOn w:val="NoList"/>
    <w:rsid w:val="00265DF8"/>
  </w:style>
  <w:style w:type="paragraph" w:customStyle="1" w:styleId="Revision1">
    <w:name w:val="Revision1"/>
    <w:hidden/>
    <w:semiHidden/>
    <w:rsid w:val="00265DF8"/>
    <w:rPr>
      <w:rFonts w:eastAsia="SimSun"/>
      <w:sz w:val="24"/>
      <w:szCs w:val="24"/>
      <w:lang w:val="pt-BR" w:eastAsia="pt-BR"/>
    </w:rPr>
  </w:style>
  <w:style w:type="numbering" w:customStyle="1" w:styleId="NoList111">
    <w:name w:val="No List111"/>
    <w:next w:val="NoList"/>
    <w:semiHidden/>
    <w:rsid w:val="00265DF8"/>
  </w:style>
  <w:style w:type="numbering" w:customStyle="1" w:styleId="Normallist11">
    <w:name w:val="Normal_list11"/>
    <w:basedOn w:val="NoList"/>
    <w:rsid w:val="00265DF8"/>
  </w:style>
  <w:style w:type="numbering" w:customStyle="1" w:styleId="Normallist21">
    <w:name w:val="Normal_list21"/>
    <w:basedOn w:val="NoList"/>
    <w:rsid w:val="00265DF8"/>
  </w:style>
  <w:style w:type="numbering" w:customStyle="1" w:styleId="NoList21">
    <w:name w:val="No List21"/>
    <w:next w:val="NoList"/>
    <w:semiHidden/>
    <w:rsid w:val="00265DF8"/>
  </w:style>
  <w:style w:type="numbering" w:customStyle="1" w:styleId="NoList121">
    <w:name w:val="No List121"/>
    <w:next w:val="NoList"/>
    <w:semiHidden/>
    <w:rsid w:val="00265DF8"/>
  </w:style>
  <w:style w:type="table" w:customStyle="1" w:styleId="AATable11">
    <w:name w:val="AA_Table11"/>
    <w:basedOn w:val="TableNormal"/>
    <w:rsid w:val="00265DF8"/>
    <w:rPr>
      <w:lang w:eastAsia="ja-JP"/>
    </w:rPr>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numbering" w:customStyle="1" w:styleId="Normallist31">
    <w:name w:val="Normal_list31"/>
    <w:basedOn w:val="NoList"/>
    <w:rsid w:val="00265DF8"/>
  </w:style>
  <w:style w:type="character" w:styleId="UnresolvedMention">
    <w:name w:val="Unresolved Mention"/>
    <w:basedOn w:val="DefaultParagraphFont"/>
    <w:uiPriority w:val="99"/>
    <w:semiHidden/>
    <w:rsid w:val="001D63E2"/>
    <w:rPr>
      <w:color w:val="605E5C"/>
      <w:shd w:val="clear" w:color="auto" w:fill="E1DFDD"/>
      <w:lang w:val="en-GB"/>
    </w:rPr>
  </w:style>
  <w:style w:type="paragraph" w:customStyle="1" w:styleId="Footnote-Text">
    <w:name w:val="Footnote-Text"/>
    <w:basedOn w:val="Normal-pool"/>
    <w:rsid w:val="001D63E2"/>
    <w:pPr>
      <w:spacing w:before="20" w:after="40"/>
      <w:ind w:left="1247"/>
    </w:pPr>
    <w:rPr>
      <w:sz w:val="18"/>
    </w:rPr>
  </w:style>
  <w:style w:type="paragraph" w:customStyle="1" w:styleId="AConvName">
    <w:name w:val="A_ConvName"/>
    <w:basedOn w:val="Normal-pool"/>
    <w:next w:val="Normal-pool"/>
    <w:rsid w:val="001D63E2"/>
    <w:pPr>
      <w:spacing w:before="120" w:after="240"/>
    </w:pPr>
    <w:rPr>
      <w:rFonts w:ascii="Arial" w:hAnsi="Arial"/>
      <w:b/>
      <w:sz w:val="28"/>
    </w:rPr>
  </w:style>
  <w:style w:type="paragraph" w:customStyle="1" w:styleId="ASymbol">
    <w:name w:val="A_Symbol"/>
    <w:basedOn w:val="Normal-pool"/>
    <w:rsid w:val="001D63E2"/>
    <w:pPr>
      <w:tabs>
        <w:tab w:val="clear" w:pos="624"/>
        <w:tab w:val="clear" w:pos="1247"/>
        <w:tab w:val="right" w:pos="2920"/>
      </w:tabs>
    </w:pPr>
    <w:rPr>
      <w:rFonts w:eastAsia="SimSun"/>
    </w:rPr>
  </w:style>
  <w:style w:type="paragraph" w:customStyle="1" w:styleId="AText">
    <w:name w:val="A_Text"/>
    <w:basedOn w:val="Normal-pool"/>
    <w:rsid w:val="001D63E2"/>
    <w:pPr>
      <w:spacing w:before="120"/>
    </w:pPr>
  </w:style>
  <w:style w:type="paragraph" w:customStyle="1" w:styleId="AUnitedNations">
    <w:name w:val="A_United_Nations"/>
    <w:basedOn w:val="Normal-pool"/>
    <w:next w:val="Normal-pool"/>
    <w:rsid w:val="001D63E2"/>
    <w:pPr>
      <w:tabs>
        <w:tab w:val="clear" w:pos="1247"/>
      </w:tabs>
      <w:spacing w:before="20" w:after="20"/>
    </w:pPr>
    <w:rPr>
      <w:rFonts w:ascii="Arial" w:hAnsi="Arial" w:cs="Times New Roman Bold"/>
      <w:b/>
      <w:color w:val="000000" w:themeColor="text1"/>
      <w:sz w:val="27"/>
    </w:rPr>
  </w:style>
  <w:style w:type="paragraph" w:customStyle="1" w:styleId="ALogo">
    <w:name w:val="A_Logo"/>
    <w:basedOn w:val="Normal-pool"/>
    <w:link w:val="ALogoChar"/>
    <w:qFormat/>
    <w:rsid w:val="001D63E2"/>
    <w:pPr>
      <w:spacing w:before="120" w:after="240"/>
    </w:pPr>
  </w:style>
  <w:style w:type="character" w:customStyle="1" w:styleId="ALogoChar">
    <w:name w:val="A_Logo Char"/>
    <w:basedOn w:val="DefaultParagraphFont"/>
    <w:link w:val="ALogo"/>
    <w:rsid w:val="001D63E2"/>
    <w:rPr>
      <w:lang w:val="en-GB"/>
    </w:rPr>
  </w:style>
  <w:style w:type="paragraph" w:customStyle="1" w:styleId="ASpacer">
    <w:name w:val="A_Spacer"/>
    <w:basedOn w:val="Normal-pool"/>
    <w:link w:val="ASpacerChar"/>
    <w:qFormat/>
    <w:rsid w:val="001D63E2"/>
    <w:rPr>
      <w:sz w:val="2"/>
    </w:rPr>
  </w:style>
  <w:style w:type="character" w:customStyle="1" w:styleId="ASpacerChar">
    <w:name w:val="A_Spacer Char"/>
    <w:basedOn w:val="DefaultParagraphFont"/>
    <w:link w:val="ASpacer"/>
    <w:rsid w:val="001D63E2"/>
    <w:rPr>
      <w:sz w:val="2"/>
      <w:lang w:val="en-GB"/>
    </w:rPr>
  </w:style>
  <w:style w:type="paragraph" w:customStyle="1" w:styleId="AATitle1">
    <w:name w:val="AA_Title1"/>
    <w:basedOn w:val="Normal-pool"/>
    <w:qFormat/>
    <w:rsid w:val="001D63E2"/>
  </w:style>
  <w:style w:type="paragraph" w:customStyle="1" w:styleId="Footer-jobnumber">
    <w:name w:val="Footer-jobnumber"/>
    <w:basedOn w:val="Normal-pool"/>
    <w:qFormat/>
    <w:rsid w:val="001D63E2"/>
    <w:pPr>
      <w:tabs>
        <w:tab w:val="clear" w:pos="624"/>
        <w:tab w:val="clear" w:pos="1247"/>
        <w:tab w:val="clear" w:pos="1871"/>
        <w:tab w:val="clear" w:pos="2495"/>
        <w:tab w:val="clear" w:pos="3119"/>
        <w:tab w:val="clear" w:pos="3742"/>
        <w:tab w:val="clear" w:pos="4366"/>
        <w:tab w:val="clear" w:pos="4990"/>
        <w:tab w:val="left" w:pos="1701"/>
      </w:tabs>
    </w:pPr>
  </w:style>
  <w:style w:type="paragraph" w:customStyle="1" w:styleId="Normal-pool-Table">
    <w:name w:val="Normal-pool-Table"/>
    <w:basedOn w:val="Normal-pool"/>
    <w:rsid w:val="001D63E2"/>
    <w:pPr>
      <w:spacing w:before="40" w:after="40"/>
    </w:pPr>
    <w:rPr>
      <w:sz w:val="18"/>
    </w:rPr>
  </w:style>
  <w:style w:type="paragraph" w:customStyle="1" w:styleId="ATwoLetters">
    <w:name w:val="A_TwoLetters"/>
    <w:basedOn w:val="Normal-pool"/>
    <w:next w:val="Normal-pool"/>
    <w:rsid w:val="001D63E2"/>
    <w:pPr>
      <w:tabs>
        <w:tab w:val="clear" w:pos="1247"/>
      </w:tabs>
      <w:jc w:val="right"/>
    </w:pPr>
    <w:rPr>
      <w:rFonts w:ascii="Arial" w:hAnsi="Arial" w:cs="Arial"/>
      <w:b/>
      <w:sz w:val="64"/>
      <w:szCs w:val="64"/>
    </w:rPr>
  </w:style>
  <w:style w:type="paragraph" w:styleId="NoSpacing">
    <w:name w:val="No Spacing"/>
    <w:uiPriority w:val="1"/>
    <w:qFormat/>
    <w:rsid w:val="001D63E2"/>
    <w:rPr>
      <w:rFonts w:asciiTheme="minorHAnsi" w:eastAsiaTheme="minorHAnsi" w:hAnsiTheme="minorHAnsi" w:cstheme="minorBidi"/>
      <w:sz w:val="22"/>
      <w:szCs w:val="22"/>
      <w:lang w:val="en-GB"/>
    </w:rPr>
  </w:style>
  <w:style w:type="character" w:styleId="PlaceholderText">
    <w:name w:val="Placeholder Text"/>
    <w:basedOn w:val="DefaultParagraphFont"/>
    <w:uiPriority w:val="99"/>
    <w:semiHidden/>
    <w:rsid w:val="001D63E2"/>
    <w:rPr>
      <w:color w:val="808080"/>
      <w:lang w:val="en-GB"/>
    </w:rPr>
  </w:style>
  <w:style w:type="paragraph" w:customStyle="1" w:styleId="ANormal">
    <w:name w:val="A_Normal"/>
    <w:basedOn w:val="Normal-pool"/>
    <w:rsid w:val="001D63E2"/>
  </w:style>
  <w:style w:type="paragraph" w:customStyle="1" w:styleId="AText0">
    <w:name w:val="A_Text0"/>
    <w:basedOn w:val="AText"/>
    <w:next w:val="AText"/>
    <w:rsid w:val="001D63E2"/>
    <w:pPr>
      <w:tabs>
        <w:tab w:val="clear" w:pos="4990"/>
      </w:tabs>
      <w:spacing w:before="0" w:after="120"/>
    </w:pPr>
  </w:style>
  <w:style w:type="character" w:customStyle="1" w:styleId="FooterChar1">
    <w:name w:val="Footer Char1"/>
    <w:basedOn w:val="DefaultParagraphFont"/>
    <w:link w:val="Footer"/>
    <w:rsid w:val="001D63E2"/>
    <w:rPr>
      <w:b/>
      <w:sz w:val="18"/>
      <w:lang w:val="en-GB"/>
    </w:rPr>
  </w:style>
  <w:style w:type="character" w:customStyle="1" w:styleId="ContentControls">
    <w:name w:val="ContentControls"/>
    <w:basedOn w:val="DefaultParagraphFont"/>
    <w:uiPriority w:val="1"/>
    <w:rsid w:val="001D63E2"/>
    <w:rPr>
      <w:rFonts w:eastAsiaTheme="minorEastAsia"/>
      <w:color w:val="000000" w:themeColor="text1"/>
      <w:lang w:val="en-GB" w:eastAsia="zh-CN"/>
    </w:rPr>
  </w:style>
  <w:style w:type="paragraph" w:customStyle="1" w:styleId="Footnote-Separator">
    <w:name w:val="Footnote-Separator"/>
    <w:basedOn w:val="Normal-pool"/>
    <w:next w:val="Normal"/>
    <w:unhideWhenUsed/>
    <w:rsid w:val="001D63E2"/>
    <w:pPr>
      <w:spacing w:before="60"/>
      <w:ind w:left="624"/>
    </w:pPr>
    <w:rPr>
      <w:rFonts w:eastAsiaTheme="minorEastAsia"/>
      <w:sz w:val="18"/>
    </w:rPr>
  </w:style>
  <w:style w:type="paragraph" w:styleId="Bibliography">
    <w:name w:val="Bibliography"/>
    <w:basedOn w:val="Normal"/>
    <w:next w:val="Normal"/>
    <w:uiPriority w:val="37"/>
    <w:semiHidden/>
    <w:unhideWhenUsed/>
    <w:rsid w:val="001D63E2"/>
  </w:style>
  <w:style w:type="paragraph" w:styleId="BodyTextFirstIndent">
    <w:name w:val="Body Text First Indent"/>
    <w:basedOn w:val="BodyText"/>
    <w:link w:val="BodyTextFirstIndentChar"/>
    <w:semiHidden/>
    <w:unhideWhenUsed/>
    <w:rsid w:val="001D63E2"/>
    <w:pPr>
      <w:widowControl/>
      <w:tabs>
        <w:tab w:val="clear" w:pos="-720"/>
        <w:tab w:val="left" w:pos="1247"/>
      </w:tabs>
      <w:suppressAutoHyphens w:val="0"/>
      <w:ind w:firstLine="360"/>
      <w:jc w:val="left"/>
    </w:pPr>
    <w:rPr>
      <w:rFonts w:ascii="Times New Roman" w:hAnsi="Times New Roman"/>
      <w:snapToGrid/>
      <w:sz w:val="20"/>
    </w:rPr>
  </w:style>
  <w:style w:type="character" w:customStyle="1" w:styleId="BodyTextFirstIndentChar">
    <w:name w:val="Body Text First Indent Char"/>
    <w:basedOn w:val="BodyTextChar"/>
    <w:link w:val="BodyTextFirstIndent"/>
    <w:semiHidden/>
    <w:rsid w:val="001D63E2"/>
    <w:rPr>
      <w:rFonts w:ascii="Courier New" w:hAnsi="Courier New"/>
      <w:snapToGrid/>
      <w:sz w:val="24"/>
      <w:lang w:val="en-GB"/>
    </w:rPr>
  </w:style>
  <w:style w:type="paragraph" w:styleId="BodyTextFirstIndent2">
    <w:name w:val="Body Text First Indent 2"/>
    <w:basedOn w:val="BodyTextIndent"/>
    <w:link w:val="BodyTextFirstIndent2Char"/>
    <w:semiHidden/>
    <w:unhideWhenUsed/>
    <w:rsid w:val="001D63E2"/>
    <w:pPr>
      <w:tabs>
        <w:tab w:val="left" w:pos="1247"/>
      </w:tabs>
      <w:spacing w:after="0"/>
      <w:ind w:firstLine="360"/>
    </w:pPr>
    <w:rPr>
      <w:rFonts w:eastAsia="Times New Roman"/>
      <w:sz w:val="20"/>
      <w:szCs w:val="20"/>
      <w:lang w:eastAsia="en-US"/>
    </w:rPr>
  </w:style>
  <w:style w:type="character" w:customStyle="1" w:styleId="BodyTextFirstIndent2Char">
    <w:name w:val="Body Text First Indent 2 Char"/>
    <w:basedOn w:val="BodyTextIndentChar"/>
    <w:link w:val="BodyTextFirstIndent2"/>
    <w:semiHidden/>
    <w:rsid w:val="001D63E2"/>
    <w:rPr>
      <w:rFonts w:eastAsia="SimSun"/>
      <w:sz w:val="24"/>
      <w:szCs w:val="24"/>
      <w:lang w:val="en-GB" w:eastAsia="x-none"/>
    </w:rPr>
  </w:style>
  <w:style w:type="character" w:styleId="BookTitle">
    <w:name w:val="Book Title"/>
    <w:basedOn w:val="DefaultParagraphFont"/>
    <w:uiPriority w:val="33"/>
    <w:qFormat/>
    <w:rsid w:val="001D63E2"/>
    <w:rPr>
      <w:b/>
      <w:bCs/>
      <w:i/>
      <w:iCs/>
      <w:spacing w:val="5"/>
      <w:lang w:val="en-GB"/>
    </w:rPr>
  </w:style>
  <w:style w:type="paragraph" w:styleId="Closing">
    <w:name w:val="Closing"/>
    <w:basedOn w:val="Normal"/>
    <w:link w:val="ClosingChar"/>
    <w:semiHidden/>
    <w:unhideWhenUsed/>
    <w:rsid w:val="001D63E2"/>
    <w:pPr>
      <w:ind w:left="4252"/>
    </w:pPr>
  </w:style>
  <w:style w:type="character" w:customStyle="1" w:styleId="ClosingChar">
    <w:name w:val="Closing Char"/>
    <w:basedOn w:val="DefaultParagraphFont"/>
    <w:link w:val="Closing"/>
    <w:semiHidden/>
    <w:rsid w:val="001D63E2"/>
    <w:rPr>
      <w:lang w:val="en-GB"/>
    </w:rPr>
  </w:style>
  <w:style w:type="table" w:styleId="ColorfulGrid">
    <w:name w:val="Colorful Grid"/>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1D63E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1D63E2"/>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1D63E2"/>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1D63E2"/>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1D63E2"/>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1D63E2"/>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1D63E2"/>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1D63E2"/>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1D63E2"/>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1D63E2"/>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1D63E2"/>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1D63E2"/>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1D63E2"/>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1D63E2"/>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1D63E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1D63E2"/>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1D63E2"/>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1D63E2"/>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1D63E2"/>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1D63E2"/>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1D63E2"/>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1D63E2"/>
  </w:style>
  <w:style w:type="character" w:customStyle="1" w:styleId="DateChar">
    <w:name w:val="Date Char"/>
    <w:basedOn w:val="DefaultParagraphFont"/>
    <w:link w:val="Date"/>
    <w:semiHidden/>
    <w:rsid w:val="001D63E2"/>
    <w:rPr>
      <w:lang w:val="en-GB"/>
    </w:rPr>
  </w:style>
  <w:style w:type="paragraph" w:styleId="E-mailSignature">
    <w:name w:val="E-mail Signature"/>
    <w:basedOn w:val="Normal"/>
    <w:link w:val="E-mailSignatureChar"/>
    <w:semiHidden/>
    <w:unhideWhenUsed/>
    <w:rsid w:val="001D63E2"/>
  </w:style>
  <w:style w:type="character" w:customStyle="1" w:styleId="E-mailSignatureChar">
    <w:name w:val="E-mail Signature Char"/>
    <w:basedOn w:val="DefaultParagraphFont"/>
    <w:link w:val="E-mailSignature"/>
    <w:semiHidden/>
    <w:rsid w:val="001D63E2"/>
    <w:rPr>
      <w:lang w:val="en-GB"/>
    </w:rPr>
  </w:style>
  <w:style w:type="paragraph" w:styleId="EnvelopeAddress">
    <w:name w:val="envelope address"/>
    <w:basedOn w:val="Normal"/>
    <w:semiHidden/>
    <w:unhideWhenUsed/>
    <w:rsid w:val="001D63E2"/>
    <w:pPr>
      <w:framePr w:w="7920" w:h="1980" w:hRule="exact" w:hSpace="180" w:wrap="auto" w:hAnchor="page" w:xAlign="center" w:yAlign="bottom"/>
      <w:ind w:left="2880"/>
    </w:pPr>
    <w:rPr>
      <w:rFonts w:asciiTheme="majorHAnsi" w:eastAsiaTheme="majorEastAsia" w:hAnsiTheme="majorHAnsi" w:cstheme="majorBidi"/>
      <w:sz w:val="24"/>
      <w:szCs w:val="24"/>
    </w:rPr>
  </w:style>
  <w:style w:type="table" w:styleId="GridTable1Light">
    <w:name w:val="Grid Table 1 Light"/>
    <w:basedOn w:val="TableNormal"/>
    <w:rsid w:val="001D63E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D63E2"/>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1D63E2"/>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1D63E2"/>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1D63E2"/>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D63E2"/>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1D63E2"/>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rsid w:val="001D63E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1D63E2"/>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1D63E2"/>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1D63E2"/>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1D63E2"/>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1D63E2"/>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1D63E2"/>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rsid w:val="001D63E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1D63E2"/>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1D63E2"/>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1D63E2"/>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1D63E2"/>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1D63E2"/>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1D63E2"/>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1D63E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1D63E2"/>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1D63E2"/>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1D63E2"/>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1D63E2"/>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1D63E2"/>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1D63E2"/>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1D63E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1D63E2"/>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1D63E2"/>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1D63E2"/>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1D63E2"/>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1D63E2"/>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1D63E2"/>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1D63E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1D63E2"/>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1D63E2"/>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1D63E2"/>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1D63E2"/>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1D63E2"/>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1D63E2"/>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1D63E2"/>
    <w:rPr>
      <w:color w:val="2B579A"/>
      <w:shd w:val="clear" w:color="auto" w:fill="E1DFDD"/>
      <w:lang w:val="en-GB"/>
    </w:rPr>
  </w:style>
  <w:style w:type="character" w:styleId="HTMLAcronym">
    <w:name w:val="HTML Acronym"/>
    <w:basedOn w:val="DefaultParagraphFont"/>
    <w:semiHidden/>
    <w:unhideWhenUsed/>
    <w:rsid w:val="001D63E2"/>
    <w:rPr>
      <w:lang w:val="en-GB"/>
    </w:rPr>
  </w:style>
  <w:style w:type="paragraph" w:styleId="HTMLAddress">
    <w:name w:val="HTML Address"/>
    <w:basedOn w:val="Normal"/>
    <w:link w:val="HTMLAddressChar"/>
    <w:semiHidden/>
    <w:unhideWhenUsed/>
    <w:rsid w:val="001D63E2"/>
    <w:rPr>
      <w:i/>
      <w:iCs/>
    </w:rPr>
  </w:style>
  <w:style w:type="character" w:customStyle="1" w:styleId="HTMLAddressChar">
    <w:name w:val="HTML Address Char"/>
    <w:basedOn w:val="DefaultParagraphFont"/>
    <w:link w:val="HTMLAddress"/>
    <w:semiHidden/>
    <w:rsid w:val="001D63E2"/>
    <w:rPr>
      <w:i/>
      <w:iCs/>
      <w:lang w:val="en-GB"/>
    </w:rPr>
  </w:style>
  <w:style w:type="character" w:styleId="HTMLCode">
    <w:name w:val="HTML Code"/>
    <w:basedOn w:val="DefaultParagraphFont"/>
    <w:semiHidden/>
    <w:unhideWhenUsed/>
    <w:rsid w:val="001D63E2"/>
    <w:rPr>
      <w:rFonts w:ascii="Consolas" w:hAnsi="Consolas"/>
      <w:sz w:val="20"/>
      <w:szCs w:val="20"/>
      <w:lang w:val="en-GB"/>
    </w:rPr>
  </w:style>
  <w:style w:type="character" w:styleId="HTMLDefinition">
    <w:name w:val="HTML Definition"/>
    <w:basedOn w:val="DefaultParagraphFont"/>
    <w:semiHidden/>
    <w:unhideWhenUsed/>
    <w:rsid w:val="001D63E2"/>
    <w:rPr>
      <w:i/>
      <w:iCs/>
      <w:lang w:val="en-GB"/>
    </w:rPr>
  </w:style>
  <w:style w:type="character" w:styleId="HTMLKeyboard">
    <w:name w:val="HTML Keyboard"/>
    <w:basedOn w:val="DefaultParagraphFont"/>
    <w:semiHidden/>
    <w:unhideWhenUsed/>
    <w:rsid w:val="001D63E2"/>
    <w:rPr>
      <w:rFonts w:ascii="Consolas" w:hAnsi="Consolas"/>
      <w:sz w:val="20"/>
      <w:szCs w:val="20"/>
      <w:lang w:val="en-GB"/>
    </w:rPr>
  </w:style>
  <w:style w:type="character" w:styleId="HTMLSample">
    <w:name w:val="HTML Sample"/>
    <w:basedOn w:val="DefaultParagraphFont"/>
    <w:semiHidden/>
    <w:unhideWhenUsed/>
    <w:rsid w:val="001D63E2"/>
    <w:rPr>
      <w:rFonts w:ascii="Consolas" w:hAnsi="Consolas"/>
      <w:sz w:val="24"/>
      <w:szCs w:val="24"/>
      <w:lang w:val="en-GB"/>
    </w:rPr>
  </w:style>
  <w:style w:type="character" w:styleId="HTMLTypewriter">
    <w:name w:val="HTML Typewriter"/>
    <w:basedOn w:val="DefaultParagraphFont"/>
    <w:semiHidden/>
    <w:unhideWhenUsed/>
    <w:rsid w:val="001D63E2"/>
    <w:rPr>
      <w:rFonts w:ascii="Consolas" w:hAnsi="Consolas"/>
      <w:sz w:val="20"/>
      <w:szCs w:val="20"/>
      <w:lang w:val="en-GB"/>
    </w:rPr>
  </w:style>
  <w:style w:type="character" w:styleId="HTMLVariable">
    <w:name w:val="HTML Variable"/>
    <w:basedOn w:val="DefaultParagraphFont"/>
    <w:semiHidden/>
    <w:unhideWhenUsed/>
    <w:rsid w:val="001D63E2"/>
    <w:rPr>
      <w:i/>
      <w:iCs/>
      <w:lang w:val="en-GB"/>
    </w:rPr>
  </w:style>
  <w:style w:type="paragraph" w:styleId="Index1">
    <w:name w:val="index 1"/>
    <w:basedOn w:val="Normal"/>
    <w:next w:val="Normal"/>
    <w:autoRedefine/>
    <w:semiHidden/>
    <w:unhideWhenUsed/>
    <w:rsid w:val="001D63E2"/>
    <w:pPr>
      <w:tabs>
        <w:tab w:val="clear" w:pos="1247"/>
      </w:tabs>
      <w:ind w:left="200" w:hanging="200"/>
    </w:pPr>
  </w:style>
  <w:style w:type="paragraph" w:styleId="Index2">
    <w:name w:val="index 2"/>
    <w:basedOn w:val="Normal"/>
    <w:next w:val="Normal"/>
    <w:autoRedefine/>
    <w:semiHidden/>
    <w:unhideWhenUsed/>
    <w:rsid w:val="001D63E2"/>
    <w:pPr>
      <w:tabs>
        <w:tab w:val="clear" w:pos="1247"/>
      </w:tabs>
      <w:ind w:left="400" w:hanging="200"/>
    </w:pPr>
  </w:style>
  <w:style w:type="paragraph" w:styleId="Index3">
    <w:name w:val="index 3"/>
    <w:basedOn w:val="Normal"/>
    <w:next w:val="Normal"/>
    <w:autoRedefine/>
    <w:semiHidden/>
    <w:unhideWhenUsed/>
    <w:rsid w:val="001D63E2"/>
    <w:pPr>
      <w:tabs>
        <w:tab w:val="clear" w:pos="1247"/>
      </w:tabs>
      <w:ind w:left="600" w:hanging="200"/>
    </w:pPr>
  </w:style>
  <w:style w:type="paragraph" w:styleId="Index4">
    <w:name w:val="index 4"/>
    <w:basedOn w:val="Normal"/>
    <w:next w:val="Normal"/>
    <w:autoRedefine/>
    <w:semiHidden/>
    <w:unhideWhenUsed/>
    <w:rsid w:val="001D63E2"/>
    <w:pPr>
      <w:tabs>
        <w:tab w:val="clear" w:pos="1247"/>
      </w:tabs>
      <w:ind w:left="800" w:hanging="200"/>
    </w:pPr>
  </w:style>
  <w:style w:type="paragraph" w:styleId="Index5">
    <w:name w:val="index 5"/>
    <w:basedOn w:val="Normal"/>
    <w:next w:val="Normal"/>
    <w:autoRedefine/>
    <w:semiHidden/>
    <w:unhideWhenUsed/>
    <w:rsid w:val="001D63E2"/>
    <w:pPr>
      <w:tabs>
        <w:tab w:val="clear" w:pos="1247"/>
      </w:tabs>
      <w:ind w:left="1000" w:hanging="200"/>
    </w:pPr>
  </w:style>
  <w:style w:type="paragraph" w:styleId="Index6">
    <w:name w:val="index 6"/>
    <w:basedOn w:val="Normal"/>
    <w:next w:val="Normal"/>
    <w:autoRedefine/>
    <w:semiHidden/>
    <w:unhideWhenUsed/>
    <w:rsid w:val="001D63E2"/>
    <w:pPr>
      <w:tabs>
        <w:tab w:val="clear" w:pos="1247"/>
      </w:tabs>
      <w:ind w:left="1200" w:hanging="200"/>
    </w:pPr>
  </w:style>
  <w:style w:type="paragraph" w:styleId="Index7">
    <w:name w:val="index 7"/>
    <w:basedOn w:val="Normal"/>
    <w:next w:val="Normal"/>
    <w:autoRedefine/>
    <w:semiHidden/>
    <w:unhideWhenUsed/>
    <w:rsid w:val="001D63E2"/>
    <w:pPr>
      <w:tabs>
        <w:tab w:val="clear" w:pos="1247"/>
      </w:tabs>
      <w:ind w:left="1400" w:hanging="200"/>
    </w:pPr>
  </w:style>
  <w:style w:type="paragraph" w:styleId="Index8">
    <w:name w:val="index 8"/>
    <w:basedOn w:val="Normal"/>
    <w:next w:val="Normal"/>
    <w:autoRedefine/>
    <w:semiHidden/>
    <w:unhideWhenUsed/>
    <w:rsid w:val="001D63E2"/>
    <w:pPr>
      <w:tabs>
        <w:tab w:val="clear" w:pos="1247"/>
      </w:tabs>
      <w:ind w:left="1600" w:hanging="200"/>
    </w:pPr>
  </w:style>
  <w:style w:type="paragraph" w:styleId="Index9">
    <w:name w:val="index 9"/>
    <w:basedOn w:val="Normal"/>
    <w:next w:val="Normal"/>
    <w:autoRedefine/>
    <w:semiHidden/>
    <w:unhideWhenUsed/>
    <w:rsid w:val="001D63E2"/>
    <w:pPr>
      <w:tabs>
        <w:tab w:val="clear" w:pos="1247"/>
      </w:tabs>
      <w:ind w:left="1800" w:hanging="200"/>
    </w:pPr>
  </w:style>
  <w:style w:type="paragraph" w:styleId="IndexHeading">
    <w:name w:val="index heading"/>
    <w:basedOn w:val="Normal"/>
    <w:next w:val="Index1"/>
    <w:semiHidden/>
    <w:unhideWhenUsed/>
    <w:rsid w:val="001D63E2"/>
    <w:rPr>
      <w:rFonts w:asciiTheme="majorHAnsi" w:eastAsiaTheme="majorEastAsia" w:hAnsiTheme="majorHAnsi" w:cstheme="majorBidi"/>
      <w:b/>
      <w:bCs/>
    </w:rPr>
  </w:style>
  <w:style w:type="character" w:styleId="IntenseEmphasis">
    <w:name w:val="Intense Emphasis"/>
    <w:basedOn w:val="DefaultParagraphFont"/>
    <w:uiPriority w:val="21"/>
    <w:qFormat/>
    <w:rsid w:val="001D63E2"/>
    <w:rPr>
      <w:i/>
      <w:iCs/>
      <w:color w:val="4F81BD" w:themeColor="accent1"/>
      <w:lang w:val="en-GB"/>
    </w:rPr>
  </w:style>
  <w:style w:type="paragraph" w:styleId="IntenseQuote">
    <w:name w:val="Intense Quote"/>
    <w:basedOn w:val="Normal"/>
    <w:next w:val="Normal"/>
    <w:link w:val="IntenseQuoteChar"/>
    <w:uiPriority w:val="30"/>
    <w:qFormat/>
    <w:rsid w:val="001D63E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1D63E2"/>
    <w:rPr>
      <w:i/>
      <w:iCs/>
      <w:color w:val="4F81BD" w:themeColor="accent1"/>
      <w:lang w:val="en-GB"/>
    </w:rPr>
  </w:style>
  <w:style w:type="character" w:styleId="IntenseReference">
    <w:name w:val="Intense Reference"/>
    <w:basedOn w:val="DefaultParagraphFont"/>
    <w:uiPriority w:val="32"/>
    <w:qFormat/>
    <w:rsid w:val="001D63E2"/>
    <w:rPr>
      <w:b/>
      <w:bCs/>
      <w:smallCaps/>
      <w:color w:val="4F81BD" w:themeColor="accent1"/>
      <w:spacing w:val="5"/>
      <w:lang w:val="en-GB"/>
    </w:rPr>
  </w:style>
  <w:style w:type="table" w:styleId="LightGrid">
    <w:name w:val="Light Grid"/>
    <w:basedOn w:val="TableNormal"/>
    <w:uiPriority w:val="62"/>
    <w:semiHidden/>
    <w:unhideWhenUsed/>
    <w:rsid w:val="001D63E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1D63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1D63E2"/>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1D63E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1D63E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1D63E2"/>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1D63E2"/>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1D63E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1D63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1D63E2"/>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1D63E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1D63E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1D63E2"/>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1D63E2"/>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1D63E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1D63E2"/>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1D63E2"/>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1D63E2"/>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1D63E2"/>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1D63E2"/>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1D63E2"/>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1D63E2"/>
    <w:rPr>
      <w:lang w:val="en-GB"/>
    </w:rPr>
  </w:style>
  <w:style w:type="paragraph" w:styleId="List">
    <w:name w:val="List"/>
    <w:basedOn w:val="Normal"/>
    <w:semiHidden/>
    <w:unhideWhenUsed/>
    <w:rsid w:val="001D63E2"/>
    <w:pPr>
      <w:ind w:left="283" w:hanging="283"/>
      <w:contextualSpacing/>
    </w:pPr>
  </w:style>
  <w:style w:type="paragraph" w:styleId="List2">
    <w:name w:val="List 2"/>
    <w:basedOn w:val="Normal"/>
    <w:semiHidden/>
    <w:unhideWhenUsed/>
    <w:rsid w:val="001D63E2"/>
    <w:pPr>
      <w:ind w:left="566" w:hanging="283"/>
      <w:contextualSpacing/>
    </w:pPr>
  </w:style>
  <w:style w:type="paragraph" w:styleId="List3">
    <w:name w:val="List 3"/>
    <w:basedOn w:val="Normal"/>
    <w:semiHidden/>
    <w:unhideWhenUsed/>
    <w:rsid w:val="001D63E2"/>
    <w:pPr>
      <w:ind w:left="849" w:hanging="283"/>
      <w:contextualSpacing/>
    </w:pPr>
  </w:style>
  <w:style w:type="paragraph" w:styleId="List4">
    <w:name w:val="List 4"/>
    <w:basedOn w:val="Normal"/>
    <w:semiHidden/>
    <w:unhideWhenUsed/>
    <w:rsid w:val="001D63E2"/>
    <w:pPr>
      <w:ind w:left="1132" w:hanging="283"/>
      <w:contextualSpacing/>
    </w:pPr>
  </w:style>
  <w:style w:type="paragraph" w:styleId="List5">
    <w:name w:val="List 5"/>
    <w:basedOn w:val="Normal"/>
    <w:semiHidden/>
    <w:unhideWhenUsed/>
    <w:rsid w:val="001D63E2"/>
    <w:pPr>
      <w:ind w:left="1415" w:hanging="283"/>
      <w:contextualSpacing/>
    </w:pPr>
  </w:style>
  <w:style w:type="paragraph" w:styleId="ListBullet">
    <w:name w:val="List Bullet"/>
    <w:basedOn w:val="Normal"/>
    <w:rsid w:val="001D63E2"/>
    <w:pPr>
      <w:numPr>
        <w:numId w:val="13"/>
      </w:numPr>
      <w:contextualSpacing/>
    </w:pPr>
  </w:style>
  <w:style w:type="paragraph" w:styleId="ListBullet2">
    <w:name w:val="List Bullet 2"/>
    <w:basedOn w:val="Normal"/>
    <w:semiHidden/>
    <w:unhideWhenUsed/>
    <w:rsid w:val="001D63E2"/>
    <w:pPr>
      <w:numPr>
        <w:numId w:val="14"/>
      </w:numPr>
      <w:contextualSpacing/>
    </w:pPr>
  </w:style>
  <w:style w:type="paragraph" w:styleId="ListBullet3">
    <w:name w:val="List Bullet 3"/>
    <w:basedOn w:val="Normal"/>
    <w:semiHidden/>
    <w:unhideWhenUsed/>
    <w:rsid w:val="001D63E2"/>
    <w:pPr>
      <w:numPr>
        <w:numId w:val="15"/>
      </w:numPr>
      <w:contextualSpacing/>
    </w:pPr>
  </w:style>
  <w:style w:type="paragraph" w:styleId="ListBullet4">
    <w:name w:val="List Bullet 4"/>
    <w:basedOn w:val="Normal"/>
    <w:semiHidden/>
    <w:unhideWhenUsed/>
    <w:rsid w:val="001D63E2"/>
    <w:pPr>
      <w:numPr>
        <w:numId w:val="16"/>
      </w:numPr>
      <w:contextualSpacing/>
    </w:pPr>
  </w:style>
  <w:style w:type="paragraph" w:styleId="ListBullet5">
    <w:name w:val="List Bullet 5"/>
    <w:basedOn w:val="Normal"/>
    <w:semiHidden/>
    <w:unhideWhenUsed/>
    <w:rsid w:val="001D63E2"/>
    <w:pPr>
      <w:numPr>
        <w:numId w:val="17"/>
      </w:numPr>
      <w:contextualSpacing/>
    </w:pPr>
  </w:style>
  <w:style w:type="paragraph" w:styleId="ListContinue">
    <w:name w:val="List Continue"/>
    <w:basedOn w:val="Normal"/>
    <w:semiHidden/>
    <w:unhideWhenUsed/>
    <w:rsid w:val="001D63E2"/>
    <w:pPr>
      <w:spacing w:after="120"/>
      <w:ind w:left="283"/>
      <w:contextualSpacing/>
    </w:pPr>
  </w:style>
  <w:style w:type="paragraph" w:styleId="ListContinue2">
    <w:name w:val="List Continue 2"/>
    <w:basedOn w:val="Normal"/>
    <w:semiHidden/>
    <w:unhideWhenUsed/>
    <w:rsid w:val="001D63E2"/>
    <w:pPr>
      <w:spacing w:after="120"/>
      <w:ind w:left="566"/>
      <w:contextualSpacing/>
    </w:pPr>
  </w:style>
  <w:style w:type="paragraph" w:styleId="ListContinue3">
    <w:name w:val="List Continue 3"/>
    <w:basedOn w:val="Normal"/>
    <w:rsid w:val="001D63E2"/>
    <w:pPr>
      <w:spacing w:after="120"/>
      <w:ind w:left="849"/>
      <w:contextualSpacing/>
    </w:pPr>
  </w:style>
  <w:style w:type="paragraph" w:styleId="ListContinue4">
    <w:name w:val="List Continue 4"/>
    <w:basedOn w:val="Normal"/>
    <w:rsid w:val="001D63E2"/>
    <w:pPr>
      <w:spacing w:after="120"/>
      <w:ind w:left="1132"/>
      <w:contextualSpacing/>
    </w:pPr>
  </w:style>
  <w:style w:type="paragraph" w:styleId="ListContinue5">
    <w:name w:val="List Continue 5"/>
    <w:basedOn w:val="Normal"/>
    <w:rsid w:val="001D63E2"/>
    <w:pPr>
      <w:spacing w:after="120"/>
      <w:ind w:left="1415"/>
      <w:contextualSpacing/>
    </w:pPr>
  </w:style>
  <w:style w:type="paragraph" w:styleId="ListNumber">
    <w:name w:val="List Number"/>
    <w:basedOn w:val="Normal"/>
    <w:rsid w:val="001D63E2"/>
    <w:pPr>
      <w:numPr>
        <w:numId w:val="18"/>
      </w:numPr>
      <w:contextualSpacing/>
    </w:pPr>
  </w:style>
  <w:style w:type="paragraph" w:styleId="ListNumber2">
    <w:name w:val="List Number 2"/>
    <w:basedOn w:val="Normal"/>
    <w:semiHidden/>
    <w:unhideWhenUsed/>
    <w:rsid w:val="001D63E2"/>
    <w:pPr>
      <w:numPr>
        <w:numId w:val="19"/>
      </w:numPr>
      <w:contextualSpacing/>
    </w:pPr>
  </w:style>
  <w:style w:type="paragraph" w:styleId="ListNumber3">
    <w:name w:val="List Number 3"/>
    <w:basedOn w:val="Normal"/>
    <w:semiHidden/>
    <w:unhideWhenUsed/>
    <w:rsid w:val="001D63E2"/>
    <w:pPr>
      <w:numPr>
        <w:numId w:val="20"/>
      </w:numPr>
      <w:contextualSpacing/>
    </w:pPr>
  </w:style>
  <w:style w:type="paragraph" w:styleId="ListNumber4">
    <w:name w:val="List Number 4"/>
    <w:basedOn w:val="Normal"/>
    <w:semiHidden/>
    <w:unhideWhenUsed/>
    <w:rsid w:val="001D63E2"/>
    <w:pPr>
      <w:numPr>
        <w:numId w:val="21"/>
      </w:numPr>
      <w:contextualSpacing/>
    </w:pPr>
  </w:style>
  <w:style w:type="paragraph" w:styleId="ListNumber5">
    <w:name w:val="List Number 5"/>
    <w:basedOn w:val="Normal"/>
    <w:semiHidden/>
    <w:unhideWhenUsed/>
    <w:rsid w:val="001D63E2"/>
    <w:pPr>
      <w:numPr>
        <w:numId w:val="22"/>
      </w:numPr>
      <w:contextualSpacing/>
    </w:pPr>
  </w:style>
  <w:style w:type="table" w:styleId="ListTable1Light">
    <w:name w:val="List Table 1 Light"/>
    <w:basedOn w:val="TableNormal"/>
    <w:uiPriority w:val="46"/>
    <w:rsid w:val="001D63E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D63E2"/>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1D63E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1D63E2"/>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1D63E2"/>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1D63E2"/>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1D63E2"/>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1D63E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1D63E2"/>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1D63E2"/>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1D63E2"/>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1D63E2"/>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1D63E2"/>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1D63E2"/>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1D63E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1D63E2"/>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1D63E2"/>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1D63E2"/>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1D63E2"/>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1D63E2"/>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1D63E2"/>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1D63E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1D63E2"/>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1D63E2"/>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1D63E2"/>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1D63E2"/>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1D63E2"/>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1D63E2"/>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1D63E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D63E2"/>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D63E2"/>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D63E2"/>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D63E2"/>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D63E2"/>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D63E2"/>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D63E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1D63E2"/>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1D63E2"/>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1D63E2"/>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1D63E2"/>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1D63E2"/>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1D63E2"/>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1D63E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D63E2"/>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D63E2"/>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D63E2"/>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D63E2"/>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D63E2"/>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D63E2"/>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1D63E2"/>
    <w:pPr>
      <w:tabs>
        <w:tab w:val="left" w:pos="480"/>
        <w:tab w:val="left" w:pos="960"/>
        <w:tab w:val="left" w:pos="1440"/>
        <w:tab w:val="left" w:pos="1920"/>
        <w:tab w:val="left" w:pos="2400"/>
        <w:tab w:val="left" w:pos="2880"/>
        <w:tab w:val="left" w:pos="3360"/>
        <w:tab w:val="left" w:pos="3840"/>
        <w:tab w:val="left" w:pos="4320"/>
      </w:tabs>
      <w:adjustRightInd w:val="0"/>
      <w:snapToGrid w:val="0"/>
    </w:pPr>
    <w:rPr>
      <w:rFonts w:ascii="Consolas" w:hAnsi="Consolas"/>
      <w:lang w:val="en-GB"/>
    </w:rPr>
  </w:style>
  <w:style w:type="character" w:customStyle="1" w:styleId="MacroTextChar">
    <w:name w:val="Macro Text Char"/>
    <w:basedOn w:val="DefaultParagraphFont"/>
    <w:link w:val="MacroText"/>
    <w:rsid w:val="001D63E2"/>
    <w:rPr>
      <w:rFonts w:ascii="Consolas" w:hAnsi="Consolas"/>
      <w:lang w:val="en-GB"/>
    </w:rPr>
  </w:style>
  <w:style w:type="table" w:styleId="MediumGrid1">
    <w:name w:val="Medium Grid 1"/>
    <w:basedOn w:val="TableNormal"/>
    <w:uiPriority w:val="67"/>
    <w:semiHidden/>
    <w:unhideWhenUsed/>
    <w:rsid w:val="001D63E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1D63E2"/>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1D63E2"/>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1D63E2"/>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1D63E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1D63E2"/>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1D63E2"/>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1D63E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1D63E2"/>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1D63E2"/>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1D63E2"/>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1D63E2"/>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1D63E2"/>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1D63E2"/>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1D63E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1D63E2"/>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1D63E2"/>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1D63E2"/>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1D63E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1D63E2"/>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1D63E2"/>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1D63E2"/>
    <w:rPr>
      <w:color w:val="2B579A"/>
      <w:shd w:val="clear" w:color="auto" w:fill="E1DFDD"/>
      <w:lang w:val="en-GB"/>
    </w:rPr>
  </w:style>
  <w:style w:type="paragraph" w:styleId="MessageHeader">
    <w:name w:val="Message Header"/>
    <w:basedOn w:val="Normal"/>
    <w:link w:val="MessageHeaderChar"/>
    <w:rsid w:val="001D63E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1D63E2"/>
    <w:rPr>
      <w:rFonts w:asciiTheme="majorHAnsi" w:eastAsiaTheme="majorEastAsia" w:hAnsiTheme="majorHAnsi" w:cstheme="majorBidi"/>
      <w:sz w:val="24"/>
      <w:szCs w:val="24"/>
      <w:shd w:val="pct20" w:color="auto" w:fill="auto"/>
      <w:lang w:val="en-GB"/>
    </w:rPr>
  </w:style>
  <w:style w:type="paragraph" w:styleId="NoteHeading">
    <w:name w:val="Note Heading"/>
    <w:basedOn w:val="Normal"/>
    <w:next w:val="Normal"/>
    <w:link w:val="NoteHeadingChar"/>
    <w:semiHidden/>
    <w:unhideWhenUsed/>
    <w:rsid w:val="001D63E2"/>
  </w:style>
  <w:style w:type="character" w:customStyle="1" w:styleId="NoteHeadingChar">
    <w:name w:val="Note Heading Char"/>
    <w:basedOn w:val="DefaultParagraphFont"/>
    <w:link w:val="NoteHeading"/>
    <w:semiHidden/>
    <w:rsid w:val="001D63E2"/>
    <w:rPr>
      <w:lang w:val="en-GB"/>
    </w:rPr>
  </w:style>
  <w:style w:type="table" w:styleId="PlainTable1">
    <w:name w:val="Plain Table 1"/>
    <w:basedOn w:val="TableNormal"/>
    <w:rsid w:val="001D63E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1D63E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1D63E2"/>
    <w:tblPr>
      <w:tblStyleRowBandSize w:val="1"/>
      <w:tblStyleColBandSize w:val="1"/>
    </w:tblPr>
    <w:tblStylePr w:type="firstRow">
      <w:rPr>
        <w:b/>
        <w:bCs/>
      </w:rPr>
      <w:tblPr/>
      <w:tcPr>
        <w:tcBorders>
          <w:bottom w:val="single" w:sz="4" w:space="0" w:color="7F7F7F" w:themeColor="text1" w:themeTint="80"/>
        </w:tcBorders>
      </w:tcPr>
    </w:tblStylePr>
    <w:tblStylePr w:type="lastRow">
      <w:rPr>
        <w:b/>
        <w:bCs/>
      </w:rPr>
      <w:tblPr/>
      <w:tcPr>
        <w:tcBorders>
          <w:top w:val="nil"/>
        </w:tcBorders>
      </w:tcPr>
    </w:tblStylePr>
    <w:tblStylePr w:type="firstCol">
      <w:rPr>
        <w:b/>
        <w:bCs/>
      </w:rPr>
      <w:tblPr/>
      <w:tcPr>
        <w:tcBorders>
          <w:right w:val="single" w:sz="4" w:space="0" w:color="7F7F7F" w:themeColor="text1" w:themeTint="80"/>
        </w:tcBorders>
      </w:tcPr>
    </w:tblStylePr>
    <w:tblStylePr w:type="lastCol">
      <w:rPr>
        <w:b/>
        <w:bC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1D63E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1D63E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1D63E2"/>
    <w:rPr>
      <w:rFonts w:ascii="Consolas" w:hAnsi="Consolas"/>
      <w:sz w:val="21"/>
      <w:szCs w:val="21"/>
    </w:rPr>
  </w:style>
  <w:style w:type="character" w:customStyle="1" w:styleId="PlainTextChar">
    <w:name w:val="Plain Text Char"/>
    <w:basedOn w:val="DefaultParagraphFont"/>
    <w:link w:val="PlainText"/>
    <w:semiHidden/>
    <w:rsid w:val="001D63E2"/>
    <w:rPr>
      <w:rFonts w:ascii="Consolas" w:hAnsi="Consolas"/>
      <w:sz w:val="21"/>
      <w:szCs w:val="21"/>
      <w:lang w:val="en-GB"/>
    </w:rPr>
  </w:style>
  <w:style w:type="paragraph" w:styleId="Quote">
    <w:name w:val="Quote"/>
    <w:basedOn w:val="Normal"/>
    <w:next w:val="Normal"/>
    <w:link w:val="QuoteChar"/>
    <w:uiPriority w:val="29"/>
    <w:qFormat/>
    <w:rsid w:val="001D63E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1D63E2"/>
    <w:rPr>
      <w:i/>
      <w:iCs/>
      <w:color w:val="404040" w:themeColor="text1" w:themeTint="BF"/>
      <w:lang w:val="en-GB"/>
    </w:rPr>
  </w:style>
  <w:style w:type="paragraph" w:styleId="Salutation">
    <w:name w:val="Salutation"/>
    <w:basedOn w:val="Normal"/>
    <w:next w:val="Normal"/>
    <w:link w:val="SalutationChar"/>
    <w:semiHidden/>
    <w:unhideWhenUsed/>
    <w:rsid w:val="001D63E2"/>
  </w:style>
  <w:style w:type="character" w:customStyle="1" w:styleId="SalutationChar">
    <w:name w:val="Salutation Char"/>
    <w:basedOn w:val="DefaultParagraphFont"/>
    <w:link w:val="Salutation"/>
    <w:semiHidden/>
    <w:rsid w:val="001D63E2"/>
    <w:rPr>
      <w:lang w:val="en-GB"/>
    </w:rPr>
  </w:style>
  <w:style w:type="paragraph" w:styleId="Signature">
    <w:name w:val="Signature"/>
    <w:basedOn w:val="Normal"/>
    <w:link w:val="SignatureChar"/>
    <w:semiHidden/>
    <w:unhideWhenUsed/>
    <w:rsid w:val="001D63E2"/>
    <w:pPr>
      <w:ind w:left="4252"/>
    </w:pPr>
  </w:style>
  <w:style w:type="character" w:customStyle="1" w:styleId="SignatureChar">
    <w:name w:val="Signature Char"/>
    <w:basedOn w:val="DefaultParagraphFont"/>
    <w:link w:val="Signature"/>
    <w:semiHidden/>
    <w:rsid w:val="001D63E2"/>
    <w:rPr>
      <w:lang w:val="en-GB"/>
    </w:rPr>
  </w:style>
  <w:style w:type="character" w:styleId="SmartHyperlink">
    <w:name w:val="Smart Hyperlink"/>
    <w:basedOn w:val="DefaultParagraphFont"/>
    <w:uiPriority w:val="99"/>
    <w:semiHidden/>
    <w:unhideWhenUsed/>
    <w:rsid w:val="001D63E2"/>
    <w:rPr>
      <w:u w:val="dotted"/>
      <w:lang w:val="en-GB"/>
    </w:rPr>
  </w:style>
  <w:style w:type="character" w:customStyle="1" w:styleId="SmartLink1">
    <w:name w:val="SmartLink1"/>
    <w:basedOn w:val="DefaultParagraphFont"/>
    <w:uiPriority w:val="99"/>
    <w:semiHidden/>
    <w:unhideWhenUsed/>
    <w:rsid w:val="001D63E2"/>
    <w:rPr>
      <w:color w:val="0000FF"/>
      <w:u w:val="single"/>
      <w:shd w:val="clear" w:color="auto" w:fill="F3F2F1"/>
      <w:lang w:val="en-GB"/>
    </w:rPr>
  </w:style>
  <w:style w:type="character" w:styleId="SubtleEmphasis">
    <w:name w:val="Subtle Emphasis"/>
    <w:basedOn w:val="DefaultParagraphFont"/>
    <w:uiPriority w:val="19"/>
    <w:qFormat/>
    <w:rsid w:val="001D63E2"/>
    <w:rPr>
      <w:i/>
      <w:iCs/>
      <w:color w:val="404040" w:themeColor="text1" w:themeTint="BF"/>
      <w:lang w:val="en-GB"/>
    </w:rPr>
  </w:style>
  <w:style w:type="character" w:styleId="SubtleReference">
    <w:name w:val="Subtle Reference"/>
    <w:basedOn w:val="DefaultParagraphFont"/>
    <w:uiPriority w:val="31"/>
    <w:qFormat/>
    <w:rsid w:val="001D63E2"/>
    <w:rPr>
      <w:smallCaps/>
      <w:color w:val="5A5A5A" w:themeColor="text1" w:themeTint="A5"/>
      <w:lang w:val="en-GB"/>
    </w:rPr>
  </w:style>
  <w:style w:type="table" w:styleId="Table3Deffects1">
    <w:name w:val="Table 3D effects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olor w:val="auto"/>
      </w:rPr>
      <w:tblPr/>
      <w:tcPr>
        <w:tcBorders>
          <w:tl2br w:val="none" w:sz="0" w:space="0" w:color="auto"/>
          <w:tr2bl w:val="none" w:sz="0" w:space="0" w:color="auto"/>
        </w:tcBorders>
      </w:tcPr>
    </w:tblStylePr>
  </w:style>
  <w:style w:type="table" w:styleId="TableGrid10">
    <w:name w:val="Table Grid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1D63E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1D63E2"/>
    <w:pPr>
      <w:tabs>
        <w:tab w:val="clear" w:pos="1247"/>
      </w:tabs>
      <w:ind w:left="200" w:hanging="200"/>
    </w:pPr>
  </w:style>
  <w:style w:type="table" w:styleId="TableProfessional">
    <w:name w:val="Table Professional"/>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1D63E2"/>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1D63E2"/>
    <w:pPr>
      <w:numPr>
        <w:numId w:val="0"/>
      </w:numPr>
      <w:tabs>
        <w:tab w:val="left" w:pos="624"/>
        <w:tab w:val="left" w:pos="1247"/>
      </w:tabs>
      <w:suppressAutoHyphens w:val="0"/>
      <w:adjustRightInd w:val="0"/>
      <w:snapToGrid w:val="0"/>
      <w:spacing w:after="0"/>
      <w:ind w:right="0"/>
      <w:outlineLvl w:val="9"/>
    </w:pPr>
    <w:rPr>
      <w:rFonts w:asciiTheme="majorHAnsi" w:eastAsiaTheme="majorEastAsia" w:hAnsiTheme="majorHAnsi" w:cstheme="majorBidi"/>
      <w:b w:val="0"/>
      <w:color w:val="365F91" w:themeColor="accent1" w:themeShade="BF"/>
      <w:sz w:val="32"/>
      <w:szCs w:val="32"/>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semiHidden/>
    <w:rsid w:val="004926B3"/>
    <w:pPr>
      <w:tabs>
        <w:tab w:val="clear" w:pos="1247"/>
        <w:tab w:val="clear" w:pos="1814"/>
        <w:tab w:val="clear" w:pos="2381"/>
        <w:tab w:val="clear" w:pos="2948"/>
        <w:tab w:val="clear" w:pos="3515"/>
      </w:tabs>
      <w:spacing w:before="120" w:after="160" w:line="240" w:lineRule="exact"/>
    </w:pPr>
    <w:rPr>
      <w:szCs w:val="18"/>
      <w:vertAlign w:val="superscript"/>
    </w:rPr>
  </w:style>
  <w:style w:type="table" w:customStyle="1" w:styleId="AATable4">
    <w:name w:val="AA_Table4"/>
    <w:basedOn w:val="TableNormal"/>
    <w:rsid w:val="00114789"/>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afterLines="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table" w:customStyle="1" w:styleId="AATable12">
    <w:name w:val="AA_Table12"/>
    <w:basedOn w:val="TableNormal"/>
    <w:rsid w:val="00114789"/>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table" w:customStyle="1" w:styleId="AATable21">
    <w:name w:val="AA_Table21"/>
    <w:basedOn w:val="TableNormal"/>
    <w:rsid w:val="00114789"/>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table" w:customStyle="1" w:styleId="AATable31">
    <w:name w:val="AA_Table31"/>
    <w:basedOn w:val="TableNormal"/>
    <w:rsid w:val="00114789"/>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table" w:customStyle="1" w:styleId="AATable111">
    <w:name w:val="AA_Table111"/>
    <w:basedOn w:val="TableNormal"/>
    <w:rsid w:val="00114789"/>
    <w:rPr>
      <w:lang w:eastAsia="ja-JP"/>
    </w:rPr>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paragraph" w:customStyle="1" w:styleId="Level2">
    <w:name w:val="Level2"/>
    <w:basedOn w:val="Normal"/>
    <w:rsid w:val="00114789"/>
    <w:pPr>
      <w:tabs>
        <w:tab w:val="clear" w:pos="1247"/>
        <w:tab w:val="clear" w:pos="1814"/>
        <w:tab w:val="clear" w:pos="2381"/>
        <w:tab w:val="clear" w:pos="2948"/>
        <w:tab w:val="clear" w:pos="3515"/>
        <w:tab w:val="left" w:pos="578"/>
        <w:tab w:val="num" w:pos="938"/>
        <w:tab w:val="left" w:pos="1157"/>
      </w:tabs>
      <w:suppressAutoHyphens/>
      <w:spacing w:after="240"/>
      <w:ind w:firstLine="578"/>
    </w:pPr>
    <w:rPr>
      <w:sz w:val="22"/>
    </w:rPr>
  </w:style>
  <w:style w:type="paragraph" w:customStyle="1" w:styleId="Level1">
    <w:name w:val="Level1"/>
    <w:basedOn w:val="Normal"/>
    <w:autoRedefine/>
    <w:rsid w:val="00114789"/>
    <w:pPr>
      <w:keepNext/>
      <w:keepLines/>
      <w:tabs>
        <w:tab w:val="clear" w:pos="1247"/>
        <w:tab w:val="clear" w:pos="1814"/>
        <w:tab w:val="clear" w:pos="2381"/>
        <w:tab w:val="clear" w:pos="2948"/>
        <w:tab w:val="clear" w:pos="3515"/>
        <w:tab w:val="left" w:pos="1276"/>
      </w:tabs>
      <w:suppressAutoHyphens/>
      <w:spacing w:after="120"/>
    </w:pPr>
    <w:rPr>
      <w:sz w:val="22"/>
      <w:szCs w:val="22"/>
    </w:rPr>
  </w:style>
  <w:style w:type="paragraph" w:customStyle="1" w:styleId="mainpara">
    <w:name w:val="mainpara"/>
    <w:basedOn w:val="Normal"/>
    <w:rsid w:val="00114789"/>
    <w:pPr>
      <w:tabs>
        <w:tab w:val="clear" w:pos="1247"/>
        <w:tab w:val="clear" w:pos="1814"/>
        <w:tab w:val="clear" w:pos="2381"/>
        <w:tab w:val="clear" w:pos="2948"/>
        <w:tab w:val="clear" w:pos="3515"/>
        <w:tab w:val="left" w:pos="720"/>
        <w:tab w:val="left" w:pos="1440"/>
      </w:tabs>
    </w:pPr>
    <w:rPr>
      <w:snapToGrid w:val="0"/>
      <w:sz w:val="22"/>
      <w:szCs w:val="22"/>
      <w:lang w:eastAsia="zh-TW"/>
    </w:rPr>
  </w:style>
  <w:style w:type="paragraph" w:customStyle="1" w:styleId="Paralevel1">
    <w:name w:val="Para level1"/>
    <w:basedOn w:val="Normal"/>
    <w:rsid w:val="00114789"/>
    <w:pPr>
      <w:tabs>
        <w:tab w:val="clear" w:pos="1247"/>
        <w:tab w:val="clear" w:pos="1814"/>
        <w:tab w:val="clear" w:pos="2381"/>
        <w:tab w:val="clear" w:pos="2948"/>
        <w:tab w:val="clear" w:pos="3515"/>
        <w:tab w:val="num" w:pos="1800"/>
      </w:tabs>
      <w:spacing w:after="120"/>
      <w:ind w:left="1800" w:hanging="360"/>
    </w:pPr>
  </w:style>
  <w:style w:type="paragraph" w:customStyle="1" w:styleId="StyleParalevel110ptAfter6pt">
    <w:name w:val="Style Para level1 + 10 pt After:  6 pt"/>
    <w:basedOn w:val="Paralevel1"/>
    <w:rsid w:val="00114789"/>
  </w:style>
  <w:style w:type="paragraph" w:customStyle="1" w:styleId="HCh">
    <w:name w:val="_ H _Ch"/>
    <w:basedOn w:val="Normal"/>
    <w:next w:val="Normal"/>
    <w:rsid w:val="00114789"/>
    <w:pPr>
      <w:keepNext/>
      <w:keepLines/>
      <w:tabs>
        <w:tab w:val="clear" w:pos="1247"/>
        <w:tab w:val="clear" w:pos="1814"/>
        <w:tab w:val="clear" w:pos="2381"/>
        <w:tab w:val="clear" w:pos="2948"/>
        <w:tab w:val="clear" w:pos="3515"/>
      </w:tabs>
      <w:suppressAutoHyphens/>
      <w:spacing w:line="300" w:lineRule="exact"/>
      <w:outlineLvl w:val="0"/>
    </w:pPr>
    <w:rPr>
      <w:b/>
      <w:spacing w:val="-2"/>
      <w:w w:val="103"/>
      <w:kern w:val="14"/>
      <w:sz w:val="28"/>
    </w:rPr>
  </w:style>
  <w:style w:type="paragraph" w:customStyle="1" w:styleId="H1">
    <w:name w:val="_ H_1"/>
    <w:basedOn w:val="Normal"/>
    <w:next w:val="Normal"/>
    <w:rsid w:val="00114789"/>
    <w:pPr>
      <w:keepNext/>
      <w:keepLines/>
      <w:tabs>
        <w:tab w:val="clear" w:pos="1247"/>
        <w:tab w:val="clear" w:pos="1814"/>
        <w:tab w:val="clear" w:pos="2381"/>
        <w:tab w:val="clear" w:pos="2948"/>
        <w:tab w:val="clear" w:pos="3515"/>
      </w:tabs>
      <w:suppressAutoHyphens/>
      <w:spacing w:line="270" w:lineRule="exact"/>
      <w:outlineLvl w:val="0"/>
    </w:pPr>
    <w:rPr>
      <w:b/>
      <w:spacing w:val="4"/>
      <w:w w:val="103"/>
      <w:kern w:val="14"/>
      <w:sz w:val="24"/>
    </w:rPr>
  </w:style>
  <w:style w:type="paragraph" w:customStyle="1" w:styleId="main">
    <w:name w:val="main"/>
    <w:basedOn w:val="Normal"/>
    <w:autoRedefine/>
    <w:rsid w:val="00114789"/>
    <w:pPr>
      <w:widowControl w:val="0"/>
      <w:tabs>
        <w:tab w:val="clear" w:pos="1247"/>
        <w:tab w:val="clear" w:pos="1814"/>
        <w:tab w:val="clear" w:pos="2381"/>
        <w:tab w:val="clear" w:pos="2948"/>
        <w:tab w:val="clear" w:pos="3515"/>
        <w:tab w:val="left" w:pos="720"/>
      </w:tabs>
      <w:spacing w:line="360" w:lineRule="auto"/>
    </w:pPr>
    <w:rPr>
      <w:snapToGrid w:val="0"/>
    </w:rPr>
  </w:style>
  <w:style w:type="character" w:customStyle="1" w:styleId="Paralevel1Char">
    <w:name w:val="Para level1 Char"/>
    <w:rsid w:val="00114789"/>
    <w:rPr>
      <w:lang w:val="en-GB" w:eastAsia="en-US" w:bidi="ar-SA"/>
    </w:rPr>
  </w:style>
  <w:style w:type="paragraph" w:customStyle="1" w:styleId="SingleTxt">
    <w:name w:val="__Single Txt"/>
    <w:basedOn w:val="Normal"/>
    <w:rsid w:val="00114789"/>
    <w:pPr>
      <w:tabs>
        <w:tab w:val="clear" w:pos="1247"/>
        <w:tab w:val="clear" w:pos="1814"/>
        <w:tab w:val="clear" w:pos="2381"/>
        <w:tab w:val="clear" w:pos="2948"/>
        <w:tab w:val="clear" w:pos="3515"/>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spacing w:val="4"/>
      <w:w w:val="103"/>
      <w:kern w:val="14"/>
    </w:rPr>
  </w:style>
  <w:style w:type="paragraph" w:customStyle="1" w:styleId="Paralevel2">
    <w:name w:val="Para level2"/>
    <w:basedOn w:val="Paralevel1"/>
    <w:autoRedefine/>
    <w:rsid w:val="00114789"/>
    <w:pPr>
      <w:tabs>
        <w:tab w:val="clear" w:pos="1800"/>
      </w:tabs>
      <w:suppressAutoHyphens/>
      <w:ind w:left="1247" w:firstLine="624"/>
    </w:pPr>
  </w:style>
  <w:style w:type="character" w:customStyle="1" w:styleId="Paralevel2Char">
    <w:name w:val="Para level2 Char"/>
    <w:rsid w:val="00114789"/>
    <w:rPr>
      <w:lang w:val="en-GB" w:eastAsia="en-US" w:bidi="ar-SA"/>
    </w:rPr>
  </w:style>
  <w:style w:type="paragraph" w:customStyle="1" w:styleId="Paralevel3">
    <w:name w:val="Para level3"/>
    <w:basedOn w:val="Paralevel2"/>
    <w:rsid w:val="00114789"/>
    <w:pPr>
      <w:ind w:left="3119" w:hanging="624"/>
    </w:pPr>
  </w:style>
  <w:style w:type="paragraph" w:customStyle="1" w:styleId="Level3">
    <w:name w:val="Level3"/>
    <w:basedOn w:val="Level2"/>
    <w:rsid w:val="00114789"/>
    <w:pPr>
      <w:tabs>
        <w:tab w:val="clear" w:pos="938"/>
      </w:tabs>
      <w:ind w:firstLine="0"/>
    </w:pPr>
    <w:rPr>
      <w:szCs w:val="22"/>
    </w:rPr>
  </w:style>
  <w:style w:type="paragraph" w:customStyle="1" w:styleId="Spacer">
    <w:name w:val="Spacer"/>
    <w:basedOn w:val="Normal"/>
    <w:rsid w:val="00114789"/>
    <w:pPr>
      <w:tabs>
        <w:tab w:val="clear" w:pos="1247"/>
        <w:tab w:val="clear" w:pos="1814"/>
        <w:tab w:val="clear" w:pos="2381"/>
        <w:tab w:val="clear" w:pos="2948"/>
        <w:tab w:val="clear" w:pos="3515"/>
        <w:tab w:val="left" w:pos="-720"/>
        <w:tab w:val="left" w:pos="0"/>
        <w:tab w:val="left" w:pos="720"/>
      </w:tabs>
      <w:suppressAutoHyphens/>
    </w:pPr>
    <w:rPr>
      <w:sz w:val="10"/>
    </w:rPr>
  </w:style>
  <w:style w:type="paragraph" w:customStyle="1" w:styleId="Spacer1">
    <w:name w:val="Spacer1"/>
    <w:basedOn w:val="Normal"/>
    <w:rsid w:val="00114789"/>
    <w:pPr>
      <w:tabs>
        <w:tab w:val="clear" w:pos="1247"/>
        <w:tab w:val="clear" w:pos="1814"/>
        <w:tab w:val="clear" w:pos="2381"/>
        <w:tab w:val="clear" w:pos="2948"/>
        <w:tab w:val="clear" w:pos="3515"/>
      </w:tabs>
    </w:pPr>
    <w:rPr>
      <w:b/>
    </w:rPr>
  </w:style>
  <w:style w:type="paragraph" w:customStyle="1" w:styleId="Listings">
    <w:name w:val="Listings"/>
    <w:basedOn w:val="Normal"/>
    <w:rsid w:val="00114789"/>
    <w:pPr>
      <w:tabs>
        <w:tab w:val="clear" w:pos="1247"/>
        <w:tab w:val="clear" w:pos="1814"/>
        <w:tab w:val="clear" w:pos="2381"/>
        <w:tab w:val="clear" w:pos="2948"/>
        <w:tab w:val="clear" w:pos="3515"/>
      </w:tabs>
      <w:spacing w:after="40"/>
    </w:pPr>
  </w:style>
  <w:style w:type="paragraph" w:customStyle="1" w:styleId="ListBold">
    <w:name w:val="ListBold"/>
    <w:basedOn w:val="Listings"/>
    <w:rsid w:val="00114789"/>
    <w:rPr>
      <w:b/>
    </w:rPr>
  </w:style>
  <w:style w:type="paragraph" w:customStyle="1" w:styleId="Ripeat">
    <w:name w:val="Ripeat"/>
    <w:basedOn w:val="Normal"/>
    <w:next w:val="Normal"/>
    <w:rsid w:val="00114789"/>
    <w:pPr>
      <w:tabs>
        <w:tab w:val="clear" w:pos="1247"/>
        <w:tab w:val="clear" w:pos="1814"/>
        <w:tab w:val="clear" w:pos="2381"/>
        <w:tab w:val="clear" w:pos="2948"/>
        <w:tab w:val="clear" w:pos="3515"/>
      </w:tabs>
    </w:pPr>
    <w:rPr>
      <w:i/>
    </w:rPr>
  </w:style>
  <w:style w:type="paragraph" w:customStyle="1" w:styleId="biblio">
    <w:name w:val="biblio"/>
    <w:basedOn w:val="Normal"/>
    <w:rsid w:val="00114789"/>
    <w:pPr>
      <w:widowControl w:val="0"/>
      <w:tabs>
        <w:tab w:val="clear" w:pos="1247"/>
        <w:tab w:val="clear" w:pos="1814"/>
        <w:tab w:val="clear" w:pos="2381"/>
        <w:tab w:val="clear" w:pos="2948"/>
        <w:tab w:val="clear" w:pos="3515"/>
        <w:tab w:val="left" w:pos="90"/>
      </w:tabs>
    </w:pPr>
    <w:rPr>
      <w:snapToGrid w:val="0"/>
      <w:color w:val="000000"/>
      <w:sz w:val="22"/>
    </w:rPr>
  </w:style>
  <w:style w:type="paragraph" w:customStyle="1" w:styleId="TH">
    <w:name w:val="TH"/>
    <w:basedOn w:val="Normal"/>
    <w:next w:val="Normal"/>
    <w:rsid w:val="00114789"/>
    <w:pPr>
      <w:widowControl w:val="0"/>
      <w:tabs>
        <w:tab w:val="clear" w:pos="1247"/>
        <w:tab w:val="clear" w:pos="1814"/>
        <w:tab w:val="clear" w:pos="2381"/>
        <w:tab w:val="clear" w:pos="2948"/>
        <w:tab w:val="clear" w:pos="3515"/>
      </w:tabs>
      <w:spacing w:before="80"/>
    </w:pPr>
    <w:rPr>
      <w:rFonts w:ascii="Arial Narrow" w:hAnsi="Arial Narrow"/>
      <w:b/>
      <w:snapToGrid w:val="0"/>
      <w:color w:val="000000"/>
      <w:sz w:val="24"/>
    </w:rPr>
  </w:style>
  <w:style w:type="character" w:customStyle="1" w:styleId="EmailStyle62">
    <w:name w:val="EmailStyle62"/>
    <w:rsid w:val="00114789"/>
    <w:rPr>
      <w:rFonts w:ascii="Arial" w:hAnsi="Arial" w:cs="Arial"/>
      <w:color w:val="000000"/>
      <w:sz w:val="20"/>
    </w:rPr>
  </w:style>
  <w:style w:type="paragraph" w:customStyle="1" w:styleId="Special2">
    <w:name w:val="Special 2"/>
    <w:basedOn w:val="Special1"/>
    <w:rsid w:val="00114789"/>
    <w:pPr>
      <w:tabs>
        <w:tab w:val="num" w:pos="360"/>
      </w:tabs>
      <w:spacing w:before="120"/>
      <w:ind w:left="1985" w:hanging="284"/>
    </w:pPr>
  </w:style>
  <w:style w:type="paragraph" w:customStyle="1" w:styleId="Special1">
    <w:name w:val="Special 1"/>
    <w:basedOn w:val="BodyText"/>
    <w:rsid w:val="00114789"/>
    <w:pPr>
      <w:widowControl/>
      <w:tabs>
        <w:tab w:val="clear" w:pos="-720"/>
      </w:tabs>
      <w:suppressAutoHyphens w:val="0"/>
      <w:spacing w:before="240"/>
      <w:ind w:left="1701" w:hanging="1701"/>
      <w:jc w:val="both"/>
    </w:pPr>
    <w:rPr>
      <w:rFonts w:ascii="Arial" w:hAnsi="Arial" w:cs="Arial"/>
      <w:snapToGrid/>
      <w:lang w:val="en-AU"/>
    </w:rPr>
  </w:style>
  <w:style w:type="paragraph" w:customStyle="1" w:styleId="BodyText4">
    <w:name w:val="Body Text 4"/>
    <w:basedOn w:val="Normal"/>
    <w:next w:val="Normal"/>
    <w:rsid w:val="00114789"/>
    <w:pPr>
      <w:tabs>
        <w:tab w:val="clear" w:pos="1247"/>
        <w:tab w:val="clear" w:pos="1814"/>
        <w:tab w:val="clear" w:pos="2381"/>
        <w:tab w:val="clear" w:pos="2948"/>
        <w:tab w:val="clear" w:pos="3515"/>
      </w:tabs>
      <w:autoSpaceDE w:val="0"/>
      <w:autoSpaceDN w:val="0"/>
      <w:adjustRightInd w:val="0"/>
      <w:spacing w:before="160"/>
    </w:pPr>
    <w:rPr>
      <w:rFonts w:ascii="TimesNewRoman" w:hAnsi="TimesNewRoman"/>
      <w:sz w:val="24"/>
      <w:szCs w:val="24"/>
      <w:lang w:val="en-US"/>
    </w:rPr>
  </w:style>
  <w:style w:type="paragraph" w:customStyle="1" w:styleId="Default">
    <w:name w:val="Default"/>
    <w:rsid w:val="00114789"/>
    <w:pPr>
      <w:autoSpaceDE w:val="0"/>
      <w:autoSpaceDN w:val="0"/>
      <w:adjustRightInd w:val="0"/>
    </w:pPr>
    <w:rPr>
      <w:rFonts w:ascii="TimesNewRoman" w:hAnsi="TimesNewRoman"/>
    </w:rPr>
  </w:style>
  <w:style w:type="paragraph" w:customStyle="1" w:styleId="std">
    <w:name w:val="std"/>
    <w:basedOn w:val="Normal"/>
    <w:rsid w:val="00114789"/>
    <w:pPr>
      <w:tabs>
        <w:tab w:val="clear" w:pos="1247"/>
        <w:tab w:val="clear" w:pos="1814"/>
        <w:tab w:val="clear" w:pos="2381"/>
        <w:tab w:val="clear" w:pos="2948"/>
        <w:tab w:val="clear" w:pos="3515"/>
      </w:tabs>
    </w:pPr>
    <w:rPr>
      <w:sz w:val="24"/>
      <w:szCs w:val="24"/>
      <w:lang w:val="fr-FR" w:eastAsia="fr-FR"/>
    </w:rPr>
  </w:style>
  <w:style w:type="paragraph" w:customStyle="1" w:styleId="paralevel10">
    <w:name w:val="para level 1"/>
    <w:basedOn w:val="Normal"/>
    <w:rsid w:val="00114789"/>
    <w:pPr>
      <w:tabs>
        <w:tab w:val="clear" w:pos="1247"/>
        <w:tab w:val="clear" w:pos="1814"/>
        <w:tab w:val="clear" w:pos="2381"/>
        <w:tab w:val="clear" w:pos="2948"/>
        <w:tab w:val="clear" w:pos="3515"/>
        <w:tab w:val="num" w:pos="4197"/>
      </w:tabs>
      <w:ind w:left="3630"/>
    </w:pPr>
    <w:rPr>
      <w:sz w:val="22"/>
    </w:rPr>
  </w:style>
  <w:style w:type="paragraph" w:customStyle="1" w:styleId="StyleParalevel2Left0cmFirstline0cm">
    <w:name w:val="Style Para level 2 + Left:  0 cm First line:  0 cm"/>
    <w:basedOn w:val="Normal"/>
    <w:rsid w:val="00114789"/>
    <w:pPr>
      <w:tabs>
        <w:tab w:val="clear" w:pos="1247"/>
        <w:tab w:val="clear" w:pos="1814"/>
        <w:tab w:val="clear" w:pos="2381"/>
        <w:tab w:val="clear" w:pos="2948"/>
        <w:tab w:val="clear" w:pos="3515"/>
      </w:tabs>
      <w:suppressAutoHyphens/>
      <w:spacing w:after="120"/>
      <w:ind w:left="1247" w:firstLine="624"/>
    </w:pPr>
    <w:rPr>
      <w:lang w:val="en-US"/>
    </w:rPr>
  </w:style>
  <w:style w:type="paragraph" w:customStyle="1" w:styleId="StyleAnxheadAfter12pt">
    <w:name w:val="Style Anx head + After:  12 pt"/>
    <w:basedOn w:val="Normal"/>
    <w:rsid w:val="00114789"/>
    <w:pPr>
      <w:tabs>
        <w:tab w:val="clear" w:pos="1247"/>
        <w:tab w:val="clear" w:pos="1814"/>
        <w:tab w:val="clear" w:pos="2381"/>
        <w:tab w:val="clear" w:pos="2948"/>
        <w:tab w:val="clear" w:pos="3515"/>
      </w:tabs>
      <w:spacing w:after="240"/>
      <w:ind w:left="1247"/>
    </w:pPr>
    <w:rPr>
      <w:b/>
      <w:bCs/>
      <w:sz w:val="28"/>
    </w:rPr>
  </w:style>
  <w:style w:type="paragraph" w:customStyle="1" w:styleId="ListAD">
    <w:name w:val="ListAD"/>
    <w:basedOn w:val="Listings"/>
    <w:rsid w:val="00114789"/>
    <w:pPr>
      <w:spacing w:after="0"/>
    </w:pPr>
    <w:rPr>
      <w:rFonts w:eastAsia="SimSun"/>
    </w:rPr>
  </w:style>
  <w:style w:type="paragraph" w:customStyle="1" w:styleId="Substance">
    <w:name w:val="Substance"/>
    <w:basedOn w:val="Heading1"/>
    <w:rsid w:val="00114789"/>
    <w:pPr>
      <w:keepLines w:val="0"/>
      <w:numPr>
        <w:numId w:val="0"/>
      </w:numPr>
      <w:tabs>
        <w:tab w:val="clear" w:pos="1871"/>
        <w:tab w:val="clear" w:pos="2495"/>
        <w:tab w:val="clear" w:pos="3119"/>
        <w:tab w:val="clear" w:pos="3742"/>
        <w:tab w:val="clear" w:pos="4366"/>
      </w:tabs>
      <w:suppressAutoHyphens w:val="0"/>
      <w:spacing w:before="160" w:after="160"/>
      <w:ind w:right="0"/>
      <w:outlineLvl w:val="9"/>
    </w:pPr>
    <w:rPr>
      <w:rFonts w:eastAsia="SimSun"/>
      <w:bCs/>
      <w:kern w:val="28"/>
      <w:sz w:val="48"/>
      <w:szCs w:val="48"/>
    </w:rPr>
  </w:style>
  <w:style w:type="paragraph" w:customStyle="1" w:styleId="RefNo">
    <w:name w:val="RefNo"/>
    <w:basedOn w:val="Listings"/>
    <w:rsid w:val="00114789"/>
    <w:pPr>
      <w:spacing w:after="0"/>
      <w:jc w:val="right"/>
    </w:pPr>
    <w:rPr>
      <w:rFonts w:eastAsia="SimSun"/>
      <w:i/>
      <w:iCs/>
    </w:rPr>
  </w:style>
  <w:style w:type="paragraph" w:customStyle="1" w:styleId="ca">
    <w:name w:val="ca"/>
    <w:basedOn w:val="Normal"/>
    <w:autoRedefine/>
    <w:rsid w:val="00114789"/>
    <w:pPr>
      <w:widowControl w:val="0"/>
      <w:tabs>
        <w:tab w:val="clear" w:pos="1247"/>
        <w:tab w:val="clear" w:pos="1814"/>
        <w:tab w:val="clear" w:pos="2381"/>
        <w:tab w:val="clear" w:pos="2948"/>
        <w:tab w:val="clear" w:pos="3515"/>
      </w:tabs>
    </w:pPr>
    <w:rPr>
      <w:rFonts w:eastAsia="SimSun"/>
      <w:color w:val="000000"/>
    </w:rPr>
  </w:style>
  <w:style w:type="paragraph" w:customStyle="1" w:styleId="ad">
    <w:name w:val="ad"/>
    <w:basedOn w:val="Normal"/>
    <w:rsid w:val="00114789"/>
    <w:pPr>
      <w:widowControl w:val="0"/>
      <w:tabs>
        <w:tab w:val="clear" w:pos="1247"/>
        <w:tab w:val="clear" w:pos="1814"/>
        <w:tab w:val="clear" w:pos="2381"/>
        <w:tab w:val="clear" w:pos="2948"/>
        <w:tab w:val="clear" w:pos="3515"/>
        <w:tab w:val="left" w:pos="6480"/>
        <w:tab w:val="left" w:pos="7200"/>
      </w:tabs>
    </w:pPr>
    <w:rPr>
      <w:rFonts w:ascii="Abadi MT Condensed" w:eastAsia="SimSun" w:hAnsi="Abadi MT Condensed"/>
      <w:color w:val="000000"/>
    </w:rPr>
  </w:style>
  <w:style w:type="character" w:customStyle="1" w:styleId="EmailStyle49">
    <w:name w:val="EmailStyle49"/>
    <w:rsid w:val="00114789"/>
    <w:rPr>
      <w:rFonts w:ascii="Arial" w:hAnsi="Arial" w:cs="Arial"/>
      <w:color w:val="000000"/>
      <w:sz w:val="20"/>
      <w:szCs w:val="20"/>
    </w:rPr>
  </w:style>
  <w:style w:type="character" w:customStyle="1" w:styleId="EmailStyle54">
    <w:name w:val="EmailStyle54"/>
    <w:rsid w:val="00114789"/>
    <w:rPr>
      <w:rFonts w:ascii="Arial" w:hAnsi="Arial" w:cs="Arial"/>
      <w:color w:val="000000"/>
      <w:sz w:val="20"/>
      <w:szCs w:val="20"/>
    </w:rPr>
  </w:style>
  <w:style w:type="character" w:customStyle="1" w:styleId="EmailStyle20">
    <w:name w:val="EmailStyle20"/>
    <w:rsid w:val="00114789"/>
    <w:rPr>
      <w:rFonts w:ascii="Arial" w:hAnsi="Arial" w:cs="Arial"/>
      <w:color w:val="000000"/>
      <w:sz w:val="20"/>
      <w:szCs w:val="20"/>
    </w:rPr>
  </w:style>
  <w:style w:type="character" w:customStyle="1" w:styleId="emailstyle15">
    <w:name w:val="emailstyle15"/>
    <w:rsid w:val="00114789"/>
    <w:rPr>
      <w:rFonts w:ascii="Arial" w:hAnsi="Arial" w:cs="Arial"/>
      <w:color w:val="000000"/>
      <w:sz w:val="20"/>
      <w:szCs w:val="20"/>
    </w:rPr>
  </w:style>
  <w:style w:type="paragraph" w:customStyle="1" w:styleId="Ingenmellomrom1">
    <w:name w:val="Ingen mellomrom1"/>
    <w:qFormat/>
    <w:rsid w:val="00114789"/>
    <w:rPr>
      <w:rFonts w:eastAsia="SimSun"/>
      <w:sz w:val="24"/>
      <w:szCs w:val="24"/>
      <w:lang w:val="en-GB" w:eastAsia="zh-CN"/>
    </w:rPr>
  </w:style>
  <w:style w:type="paragraph" w:customStyle="1" w:styleId="Char1CharCharCharCharChar">
    <w:name w:val="Char1 Char Char Char Char Char"/>
    <w:basedOn w:val="Normal"/>
    <w:rsid w:val="00114789"/>
    <w:pPr>
      <w:tabs>
        <w:tab w:val="clear" w:pos="1247"/>
        <w:tab w:val="clear" w:pos="1814"/>
        <w:tab w:val="clear" w:pos="2381"/>
        <w:tab w:val="clear" w:pos="2948"/>
        <w:tab w:val="clear" w:pos="3515"/>
      </w:tabs>
      <w:spacing w:after="160" w:line="240" w:lineRule="exact"/>
    </w:pPr>
    <w:rPr>
      <w:rFonts w:ascii="Tahoma" w:hAnsi="Tahoma"/>
      <w:lang w:val="en-US"/>
    </w:rPr>
  </w:style>
  <w:style w:type="character" w:customStyle="1" w:styleId="colname1">
    <w:name w:val="col_name1"/>
    <w:basedOn w:val="DefaultParagraphFont"/>
    <w:rsid w:val="00114789"/>
  </w:style>
  <w:style w:type="character" w:customStyle="1" w:styleId="colftyp">
    <w:name w:val="col_ftyp"/>
    <w:basedOn w:val="DefaultParagraphFont"/>
    <w:rsid w:val="00114789"/>
  </w:style>
  <w:style w:type="character" w:customStyle="1" w:styleId="colland">
    <w:name w:val="col_land"/>
    <w:basedOn w:val="DefaultParagraphFont"/>
    <w:rsid w:val="00114789"/>
  </w:style>
  <w:style w:type="character" w:customStyle="1" w:styleId="colblank">
    <w:name w:val="col_blank"/>
    <w:basedOn w:val="DefaultParagraphFont"/>
    <w:rsid w:val="00114789"/>
  </w:style>
  <w:style w:type="character" w:customStyle="1" w:styleId="hrtext">
    <w:name w:val="hr_text"/>
    <w:basedOn w:val="DefaultParagraphFont"/>
    <w:rsid w:val="00114789"/>
  </w:style>
  <w:style w:type="character" w:customStyle="1" w:styleId="url">
    <w:name w:val="url"/>
    <w:basedOn w:val="DefaultParagraphFont"/>
    <w:rsid w:val="00114789"/>
  </w:style>
  <w:style w:type="character" w:customStyle="1" w:styleId="DeltaViewInsertion">
    <w:name w:val="DeltaView Insertion"/>
    <w:uiPriority w:val="99"/>
    <w:rsid w:val="00114789"/>
    <w:rPr>
      <w:color w:val="0000FF"/>
      <w:u w:val="double"/>
    </w:rPr>
  </w:style>
  <w:style w:type="character" w:customStyle="1" w:styleId="EstiloDeEmail511">
    <w:name w:val="EstiloDeEmail511"/>
    <w:rsid w:val="00114789"/>
    <w:rPr>
      <w:rFonts w:ascii="Arial" w:hAnsi="Arial" w:cs="Arial"/>
      <w:color w:val="000000"/>
      <w:sz w:val="20"/>
      <w:szCs w:val="20"/>
    </w:rPr>
  </w:style>
  <w:style w:type="character" w:customStyle="1" w:styleId="EstiloDeEmail561">
    <w:name w:val="EstiloDeEmail561"/>
    <w:rsid w:val="00114789"/>
    <w:rPr>
      <w:rFonts w:ascii="Arial" w:hAnsi="Arial" w:cs="Arial"/>
      <w:color w:val="000000"/>
      <w:sz w:val="20"/>
      <w:szCs w:val="20"/>
    </w:rPr>
  </w:style>
  <w:style w:type="paragraph" w:customStyle="1" w:styleId="ListParagraph1">
    <w:name w:val="List Paragraph1"/>
    <w:basedOn w:val="Normal"/>
    <w:rsid w:val="00114789"/>
    <w:pPr>
      <w:tabs>
        <w:tab w:val="clear" w:pos="1247"/>
        <w:tab w:val="clear" w:pos="1814"/>
        <w:tab w:val="clear" w:pos="2381"/>
        <w:tab w:val="clear" w:pos="2948"/>
        <w:tab w:val="clear" w:pos="3515"/>
      </w:tabs>
      <w:ind w:left="720"/>
      <w:contextualSpacing/>
    </w:pPr>
    <w:rPr>
      <w:rFonts w:eastAsia="SimSun"/>
      <w:sz w:val="24"/>
      <w:szCs w:val="24"/>
      <w:lang w:val="es-ES" w:eastAsia="es-ES" w:bidi="es-ES"/>
    </w:rPr>
  </w:style>
  <w:style w:type="character" w:customStyle="1" w:styleId="BBTitleChar">
    <w:name w:val="BB_Title Char"/>
    <w:link w:val="BBTitle"/>
    <w:rsid w:val="00114789"/>
    <w:rPr>
      <w:b/>
      <w:sz w:val="28"/>
      <w:szCs w:val="2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26452">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20208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inchem.org/" TargetMode="External"/><Relationship Id="rId26" Type="http://schemas.openxmlformats.org/officeDocument/2006/relationships/hyperlink" Target="http://toxnet.nlm.nih.gov/cgi-bin/sis/htmlgen" TargetMode="External"/><Relationship Id="rId3" Type="http://schemas.openxmlformats.org/officeDocument/2006/relationships/customXml" Target="../customXml/item3.xml"/><Relationship Id="rId21" Type="http://schemas.openxmlformats.org/officeDocument/2006/relationships/hyperlink" Target="http://www.inchem.org/documents/pds/pds/pds_intro_doc.htm" TargetMode="External"/><Relationship Id="rId34"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image" Target="media/image2.gif"/><Relationship Id="rId17" Type="http://schemas.openxmlformats.org/officeDocument/2006/relationships/hyperlink" Target="http://www.pic.int/TheConvention/ChemicalReviewCommittee/Meetingsanddocuments/CRC9/" TargetMode="External"/><Relationship Id="rId25" Type="http://schemas.openxmlformats.org/officeDocument/2006/relationships/hyperlink" Target="http://ec.europa.eu/sanco_pesticides/public/?event=activesubstance.ViewReview&amp;id=174" TargetMode="External"/><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pic.int/" TargetMode="External"/><Relationship Id="rId20" Type="http://schemas.openxmlformats.org/officeDocument/2006/relationships/image" Target="media/image5.png"/><Relationship Id="rId29" Type="http://schemas.openxmlformats.org/officeDocument/2006/relationships/hyperlink" Target="http://www.who.int/ipcs/publications/pesticides_hazard/e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atsdr.cdc.gov/consultations/west_nile_virus/fenthion.html"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hyperlink" Target="http://www.apvma.gov.au/products/review/current/fenthion.php" TargetMode="External"/><Relationship Id="rId28" Type="http://schemas.openxmlformats.org/officeDocument/2006/relationships/hyperlink" Target="http://www.epa.gov/pesticides/reregistration/REDs/0290ired.pdf"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4.jpeg"/><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www.apvma.gov.au/products/review/docs/fenthion_part_2_toxicology_report.pdf" TargetMode="External"/><Relationship Id="rId27" Type="http://schemas.openxmlformats.org/officeDocument/2006/relationships/hyperlink" Target="http://sitem.herts.ac.uk/aeru/ppdb/en/index.htm"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6f0b1e67-b749-4846-8c2c-7485d5586c1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E7F64B7898D8448A294D653041AEC1" ma:contentTypeVersion="18" ma:contentTypeDescription="Create a new document." ma:contentTypeScope="" ma:versionID="50935a4596cdc91115b5417454a138bb">
  <xsd:schema xmlns:xsd="http://www.w3.org/2001/XMLSchema" xmlns:xs="http://www.w3.org/2001/XMLSchema" xmlns:p="http://schemas.microsoft.com/office/2006/metadata/properties" xmlns:ns2="6f0b1e67-b749-4846-8c2c-7485d5586c10" xmlns:ns3="985ec44e-1bab-4c0b-9df0-6ba128686fc9" xmlns:ns4="7f93443f-b1c3-42c8-94f5-ed15656364b3" targetNamespace="http://schemas.microsoft.com/office/2006/metadata/properties" ma:root="true" ma:fieldsID="b63eaafd6ec0fa7f3f799c7b947df72e" ns2:_="" ns3:_="" ns4:_="">
    <xsd:import namespace="6f0b1e67-b749-4846-8c2c-7485d5586c10"/>
    <xsd:import namespace="985ec44e-1bab-4c0b-9df0-6ba128686fc9"/>
    <xsd:import namespace="7f93443f-b1c3-42c8-94f5-ed15656364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0b1e67-b749-4846-8c2c-7485d5586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09b722-a7f8-452c-8e1b-05b8dd0fee40}" ma:internalName="TaxCatchAll" ma:showField="CatchAllData" ma:web="7f93443f-b1c3-42c8-94f5-ed15656364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93443f-b1c3-42c8-94f5-ed15656364b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C71465-CFF7-4397-8843-B9C313D26581}">
  <ds:schemaRefs>
    <ds:schemaRef ds:uri="http://schemas.microsoft.com/office/2006/metadata/properties"/>
    <ds:schemaRef ds:uri="http://schemas.microsoft.com/office/infopath/2007/PartnerControls"/>
    <ds:schemaRef ds:uri="985ec44e-1bab-4c0b-9df0-6ba128686fc9"/>
    <ds:schemaRef ds:uri="44b29a07-ae0c-4297-aad9-2f7ae2e24b8e"/>
  </ds:schemaRefs>
</ds:datastoreItem>
</file>

<file path=customXml/itemProps2.xml><?xml version="1.0" encoding="utf-8"?>
<ds:datastoreItem xmlns:ds="http://schemas.openxmlformats.org/officeDocument/2006/customXml" ds:itemID="{54F10565-FD87-4765-87BB-DB19CF113827}">
  <ds:schemaRefs>
    <ds:schemaRef ds:uri="http://schemas.microsoft.com/sharepoint/v3/contenttype/forms"/>
  </ds:schemaRefs>
</ds:datastoreItem>
</file>

<file path=customXml/itemProps3.xml><?xml version="1.0" encoding="utf-8"?>
<ds:datastoreItem xmlns:ds="http://schemas.openxmlformats.org/officeDocument/2006/customXml" ds:itemID="{3A50EB82-D413-4C7F-B621-B54D085131D0}"/>
</file>

<file path=customXml/itemProps4.xml><?xml version="1.0" encoding="utf-8"?>
<ds:datastoreItem xmlns:ds="http://schemas.openxmlformats.org/officeDocument/2006/customXml" ds:itemID="{80067C4F-DDBB-7741-A35A-22CF6FB10B43}">
  <ds:schemaRefs>
    <ds:schemaRef ds:uri="http://schemas.openxmlformats.org/officeDocument/2006/bibliography"/>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23</TotalTime>
  <Pages>37</Pages>
  <Words>15269</Words>
  <Characters>87034</Characters>
  <Application>Microsoft Office Word</Application>
  <DocSecurity>0</DocSecurity>
  <PresentationFormat/>
  <Lines>725</Lines>
  <Paragraphs>204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102099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Munslow</dc:creator>
  <cp:keywords/>
  <dc:description/>
  <cp:lastModifiedBy>Leslie Angeles</cp:lastModifiedBy>
  <cp:revision>6</cp:revision>
  <cp:lastPrinted>2024-12-20T09:05:00Z</cp:lastPrinted>
  <dcterms:created xsi:type="dcterms:W3CDTF">2024-12-19T14:14:00Z</dcterms:created>
  <dcterms:modified xsi:type="dcterms:W3CDTF">2025-06-13T11:14:00Z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Language">
    <vt:lpwstr>EN</vt:lpwstr>
  </property>
  <property fmtid="{D5CDD505-2E9C-101B-9397-08002B2CF9AE}" pid="4" name="UNONDCSTES-Category">
    <vt:lpwstr>UNEP-FAO-RC-COP</vt:lpwstr>
  </property>
  <property fmtid="{D5CDD505-2E9C-101B-9397-08002B2CF9AE}" pid="5" name="UNONDCSTES-NoSymbol">
    <vt:lpwstr>1</vt:lpwstr>
  </property>
  <property fmtid="{D5CDD505-2E9C-101B-9397-08002B2CF9AE}" pid="6" name="UNONDCSTES-LangDistr">
    <vt:lpwstr>EN_AR-CH-EN-FR-RU-SP</vt:lpwstr>
  </property>
  <property fmtid="{D5CDD505-2E9C-101B-9397-08002B2CF9AE}" pid="7" name="UNONDCSTES-ReqEmail">
    <vt:lpwstr/>
  </property>
  <property fmtid="{D5CDD505-2E9C-101B-9397-08002B2CF9AE}" pid="8" name="UNONDCSTES-ReqID">
    <vt:lpwstr/>
  </property>
  <property fmtid="{D5CDD505-2E9C-101B-9397-08002B2CF9AE}" pid="9" name="UNONDCSTES-Distr">
    <vt:lpwstr>Gen</vt:lpwstr>
  </property>
  <property fmtid="{D5CDD505-2E9C-101B-9397-08002B2CF9AE}" pid="10" name="MediaServiceImageTags">
    <vt:lpwstr/>
  </property>
  <property fmtid="{D5CDD505-2E9C-101B-9397-08002B2CF9AE}" pid="11" name="ContentTypeId">
    <vt:lpwstr>0x0101002AE7F64B7898D8448A294D653041AEC1</vt:lpwstr>
  </property>
  <property fmtid="{D5CDD505-2E9C-101B-9397-08002B2CF9AE}" pid="12" name="TranslatedWith">
    <vt:lpwstr>Mercury</vt:lpwstr>
  </property>
  <property fmtid="{D5CDD505-2E9C-101B-9397-08002B2CF9AE}" pid="13" name="GeneratedBy">
    <vt:lpwstr>pablo.alvarez@un.org</vt:lpwstr>
  </property>
  <property fmtid="{D5CDD505-2E9C-101B-9397-08002B2CF9AE}" pid="14" name="GeneratedDate">
    <vt:lpwstr>12/10/2024 11:32:23</vt:lpwstr>
  </property>
  <property fmtid="{D5CDD505-2E9C-101B-9397-08002B2CF9AE}" pid="15" name="OriginalDocID">
    <vt:lpwstr>282ecc71-fc67-4b6f-a5ac-4a2615b4cfa1</vt:lpwstr>
  </property>
</Properties>
</file>