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7D210" w14:textId="77777777" w:rsidR="00C31740" w:rsidRDefault="00C31740" w:rsidP="00B71CE7">
      <w:pPr>
        <w:spacing w:line="240" w:lineRule="atLeast"/>
        <w:jc w:val="center"/>
        <w:rPr>
          <w:sz w:val="48"/>
          <w:szCs w:val="38"/>
        </w:rPr>
      </w:pPr>
    </w:p>
    <w:p w14:paraId="2E4282E9" w14:textId="77777777" w:rsidR="00C31740" w:rsidRDefault="00C31740" w:rsidP="00B71CE7">
      <w:pPr>
        <w:spacing w:line="240" w:lineRule="atLeast"/>
        <w:jc w:val="center"/>
        <w:rPr>
          <w:sz w:val="48"/>
          <w:szCs w:val="38"/>
        </w:rPr>
      </w:pPr>
    </w:p>
    <w:p w14:paraId="48A4E8FB" w14:textId="77777777" w:rsidR="00C31740" w:rsidRDefault="00C31740" w:rsidP="00B71CE7">
      <w:pPr>
        <w:spacing w:line="240" w:lineRule="atLeast"/>
        <w:jc w:val="center"/>
        <w:rPr>
          <w:sz w:val="48"/>
          <w:szCs w:val="38"/>
        </w:rPr>
      </w:pPr>
    </w:p>
    <w:p w14:paraId="798AB1D5" w14:textId="77777777" w:rsidR="00C31740" w:rsidRDefault="00C31740" w:rsidP="00B71CE7">
      <w:pPr>
        <w:spacing w:line="240" w:lineRule="atLeast"/>
        <w:jc w:val="center"/>
        <w:rPr>
          <w:sz w:val="48"/>
          <w:szCs w:val="38"/>
        </w:rPr>
      </w:pPr>
      <w:r>
        <w:rPr>
          <w:sz w:val="48"/>
          <w:szCs w:val="38"/>
        </w:rPr>
        <w:t>D</w:t>
      </w:r>
      <w:r w:rsidRPr="008E1FA7">
        <w:rPr>
          <w:sz w:val="48"/>
          <w:szCs w:val="38"/>
        </w:rPr>
        <w:t>ocument d’orientation des décisions</w:t>
      </w:r>
    </w:p>
    <w:p w14:paraId="58D5319D" w14:textId="77777777" w:rsidR="00C31740" w:rsidRPr="008E1FA7" w:rsidRDefault="00C31740" w:rsidP="00B71CE7">
      <w:pPr>
        <w:spacing w:line="240" w:lineRule="atLeast"/>
        <w:jc w:val="center"/>
        <w:rPr>
          <w:sz w:val="48"/>
          <w:szCs w:val="38"/>
        </w:rPr>
      </w:pPr>
    </w:p>
    <w:p w14:paraId="05DD29FB" w14:textId="77777777" w:rsidR="00C31740" w:rsidRDefault="00C31740" w:rsidP="000E73BF">
      <w:pPr>
        <w:spacing w:before="360" w:after="200" w:line="240" w:lineRule="atLeast"/>
        <w:ind w:left="-425"/>
        <w:jc w:val="center"/>
        <w:rPr>
          <w:sz w:val="48"/>
          <w:szCs w:val="48"/>
        </w:rPr>
      </w:pPr>
      <w:r w:rsidRPr="000E73BF">
        <w:rPr>
          <w:sz w:val="48"/>
          <w:szCs w:val="48"/>
        </w:rPr>
        <w:t>Fenthion (préparations à ultra bas volume (ULV) contenant des concentrations d’ingrédient actif supérieures ou égales à 640 g/l)</w:t>
      </w:r>
    </w:p>
    <w:p w14:paraId="10A042C6" w14:textId="77777777" w:rsidR="00C31740" w:rsidRPr="00BD547C" w:rsidRDefault="00C31740" w:rsidP="00BD547C">
      <w:pPr>
        <w:spacing w:line="240" w:lineRule="atLeast"/>
        <w:ind w:left="-425"/>
        <w:jc w:val="center"/>
      </w:pPr>
    </w:p>
    <w:p w14:paraId="6F2E6F6F" w14:textId="77777777" w:rsidR="00C31740" w:rsidRDefault="00C31740" w:rsidP="00BD547C">
      <w:pPr>
        <w:spacing w:line="240" w:lineRule="atLeast"/>
        <w:ind w:left="-425"/>
        <w:jc w:val="center"/>
      </w:pPr>
    </w:p>
    <w:p w14:paraId="6375D66E" w14:textId="77777777" w:rsidR="00C31740" w:rsidRPr="00BD547C" w:rsidRDefault="00C31740" w:rsidP="00BD547C">
      <w:pPr>
        <w:spacing w:line="240" w:lineRule="atLeast"/>
        <w:ind w:left="-425"/>
        <w:jc w:val="center"/>
      </w:pPr>
    </w:p>
    <w:p w14:paraId="3AB02363" w14:textId="77777777" w:rsidR="00C31740" w:rsidRDefault="00C31740" w:rsidP="00CA6BB7">
      <w:pPr>
        <w:spacing w:before="240" w:line="240" w:lineRule="atLeast"/>
        <w:ind w:left="-142" w:right="-68"/>
        <w:jc w:val="center"/>
        <w:rPr>
          <w:sz w:val="36"/>
          <w:szCs w:val="18"/>
        </w:rPr>
      </w:pPr>
    </w:p>
    <w:p w14:paraId="124A563F" w14:textId="77777777" w:rsidR="00C31740" w:rsidRDefault="00C31740" w:rsidP="00CA6BB7">
      <w:pPr>
        <w:spacing w:before="240" w:line="240" w:lineRule="atLeast"/>
        <w:ind w:left="-142" w:right="-68"/>
        <w:jc w:val="center"/>
        <w:rPr>
          <w:sz w:val="36"/>
          <w:szCs w:val="18"/>
        </w:rPr>
      </w:pPr>
      <w:r w:rsidRPr="008E1FA7">
        <w:rPr>
          <w:sz w:val="36"/>
          <w:szCs w:val="18"/>
        </w:rPr>
        <w:t>Convention de Rotterdam</w:t>
      </w:r>
    </w:p>
    <w:p w14:paraId="48DB7B17" w14:textId="77777777" w:rsidR="00C31740" w:rsidRPr="008E1FA7" w:rsidRDefault="00C31740" w:rsidP="00CA6BB7">
      <w:pPr>
        <w:spacing w:before="240" w:line="240" w:lineRule="atLeast"/>
        <w:ind w:left="-142" w:right="-68"/>
        <w:jc w:val="center"/>
        <w:rPr>
          <w:sz w:val="36"/>
          <w:szCs w:val="18"/>
        </w:rPr>
      </w:pPr>
    </w:p>
    <w:p w14:paraId="270DF0C8" w14:textId="77777777" w:rsidR="00C31740" w:rsidRPr="008E1FA7" w:rsidRDefault="00C31740" w:rsidP="00CA6BB7">
      <w:pPr>
        <w:spacing w:before="360" w:line="240" w:lineRule="atLeast"/>
        <w:ind w:left="-142" w:right="-68"/>
        <w:jc w:val="center"/>
        <w:rPr>
          <w:sz w:val="36"/>
          <w:szCs w:val="18"/>
        </w:rPr>
      </w:pPr>
      <w:r w:rsidRPr="008E1FA7">
        <w:rPr>
          <w:sz w:val="36"/>
          <w:szCs w:val="18"/>
        </w:rPr>
        <w:t xml:space="preserve">Application de la procédure </w:t>
      </w:r>
      <w:r w:rsidRPr="008E1FA7">
        <w:rPr>
          <w:sz w:val="36"/>
          <w:szCs w:val="18"/>
        </w:rPr>
        <w:br/>
        <w:t xml:space="preserve">de consentement préalable en connaissance de cause </w:t>
      </w:r>
      <w:r w:rsidRPr="008E1FA7">
        <w:rPr>
          <w:sz w:val="36"/>
          <w:szCs w:val="18"/>
        </w:rPr>
        <w:br/>
        <w:t>à des produits chimiques interdits ou strictement réglementés</w:t>
      </w:r>
    </w:p>
    <w:p w14:paraId="5CDAF0D0" w14:textId="77777777" w:rsidR="00C31740" w:rsidRDefault="00C31740" w:rsidP="00371363">
      <w:pPr>
        <w:ind w:left="-426"/>
      </w:pPr>
    </w:p>
    <w:p w14:paraId="56553254" w14:textId="77777777" w:rsidR="00C31740" w:rsidRDefault="00C31740" w:rsidP="00371363">
      <w:pPr>
        <w:ind w:left="-426"/>
      </w:pPr>
    </w:p>
    <w:p w14:paraId="1D78A765" w14:textId="77777777" w:rsidR="00C31740" w:rsidRDefault="00C31740" w:rsidP="00371363">
      <w:pPr>
        <w:ind w:left="-426"/>
      </w:pPr>
    </w:p>
    <w:p w14:paraId="38BA903A" w14:textId="77777777" w:rsidR="00C31740" w:rsidRDefault="00C31740" w:rsidP="00371363">
      <w:pPr>
        <w:ind w:left="-426"/>
      </w:pPr>
    </w:p>
    <w:p w14:paraId="683BE64C" w14:textId="77777777" w:rsidR="00C31740" w:rsidRDefault="00C31740" w:rsidP="00371363">
      <w:pPr>
        <w:ind w:left="-426"/>
      </w:pPr>
    </w:p>
    <w:p w14:paraId="5CFEDAA8" w14:textId="77777777" w:rsidR="00C31740" w:rsidRPr="008E1FA7" w:rsidRDefault="00C31740" w:rsidP="00371363">
      <w:pPr>
        <w:ind w:left="-426"/>
      </w:pPr>
    </w:p>
    <w:tbl>
      <w:tblPr>
        <w:tblW w:w="0" w:type="auto"/>
        <w:tblInd w:w="-318" w:type="dxa"/>
        <w:tblLayout w:type="fixed"/>
        <w:tblLook w:val="0000" w:firstRow="0" w:lastRow="0" w:firstColumn="0" w:lastColumn="0" w:noHBand="0" w:noVBand="0"/>
      </w:tblPr>
      <w:tblGrid>
        <w:gridCol w:w="1419"/>
        <w:gridCol w:w="8221"/>
      </w:tblGrid>
      <w:tr w:rsidR="00C31740" w:rsidRPr="008E1FA7" w14:paraId="247C1FB9" w14:textId="77777777" w:rsidTr="00217A59">
        <w:tc>
          <w:tcPr>
            <w:tcW w:w="1419" w:type="dxa"/>
          </w:tcPr>
          <w:p w14:paraId="38175232" w14:textId="77777777" w:rsidR="00C31740" w:rsidRPr="008E1FA7" w:rsidRDefault="00C31740" w:rsidP="00217A59">
            <w:r w:rsidRPr="008E1FA7">
              <w:fldChar w:fldCharType="begin" w:fldLock="1"/>
            </w:r>
            <w:r w:rsidRPr="008E1FA7">
              <w:instrText>IMPORT S:\\Marin\\Agenda\\!OLEGENE.WPG</w:instrText>
            </w:r>
            <w:r w:rsidRPr="008E1FA7">
              <w:fldChar w:fldCharType="separate"/>
            </w:r>
            <w:r w:rsidRPr="008E1FA7">
              <w:rPr>
                <w:noProof/>
                <w:lang w:eastAsia="fr-FR"/>
              </w:rPr>
              <w:drawing>
                <wp:inline distT="0" distB="0" distL="0" distR="0" wp14:anchorId="70AA0D54" wp14:editId="46CE3B7D">
                  <wp:extent cx="585470" cy="585470"/>
                  <wp:effectExtent l="0" t="0" r="508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5470" cy="585470"/>
                          </a:xfrm>
                          <a:prstGeom prst="rect">
                            <a:avLst/>
                          </a:prstGeom>
                          <a:noFill/>
                          <a:ln>
                            <a:noFill/>
                          </a:ln>
                        </pic:spPr>
                      </pic:pic>
                    </a:graphicData>
                  </a:graphic>
                </wp:inline>
              </w:drawing>
            </w:r>
            <w:r w:rsidRPr="008E1FA7">
              <w:fldChar w:fldCharType="end"/>
            </w:r>
          </w:p>
          <w:p w14:paraId="71B928F8" w14:textId="77777777" w:rsidR="00C31740" w:rsidRPr="008E1FA7" w:rsidRDefault="00C31740" w:rsidP="00217A59"/>
          <w:p w14:paraId="6765A601" w14:textId="77777777" w:rsidR="00C31740" w:rsidRPr="008E1FA7" w:rsidRDefault="00C31740" w:rsidP="00217A59">
            <w:r w:rsidRPr="008E1FA7">
              <w:fldChar w:fldCharType="begin" w:fldLock="1"/>
            </w:r>
            <w:r w:rsidRPr="008E1FA7">
              <w:instrText>IMPORT S:\\Marin\\Agenda\\!UNEP.WPG</w:instrText>
            </w:r>
            <w:r w:rsidRPr="008E1FA7">
              <w:fldChar w:fldCharType="separate"/>
            </w:r>
            <w:r w:rsidRPr="008E1FA7">
              <w:rPr>
                <w:noProof/>
              </w:rPr>
              <w:drawing>
                <wp:inline distT="0" distB="0" distL="0" distR="0" wp14:anchorId="70CCFA81" wp14:editId="02B32DBD">
                  <wp:extent cx="591334" cy="753465"/>
                  <wp:effectExtent l="0" t="0" r="0" b="8890"/>
                  <wp:docPr id="7" name="Picture 7" descr="PNU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2">
                            <a:extLst>
                              <a:ext uri="{28A0092B-C50C-407E-A947-70E740481C1C}">
                                <a14:useLocalDpi xmlns:a14="http://schemas.microsoft.com/office/drawing/2010/main" val="0"/>
                              </a:ext>
                            </a:extLst>
                          </a:blip>
                          <a:stretch>
                            <a:fillRect/>
                          </a:stretch>
                        </pic:blipFill>
                        <pic:spPr>
                          <a:xfrm>
                            <a:off x="0" y="0"/>
                            <a:ext cx="602552" cy="767759"/>
                          </a:xfrm>
                          <a:prstGeom prst="rect">
                            <a:avLst/>
                          </a:prstGeom>
                        </pic:spPr>
                      </pic:pic>
                    </a:graphicData>
                  </a:graphic>
                </wp:inline>
              </w:drawing>
            </w:r>
            <w:r w:rsidRPr="008E1FA7">
              <w:fldChar w:fldCharType="end"/>
            </w:r>
          </w:p>
        </w:tc>
        <w:tc>
          <w:tcPr>
            <w:tcW w:w="8221" w:type="dxa"/>
          </w:tcPr>
          <w:p w14:paraId="419E7491" w14:textId="77777777" w:rsidR="00C31740" w:rsidRPr="008E1FA7" w:rsidRDefault="00C31740" w:rsidP="00217A59">
            <w:pPr>
              <w:rPr>
                <w:sz w:val="16"/>
                <w:szCs w:val="28"/>
              </w:rPr>
            </w:pPr>
          </w:p>
          <w:p w14:paraId="76EAB058" w14:textId="77777777" w:rsidR="00C31740" w:rsidRPr="008E1FA7" w:rsidRDefault="00C31740" w:rsidP="00217A59">
            <w:pPr>
              <w:spacing w:before="40" w:after="60"/>
              <w:ind w:right="1593"/>
              <w:outlineLvl w:val="0"/>
              <w:rPr>
                <w:b/>
                <w:bCs/>
                <w:kern w:val="28"/>
                <w:sz w:val="34"/>
                <w:szCs w:val="34"/>
              </w:rPr>
            </w:pPr>
            <w:r w:rsidRPr="008E1FA7">
              <w:rPr>
                <w:b/>
                <w:bCs/>
                <w:kern w:val="28"/>
                <w:sz w:val="34"/>
                <w:szCs w:val="34"/>
              </w:rPr>
              <w:t xml:space="preserve">Secrétariat de la Convention de Rotterdam </w:t>
            </w:r>
            <w:r w:rsidRPr="008E1FA7">
              <w:rPr>
                <w:b/>
                <w:bCs/>
                <w:kern w:val="28"/>
                <w:sz w:val="34"/>
                <w:szCs w:val="34"/>
              </w:rPr>
              <w:br/>
              <w:t xml:space="preserve">sur la procédure de consentement préalable </w:t>
            </w:r>
            <w:r w:rsidRPr="008E1FA7">
              <w:rPr>
                <w:b/>
                <w:bCs/>
                <w:kern w:val="28"/>
                <w:sz w:val="34"/>
                <w:szCs w:val="34"/>
              </w:rPr>
              <w:br/>
              <w:t xml:space="preserve">en connaissance de cause applicable </w:t>
            </w:r>
            <w:r w:rsidRPr="008E1FA7">
              <w:rPr>
                <w:b/>
                <w:bCs/>
                <w:kern w:val="28"/>
                <w:sz w:val="34"/>
                <w:szCs w:val="34"/>
              </w:rPr>
              <w:br/>
              <w:t xml:space="preserve">à certains produits chimiques et pesticides </w:t>
            </w:r>
            <w:r w:rsidRPr="008E1FA7">
              <w:rPr>
                <w:b/>
                <w:bCs/>
                <w:kern w:val="28"/>
                <w:sz w:val="34"/>
                <w:szCs w:val="34"/>
              </w:rPr>
              <w:br/>
              <w:t xml:space="preserve">dangereux qui font l’objet d’un commerce </w:t>
            </w:r>
            <w:r w:rsidRPr="008E1FA7">
              <w:rPr>
                <w:b/>
                <w:bCs/>
                <w:kern w:val="28"/>
                <w:sz w:val="34"/>
                <w:szCs w:val="34"/>
              </w:rPr>
              <w:br/>
              <w:t>international</w:t>
            </w:r>
          </w:p>
        </w:tc>
      </w:tr>
    </w:tbl>
    <w:p w14:paraId="48D9CA82" w14:textId="77777777" w:rsidR="00C31740" w:rsidRPr="008E1FA7" w:rsidRDefault="00C31740" w:rsidP="00371363">
      <w:pPr>
        <w:rPr>
          <w:sz w:val="36"/>
          <w:szCs w:val="28"/>
        </w:rPr>
        <w:sectPr w:rsidR="00C31740" w:rsidRPr="008E1FA7" w:rsidSect="00C31740">
          <w:headerReference w:type="even" r:id="rId13"/>
          <w:headerReference w:type="default" r:id="rId14"/>
          <w:footerReference w:type="even" r:id="rId15"/>
          <w:footerReference w:type="default" r:id="rId16"/>
          <w:footerReference w:type="first" r:id="rId17"/>
          <w:footnotePr>
            <w:numFmt w:val="chicago"/>
          </w:footnotePr>
          <w:pgSz w:w="11906" w:h="16838" w:code="9"/>
          <w:pgMar w:top="907" w:right="992" w:bottom="1418" w:left="1418" w:header="539" w:footer="975" w:gutter="0"/>
          <w:cols w:space="539"/>
          <w:titlePg/>
          <w:docGrid w:linePitch="360"/>
        </w:sectPr>
      </w:pPr>
    </w:p>
    <w:p w14:paraId="663AAFF2" w14:textId="77777777" w:rsidR="00C31740" w:rsidRPr="008E1FA7" w:rsidRDefault="00C31740" w:rsidP="00863FA4">
      <w:pPr>
        <w:pStyle w:val="NormalNonumber"/>
        <w:rPr>
          <w:b/>
          <w:bCs/>
          <w:sz w:val="24"/>
          <w:szCs w:val="24"/>
        </w:rPr>
      </w:pPr>
      <w:r w:rsidRPr="008E1FA7">
        <w:rPr>
          <w:b/>
          <w:bCs/>
          <w:sz w:val="24"/>
          <w:szCs w:val="24"/>
        </w:rPr>
        <w:t>Introduction</w:t>
      </w:r>
    </w:p>
    <w:p w14:paraId="747CC521" w14:textId="77777777" w:rsidR="00C31740" w:rsidRPr="008E1FA7" w:rsidRDefault="00C31740" w:rsidP="00863FA4">
      <w:pPr>
        <w:pStyle w:val="NormalNonumber"/>
      </w:pPr>
      <w:r w:rsidRPr="008E1FA7">
        <w:t>La Convention de Rotterdam a pour but d’encourager le partage des responsabilités et la coopération entre Parties dans le domaine du commerce international de certains produits chimiques dangereux, afin de protéger la santé des personnes et l’environnement contre des dommages éventuels, et afin de contribuer à l’utilisation écologiquement rationnelle de ces produits en facilitant l’échange d’informations sur leurs caractéristiques, en instituant un processus national de prise de décision applicable à leur importation et à leur exportation et en assurant la communication de ces décisions aux Parties. Le Secrétariat de la Convention est assuré conjointement par le Programme des Nations Unies pour l’environnement (PNUE) et l’Organisation des Nations</w:t>
      </w:r>
      <w:r>
        <w:t> </w:t>
      </w:r>
      <w:r w:rsidRPr="008E1FA7">
        <w:t xml:space="preserve">Unies pour l’alimentation et l’agriculture (FAO). </w:t>
      </w:r>
    </w:p>
    <w:p w14:paraId="71A38A9B" w14:textId="77777777" w:rsidR="00C31740" w:rsidRPr="008E1FA7" w:rsidRDefault="00C31740" w:rsidP="00863FA4">
      <w:pPr>
        <w:pStyle w:val="NormalNonumber"/>
      </w:pPr>
      <w:r w:rsidRPr="008E1FA7">
        <w:t xml:space="preserve">Les préparations pesticides extrêmement dangereuses figurent au nombre des produits chimiques susceptibles d’être soumis à la Convention de Rotterdam. Aux fins de la Convention, on entend par « préparation pesticide extrêmement dangereuse » une préparation dont l’inscription est proposée par un pays en développement ou un pays à économie en transition qui rencontre des problèmes du fait de cette préparation dans ses conditions d’utilisation sur son territoire. L’inscription d’une préparation pesticide extrêmement dangereuse se fonde sur une proposition soumise par un pays en développement ou un pays à économie en transition, ainsi que sur des informations supplémentaires rassemblées par le Secrétariat conformément à la première et </w:t>
      </w:r>
      <w:proofErr w:type="gramStart"/>
      <w:r w:rsidRPr="008E1FA7">
        <w:t>à la deuxième</w:t>
      </w:r>
      <w:r>
        <w:t> </w:t>
      </w:r>
      <w:r w:rsidRPr="008E1FA7">
        <w:t>parties</w:t>
      </w:r>
      <w:proofErr w:type="gramEnd"/>
      <w:r w:rsidRPr="008E1FA7">
        <w:t xml:space="preserve"> de l’Annexe IV de la Convention. Pour chaque produit chimique inscrit à la Convention de Rotterdam, les Parties doivent décider en connaissance de cause si elles consentent ou non à de futures importations.</w:t>
      </w:r>
    </w:p>
    <w:p w14:paraId="2A0953D2" w14:textId="77777777" w:rsidR="00C31740" w:rsidRPr="008E1FA7" w:rsidRDefault="00C31740" w:rsidP="00863FA4">
      <w:pPr>
        <w:pStyle w:val="NormalNonumber"/>
      </w:pPr>
      <w:r w:rsidRPr="00FE67BD">
        <w:t xml:space="preserve">À sa </w:t>
      </w:r>
      <w:r>
        <w:t>douzième </w:t>
      </w:r>
      <w:r w:rsidRPr="00FE67BD">
        <w:t xml:space="preserve">réunion, tenue à </w:t>
      </w:r>
      <w:r>
        <w:t xml:space="preserve">Genève du 28 avril au 9 mai 2025, </w:t>
      </w:r>
      <w:r w:rsidRPr="008E1FA7">
        <w:t>la Conférence des Parties a décidé d’inscrire le</w:t>
      </w:r>
      <w:r>
        <w:t xml:space="preserve"> f</w:t>
      </w:r>
      <w:r w:rsidRPr="005F7CC7">
        <w:t>enthion (préparations à ultra bas volume (ULV) contenant des concentrations d’ingrédient actif supérieures ou égales à 640 g/l)</w:t>
      </w:r>
      <w:r w:rsidRPr="008E1FA7">
        <w:t xml:space="preserve"> à l’Annexe III de la Convention et a adopté le </w:t>
      </w:r>
      <w:r>
        <w:t>d</w:t>
      </w:r>
      <w:r w:rsidRPr="008E1FA7">
        <w:t xml:space="preserve">ocument d’orientation des décisions correspondant, ce qui a eu pour effet de soumettre ce groupe de produits chimiques à la procédure PIC. </w:t>
      </w:r>
    </w:p>
    <w:p w14:paraId="42E16E57" w14:textId="77777777" w:rsidR="00C31740" w:rsidRDefault="00C31740" w:rsidP="005F7CC7">
      <w:pPr>
        <w:pStyle w:val="NormalNonumber"/>
      </w:pPr>
      <w:r w:rsidRPr="00FE67BD">
        <w:t>Le présent document d’orientation des décisions a été communiqué aux autorités nationales désignées le</w:t>
      </w:r>
      <w:r>
        <w:t xml:space="preserve"> 22 octobre 2025,</w:t>
      </w:r>
      <w:r w:rsidRPr="00FE67BD">
        <w:t xml:space="preserve"> conformément aux articles 7 et 10 de la Convention de Rotterdam.</w:t>
      </w:r>
    </w:p>
    <w:p w14:paraId="58C0F825" w14:textId="71D65D5C" w:rsidR="00371363" w:rsidRPr="008E1FA7" w:rsidRDefault="00371363" w:rsidP="00863FA4">
      <w:pPr>
        <w:pStyle w:val="NormalNonumber"/>
        <w:spacing w:before="240"/>
        <w:rPr>
          <w:b/>
          <w:bCs/>
          <w:sz w:val="24"/>
          <w:szCs w:val="24"/>
        </w:rPr>
      </w:pPr>
      <w:r w:rsidRPr="008E1FA7">
        <w:rPr>
          <w:b/>
          <w:bCs/>
          <w:sz w:val="24"/>
          <w:szCs w:val="24"/>
        </w:rPr>
        <w:t>Objet du document d</w:t>
      </w:r>
      <w:r w:rsidR="001503DA" w:rsidRPr="008E1FA7">
        <w:rPr>
          <w:b/>
          <w:bCs/>
          <w:sz w:val="24"/>
          <w:szCs w:val="24"/>
        </w:rPr>
        <w:t>’</w:t>
      </w:r>
      <w:r w:rsidRPr="008E1FA7">
        <w:rPr>
          <w:b/>
          <w:bCs/>
          <w:sz w:val="24"/>
          <w:szCs w:val="24"/>
        </w:rPr>
        <w:t>orientation des décisions</w:t>
      </w:r>
    </w:p>
    <w:p w14:paraId="7DFC7E07" w14:textId="300CEBCA" w:rsidR="00371363" w:rsidRPr="008E1FA7" w:rsidRDefault="00371363" w:rsidP="00863FA4">
      <w:pPr>
        <w:pStyle w:val="NormalNonumber"/>
      </w:pPr>
      <w:r w:rsidRPr="008E1FA7">
        <w:t>Pour chacun des produits chimiques inscrits à l</w:t>
      </w:r>
      <w:r w:rsidR="001503DA" w:rsidRPr="008E1FA7">
        <w:t>’</w:t>
      </w:r>
      <w:r w:rsidRPr="008E1FA7">
        <w:t>Annexe III de la Convention de Rotterdam, un</w:t>
      </w:r>
      <w:r w:rsidR="001503DA" w:rsidRPr="008E1FA7">
        <w:t> </w:t>
      </w:r>
      <w:r w:rsidRPr="008E1FA7">
        <w:t>document d</w:t>
      </w:r>
      <w:r w:rsidR="001503DA" w:rsidRPr="008E1FA7">
        <w:t>’</w:t>
      </w:r>
      <w:r w:rsidRPr="008E1FA7">
        <w:t>orientation des décisions est approuvé par la Conférence des Parties. Les documents d</w:t>
      </w:r>
      <w:r w:rsidR="001503DA" w:rsidRPr="008E1FA7">
        <w:t>’</w:t>
      </w:r>
      <w:r w:rsidRPr="008E1FA7">
        <w:t>orientation des décisions sont envoyés à toutes les Parties, auxquelles il est demandé de prendre une</w:t>
      </w:r>
      <w:r w:rsidR="001503DA" w:rsidRPr="008E1FA7">
        <w:t> </w:t>
      </w:r>
      <w:r w:rsidRPr="008E1FA7">
        <w:t xml:space="preserve">décision concernant les futures importations des produits chimiques considérés. </w:t>
      </w:r>
    </w:p>
    <w:p w14:paraId="5A7BC389" w14:textId="783F6AE9" w:rsidR="00371363" w:rsidRPr="008E1FA7" w:rsidRDefault="00371363" w:rsidP="00863FA4">
      <w:pPr>
        <w:pStyle w:val="NormalNonumber"/>
      </w:pPr>
      <w:r w:rsidRPr="008E1FA7">
        <w:t>Les documents d</w:t>
      </w:r>
      <w:r w:rsidR="001503DA" w:rsidRPr="008E1FA7">
        <w:t>’</w:t>
      </w:r>
      <w:r w:rsidRPr="008E1FA7">
        <w:t>orientation des décisions sont établis par le Comité d</w:t>
      </w:r>
      <w:r w:rsidR="001503DA" w:rsidRPr="008E1FA7">
        <w:t>’</w:t>
      </w:r>
      <w:r w:rsidRPr="008E1FA7">
        <w:t>étude des produits chimiques. Ce Comité, qui est constitué par un groupe d</w:t>
      </w:r>
      <w:r w:rsidR="001503DA" w:rsidRPr="008E1FA7">
        <w:t>’</w:t>
      </w:r>
      <w:r w:rsidRPr="008E1FA7">
        <w:t>experts désignés par les gouvernements, a été créé en application de l</w:t>
      </w:r>
      <w:r w:rsidR="001503DA" w:rsidRPr="008E1FA7">
        <w:t>’</w:t>
      </w:r>
      <w:r w:rsidRPr="008E1FA7">
        <w:t>article 18 de la Convention pour évaluer les produits chimiques pouvant être inscrits à l</w:t>
      </w:r>
      <w:r w:rsidR="001503DA" w:rsidRPr="008E1FA7">
        <w:t>’</w:t>
      </w:r>
      <w:r w:rsidRPr="008E1FA7">
        <w:t>Annexe III de la Convention. Le document d</w:t>
      </w:r>
      <w:r w:rsidR="001503DA" w:rsidRPr="008E1FA7">
        <w:t>’</w:t>
      </w:r>
      <w:r w:rsidRPr="008E1FA7">
        <w:t xml:space="preserve">orientation des décisions pour une préparation pesticide extrêmement dangereuse reprend les informations fournies dans une proposition soumise par un pays en développement ou un pays à économie en transition ainsi que les informations supplémentaires rassemblées par le Secrétariat conformément à la première et </w:t>
      </w:r>
      <w:proofErr w:type="gramStart"/>
      <w:r w:rsidRPr="008E1FA7">
        <w:t>à la deuxième parties</w:t>
      </w:r>
      <w:proofErr w:type="gramEnd"/>
      <w:r w:rsidRPr="008E1FA7">
        <w:t xml:space="preserve"> de l</w:t>
      </w:r>
      <w:r w:rsidR="001503DA" w:rsidRPr="008E1FA7">
        <w:t>’</w:t>
      </w:r>
      <w:r w:rsidRPr="008E1FA7">
        <w:t>Annexe IV à la</w:t>
      </w:r>
      <w:r w:rsidR="001503DA" w:rsidRPr="008E1FA7">
        <w:t> </w:t>
      </w:r>
      <w:r w:rsidRPr="008E1FA7">
        <w:t>Convention. Il ne prétend pas constituer la seule source d</w:t>
      </w:r>
      <w:r w:rsidR="001503DA" w:rsidRPr="008E1FA7">
        <w:t>’</w:t>
      </w:r>
      <w:r w:rsidRPr="008E1FA7">
        <w:t>informations sur un produit chimique et n</w:t>
      </w:r>
      <w:r w:rsidR="001503DA" w:rsidRPr="008E1FA7">
        <w:t>’</w:t>
      </w:r>
      <w:r w:rsidRPr="008E1FA7">
        <w:t>est ni actualisé ni révisé après son adoption par la Conférence des Parties.</w:t>
      </w:r>
    </w:p>
    <w:p w14:paraId="5909354F" w14:textId="195A7EE1" w:rsidR="00371363" w:rsidRPr="008E1FA7" w:rsidRDefault="00371363" w:rsidP="00863FA4">
      <w:pPr>
        <w:pStyle w:val="NormalNonumber"/>
      </w:pPr>
      <w:r w:rsidRPr="008E1FA7">
        <w:t>Il se peut que d</w:t>
      </w:r>
      <w:r w:rsidR="001503DA" w:rsidRPr="008E1FA7">
        <w:t>’</w:t>
      </w:r>
      <w:r w:rsidRPr="008E1FA7">
        <w:t>autres Parties aient rencontré des problèmes avec ce produit chimique ou pris des mesures de réglementation visant à l</w:t>
      </w:r>
      <w:r w:rsidR="001503DA" w:rsidRPr="008E1FA7">
        <w:t>’</w:t>
      </w:r>
      <w:r w:rsidRPr="008E1FA7">
        <w:t>interdire ou le réglementer strictement tandis que d</w:t>
      </w:r>
      <w:r w:rsidR="001503DA" w:rsidRPr="008E1FA7">
        <w:t>’</w:t>
      </w:r>
      <w:r w:rsidRPr="008E1FA7">
        <w:t>autres, qui n</w:t>
      </w:r>
      <w:r w:rsidR="001503DA" w:rsidRPr="008E1FA7">
        <w:t>’</w:t>
      </w:r>
      <w:r w:rsidRPr="008E1FA7">
        <w:t>ont pas rencontré de tels problèmes, ne l</w:t>
      </w:r>
      <w:r w:rsidR="001503DA" w:rsidRPr="008E1FA7">
        <w:t>’</w:t>
      </w:r>
      <w:r w:rsidRPr="008E1FA7">
        <w:t>aient ni interdit ni strictement réglementé. Les évaluations des risques ou les informations sur d</w:t>
      </w:r>
      <w:r w:rsidR="001503DA" w:rsidRPr="008E1FA7">
        <w:t>’</w:t>
      </w:r>
      <w:r w:rsidRPr="008E1FA7">
        <w:t>autres mesures d</w:t>
      </w:r>
      <w:r w:rsidR="001503DA" w:rsidRPr="008E1FA7">
        <w:t>’</w:t>
      </w:r>
      <w:r w:rsidRPr="008E1FA7">
        <w:t>atténuation des risques soumises par ces Parties peuvent être consultées sur le site Internet de la Convention de Rotterdam (www.pic.int).</w:t>
      </w:r>
    </w:p>
    <w:p w14:paraId="514F1009" w14:textId="69D08D67" w:rsidR="00371363" w:rsidRPr="008E1FA7" w:rsidRDefault="00371363" w:rsidP="00863FA4">
      <w:pPr>
        <w:pStyle w:val="NormalNonumber"/>
      </w:pPr>
      <w:r w:rsidRPr="008E1FA7">
        <w:t>En vertu de l</w:t>
      </w:r>
      <w:r w:rsidR="001503DA" w:rsidRPr="008E1FA7">
        <w:t>’</w:t>
      </w:r>
      <w:r w:rsidRPr="008E1FA7">
        <w:t>article 14 de la Convention, les Parties peuvent échanger des informations scientifiques, techniques, économiques et juridiques sur les produits chimiques entrant dans le champ d</w:t>
      </w:r>
      <w:r w:rsidR="001503DA" w:rsidRPr="008E1FA7">
        <w:t>’</w:t>
      </w:r>
      <w:r w:rsidRPr="008E1FA7">
        <w:t>application de la Convention, y compris des renseignements d</w:t>
      </w:r>
      <w:r w:rsidR="001503DA" w:rsidRPr="008E1FA7">
        <w:t>’</w:t>
      </w:r>
      <w:r w:rsidRPr="008E1FA7">
        <w:t xml:space="preserve">ordre toxicologique et </w:t>
      </w:r>
      <w:proofErr w:type="spellStart"/>
      <w:r w:rsidRPr="008E1FA7">
        <w:t>écotoxicologique</w:t>
      </w:r>
      <w:proofErr w:type="spellEnd"/>
      <w:r w:rsidRPr="008E1FA7">
        <w:t xml:space="preserve"> et des</w:t>
      </w:r>
      <w:r w:rsidR="001503DA" w:rsidRPr="008E1FA7">
        <w:t> </w:t>
      </w:r>
      <w:r w:rsidRPr="008E1FA7">
        <w:t>renseignements relatifs à la sécurité. Ces informations peuvent être communiquées à d</w:t>
      </w:r>
      <w:r w:rsidR="001503DA" w:rsidRPr="008E1FA7">
        <w:t>’</w:t>
      </w:r>
      <w:r w:rsidRPr="008E1FA7">
        <w:t>autres Parties, directement ou par l</w:t>
      </w:r>
      <w:r w:rsidR="001503DA" w:rsidRPr="008E1FA7">
        <w:t>’</w:t>
      </w:r>
      <w:r w:rsidRPr="008E1FA7">
        <w:t xml:space="preserve">intermédiaire du Secrétariat. Les informations soumises au Secrétariat sont affichées sur le site Internet de la Convention de Rotterdam. </w:t>
      </w:r>
    </w:p>
    <w:p w14:paraId="6126F82B" w14:textId="341B5747" w:rsidR="00371363" w:rsidRPr="008E1FA7" w:rsidRDefault="00371363" w:rsidP="00863FA4">
      <w:pPr>
        <w:pStyle w:val="NormalNonumber"/>
      </w:pPr>
      <w:r w:rsidRPr="008E1FA7">
        <w:t>Il peut également exister d</w:t>
      </w:r>
      <w:r w:rsidR="001503DA" w:rsidRPr="008E1FA7">
        <w:t>’</w:t>
      </w:r>
      <w:r w:rsidRPr="008E1FA7">
        <w:t>autres sources d</w:t>
      </w:r>
      <w:r w:rsidR="001503DA" w:rsidRPr="008E1FA7">
        <w:t>’</w:t>
      </w:r>
      <w:r w:rsidRPr="008E1FA7">
        <w:t>informations sur le produit chimique considéré.</w:t>
      </w:r>
    </w:p>
    <w:p w14:paraId="2F0B6DBA" w14:textId="77777777" w:rsidR="00371363" w:rsidRPr="008E1FA7" w:rsidRDefault="00371363" w:rsidP="001503DA">
      <w:pPr>
        <w:pStyle w:val="NormalNonumber"/>
        <w:keepNext/>
        <w:keepLines/>
        <w:spacing w:before="240"/>
        <w:rPr>
          <w:b/>
          <w:bCs/>
          <w:sz w:val="24"/>
          <w:szCs w:val="24"/>
        </w:rPr>
      </w:pPr>
      <w:r w:rsidRPr="008E1FA7">
        <w:rPr>
          <w:b/>
          <w:bCs/>
          <w:sz w:val="24"/>
          <w:szCs w:val="24"/>
        </w:rPr>
        <w:t>Déni de responsabilité</w:t>
      </w:r>
    </w:p>
    <w:p w14:paraId="647D45D2" w14:textId="33DCDF28" w:rsidR="00371363" w:rsidRPr="008E1FA7" w:rsidRDefault="00371363" w:rsidP="001503DA">
      <w:pPr>
        <w:pStyle w:val="NormalNonumber"/>
        <w:keepNext/>
        <w:keepLines/>
      </w:pPr>
      <w:r w:rsidRPr="008E1FA7">
        <w:t>L</w:t>
      </w:r>
      <w:r w:rsidR="001503DA" w:rsidRPr="008E1FA7">
        <w:t>’</w:t>
      </w:r>
      <w:r w:rsidRPr="008E1FA7">
        <w:t>utilisation dans le présent document d</w:t>
      </w:r>
      <w:r w:rsidR="001503DA" w:rsidRPr="008E1FA7">
        <w:t>’</w:t>
      </w:r>
      <w:r w:rsidRPr="008E1FA7">
        <w:t>appellations commerciales a principalement pour objet de faciliter une identification correcte du produit chimique. Elle ne saurait impliquer une quelconque approbation ou désapprobation à l</w:t>
      </w:r>
      <w:r w:rsidR="001503DA" w:rsidRPr="008E1FA7">
        <w:t>’</w:t>
      </w:r>
      <w:r w:rsidRPr="008E1FA7">
        <w:t>égard d</w:t>
      </w:r>
      <w:r w:rsidR="001503DA" w:rsidRPr="008E1FA7">
        <w:t>’</w:t>
      </w:r>
      <w:r w:rsidRPr="008E1FA7">
        <w:t>une entreprise particulière, quelle qu</w:t>
      </w:r>
      <w:r w:rsidR="001503DA" w:rsidRPr="008E1FA7">
        <w:t>’</w:t>
      </w:r>
      <w:r w:rsidRPr="008E1FA7">
        <w:t>elle soit. Vu</w:t>
      </w:r>
      <w:r w:rsidR="001503DA" w:rsidRPr="008E1FA7">
        <w:t> </w:t>
      </w:r>
      <w:r w:rsidRPr="008E1FA7">
        <w:t>l</w:t>
      </w:r>
      <w:r w:rsidR="001503DA" w:rsidRPr="008E1FA7">
        <w:t>’</w:t>
      </w:r>
      <w:r w:rsidRPr="008E1FA7">
        <w:t>impossibilité d</w:t>
      </w:r>
      <w:r w:rsidR="001503DA" w:rsidRPr="008E1FA7">
        <w:t>’</w:t>
      </w:r>
      <w:r w:rsidRPr="008E1FA7">
        <w:t>inclure toutes les appellations commerciales actuellement en usage, un certain nombre seulement des appellations couramment utilisées et fréquemment mentionnées dans les</w:t>
      </w:r>
      <w:r w:rsidR="001503DA" w:rsidRPr="008E1FA7">
        <w:t> </w:t>
      </w:r>
      <w:r w:rsidRPr="008E1FA7">
        <w:t>publications ont été employées dans le présent document.</w:t>
      </w:r>
    </w:p>
    <w:p w14:paraId="34EC6D8B" w14:textId="1DD7F038" w:rsidR="00371363" w:rsidRPr="008E1FA7" w:rsidRDefault="00371363" w:rsidP="00863FA4">
      <w:pPr>
        <w:pStyle w:val="NormalNonumber"/>
      </w:pPr>
      <w:r w:rsidRPr="008E1FA7">
        <w:t>Bien que les informations fournies soient considérées comme exactes compte tenu des données disponibles au moment de l</w:t>
      </w:r>
      <w:r w:rsidR="001503DA" w:rsidRPr="008E1FA7">
        <w:t>’</w:t>
      </w:r>
      <w:r w:rsidRPr="008E1FA7">
        <w:t>élaboration du présent document d</w:t>
      </w:r>
      <w:r w:rsidR="001503DA" w:rsidRPr="008E1FA7">
        <w:t>’</w:t>
      </w:r>
      <w:r w:rsidRPr="008E1FA7">
        <w:t>orientation des décisions, la FAO et le</w:t>
      </w:r>
      <w:r w:rsidR="001503DA" w:rsidRPr="008E1FA7">
        <w:t> </w:t>
      </w:r>
      <w:r w:rsidRPr="008E1FA7">
        <w:t>PNUE déclinent toute responsabilité quant à d</w:t>
      </w:r>
      <w:r w:rsidR="001503DA" w:rsidRPr="008E1FA7">
        <w:t>’</w:t>
      </w:r>
      <w:r w:rsidRPr="008E1FA7">
        <w:t>éventuelles omissions ou aux conséquences qui pourraient en résulter. Ni la FAO ni le PNUE ne pourra être tenu responsable d</w:t>
      </w:r>
      <w:r w:rsidR="001503DA" w:rsidRPr="008E1FA7">
        <w:t>’</w:t>
      </w:r>
      <w:r w:rsidRPr="008E1FA7">
        <w:t>une blessure, d</w:t>
      </w:r>
      <w:r w:rsidR="001503DA" w:rsidRPr="008E1FA7">
        <w:t>’</w:t>
      </w:r>
      <w:r w:rsidRPr="008E1FA7">
        <w:t>une</w:t>
      </w:r>
      <w:r w:rsidR="001503DA" w:rsidRPr="008E1FA7">
        <w:t> </w:t>
      </w:r>
      <w:r w:rsidRPr="008E1FA7">
        <w:t>perte, d</w:t>
      </w:r>
      <w:r w:rsidR="001503DA" w:rsidRPr="008E1FA7">
        <w:t>’</w:t>
      </w:r>
      <w:r w:rsidRPr="008E1FA7">
        <w:t>un dommage ou d</w:t>
      </w:r>
      <w:r w:rsidR="001503DA" w:rsidRPr="008E1FA7">
        <w:t>’</w:t>
      </w:r>
      <w:r w:rsidRPr="008E1FA7">
        <w:t>un préjudice quelconque de quelque nature que ce soit qui pourrait être subi du fait de l</w:t>
      </w:r>
      <w:r w:rsidR="001503DA" w:rsidRPr="008E1FA7">
        <w:t>’</w:t>
      </w:r>
      <w:r w:rsidRPr="008E1FA7">
        <w:t>importation ou de l</w:t>
      </w:r>
      <w:r w:rsidR="001503DA" w:rsidRPr="008E1FA7">
        <w:t>’</w:t>
      </w:r>
      <w:r w:rsidRPr="008E1FA7">
        <w:t>interdiction de l</w:t>
      </w:r>
      <w:r w:rsidR="001503DA" w:rsidRPr="008E1FA7">
        <w:t>’</w:t>
      </w:r>
      <w:r w:rsidRPr="008E1FA7">
        <w:t>importation dudit produit chimique.</w:t>
      </w:r>
    </w:p>
    <w:p w14:paraId="6D3348AE" w14:textId="0BCB9094" w:rsidR="00371363" w:rsidRPr="008E1FA7" w:rsidRDefault="00371363" w:rsidP="00863FA4">
      <w:pPr>
        <w:pStyle w:val="NormalNonumber"/>
        <w:rPr>
          <w:sz w:val="4"/>
          <w:szCs w:val="4"/>
        </w:rPr>
      </w:pPr>
      <w:r w:rsidRPr="008E1FA7">
        <w:t>Les appellations employées dans cette publication et la présentation des données qui y figurent n</w:t>
      </w:r>
      <w:r w:rsidR="001503DA" w:rsidRPr="008E1FA7">
        <w:t>’</w:t>
      </w:r>
      <w:r w:rsidRPr="008E1FA7">
        <w:t>impliquent de la part de la FAO ou du PNUE aucune prise de position quant au statut juridique des</w:t>
      </w:r>
      <w:r w:rsidR="001503DA" w:rsidRPr="008E1FA7">
        <w:t> </w:t>
      </w:r>
      <w:r w:rsidRPr="008E1FA7">
        <w:t>pays, territoires, villes ou zones, ou de leurs autorités, ni quant au tracé de leurs frontières ou</w:t>
      </w:r>
      <w:r w:rsidR="001503DA" w:rsidRPr="008E1FA7">
        <w:t> </w:t>
      </w:r>
      <w:r w:rsidRPr="008E1FA7">
        <w:t xml:space="preserve">limites. </w:t>
      </w:r>
      <w:r w:rsidRPr="008E1FA7">
        <w:br w:type="page"/>
      </w:r>
    </w:p>
    <w:tbl>
      <w:tblPr>
        <w:tblW w:w="9294" w:type="dxa"/>
        <w:tblInd w:w="35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80"/>
        <w:gridCol w:w="8214"/>
      </w:tblGrid>
      <w:tr w:rsidR="00371363" w:rsidRPr="008E1FA7" w14:paraId="16DF7F6F" w14:textId="77777777" w:rsidTr="00371363">
        <w:trPr>
          <w:tblHeader/>
        </w:trPr>
        <w:tc>
          <w:tcPr>
            <w:tcW w:w="9294" w:type="dxa"/>
            <w:gridSpan w:val="2"/>
            <w:tcBorders>
              <w:top w:val="single" w:sz="6" w:space="0" w:color="auto"/>
              <w:bottom w:val="single" w:sz="6" w:space="0" w:color="auto"/>
            </w:tcBorders>
            <w:shd w:val="clear" w:color="auto" w:fill="auto"/>
          </w:tcPr>
          <w:p w14:paraId="63783D96" w14:textId="77777777" w:rsidR="00371363" w:rsidRPr="008E1FA7" w:rsidRDefault="00371363" w:rsidP="00371363">
            <w:pPr>
              <w:suppressAutoHyphens/>
              <w:ind w:left="-108" w:right="33" w:firstLine="142"/>
              <w:rPr>
                <w:b/>
                <w:sz w:val="24"/>
                <w:szCs w:val="24"/>
              </w:rPr>
            </w:pPr>
            <w:r w:rsidRPr="008E1FA7">
              <w:rPr>
                <w:b/>
                <w:sz w:val="24"/>
                <w:szCs w:val="24"/>
              </w:rPr>
              <w:t xml:space="preserve">LISTE DES ABRÉVIATIONS COURANTES </w:t>
            </w:r>
          </w:p>
        </w:tc>
      </w:tr>
      <w:tr w:rsidR="00371363" w:rsidRPr="008E1FA7" w14:paraId="07DCDBF1" w14:textId="77777777" w:rsidTr="00371363">
        <w:tc>
          <w:tcPr>
            <w:tcW w:w="1080" w:type="dxa"/>
            <w:tcBorders>
              <w:top w:val="single" w:sz="6" w:space="0" w:color="auto"/>
            </w:tcBorders>
            <w:shd w:val="clear" w:color="auto" w:fill="auto"/>
          </w:tcPr>
          <w:p w14:paraId="172873EF" w14:textId="77777777" w:rsidR="00371363" w:rsidRPr="008E1FA7" w:rsidRDefault="00371363" w:rsidP="00371363">
            <w:pPr>
              <w:spacing w:before="20" w:after="20"/>
              <w:ind w:left="176" w:hanging="142"/>
            </w:pPr>
            <w:r w:rsidRPr="008E1FA7">
              <w:t>&lt;</w:t>
            </w:r>
          </w:p>
        </w:tc>
        <w:tc>
          <w:tcPr>
            <w:tcW w:w="8214" w:type="dxa"/>
            <w:tcBorders>
              <w:top w:val="single" w:sz="6" w:space="0" w:color="auto"/>
            </w:tcBorders>
            <w:shd w:val="clear" w:color="auto" w:fill="auto"/>
          </w:tcPr>
          <w:p w14:paraId="05F44A8E" w14:textId="77777777" w:rsidR="00371363" w:rsidRPr="008E1FA7" w:rsidRDefault="00371363" w:rsidP="00371363">
            <w:pPr>
              <w:ind w:left="126"/>
            </w:pPr>
            <w:proofErr w:type="gramStart"/>
            <w:r w:rsidRPr="008E1FA7">
              <w:t>inférieur</w:t>
            </w:r>
            <w:proofErr w:type="gramEnd"/>
            <w:r w:rsidRPr="008E1FA7">
              <w:t xml:space="preserve"> à</w:t>
            </w:r>
          </w:p>
        </w:tc>
      </w:tr>
      <w:tr w:rsidR="00371363" w:rsidRPr="008E1FA7" w14:paraId="4CE959DF" w14:textId="77777777" w:rsidTr="00371363">
        <w:tc>
          <w:tcPr>
            <w:tcW w:w="1080" w:type="dxa"/>
            <w:shd w:val="clear" w:color="auto" w:fill="auto"/>
          </w:tcPr>
          <w:p w14:paraId="3EEE626D" w14:textId="77777777" w:rsidR="00371363" w:rsidRPr="008E1FA7" w:rsidRDefault="00371363" w:rsidP="00371363">
            <w:pPr>
              <w:spacing w:before="20" w:after="20"/>
              <w:ind w:left="176" w:hanging="142"/>
            </w:pPr>
            <w:r w:rsidRPr="008E1FA7">
              <w:rPr>
                <w:u w:val="single"/>
              </w:rPr>
              <w:t>&lt;</w:t>
            </w:r>
          </w:p>
        </w:tc>
        <w:tc>
          <w:tcPr>
            <w:tcW w:w="8214" w:type="dxa"/>
            <w:shd w:val="clear" w:color="auto" w:fill="auto"/>
          </w:tcPr>
          <w:p w14:paraId="5A42BA13" w14:textId="77777777" w:rsidR="00371363" w:rsidRPr="008E1FA7" w:rsidRDefault="00371363" w:rsidP="00371363">
            <w:pPr>
              <w:ind w:left="126"/>
            </w:pPr>
            <w:proofErr w:type="gramStart"/>
            <w:r w:rsidRPr="008E1FA7">
              <w:t>inférieur</w:t>
            </w:r>
            <w:proofErr w:type="gramEnd"/>
            <w:r w:rsidRPr="008E1FA7">
              <w:t xml:space="preserve"> ou égal à</w:t>
            </w:r>
          </w:p>
        </w:tc>
      </w:tr>
      <w:tr w:rsidR="00371363" w:rsidRPr="008E1FA7" w14:paraId="471A5C7E" w14:textId="77777777" w:rsidTr="00371363">
        <w:tc>
          <w:tcPr>
            <w:tcW w:w="1080" w:type="dxa"/>
            <w:shd w:val="clear" w:color="auto" w:fill="auto"/>
          </w:tcPr>
          <w:p w14:paraId="2F299A3A" w14:textId="77777777" w:rsidR="00371363" w:rsidRPr="008E1FA7" w:rsidRDefault="00371363" w:rsidP="00371363">
            <w:pPr>
              <w:spacing w:before="20" w:after="20"/>
              <w:ind w:left="176" w:hanging="142"/>
            </w:pPr>
            <w:r w:rsidRPr="008E1FA7">
              <w:t>&gt;</w:t>
            </w:r>
          </w:p>
        </w:tc>
        <w:tc>
          <w:tcPr>
            <w:tcW w:w="8214" w:type="dxa"/>
            <w:shd w:val="clear" w:color="auto" w:fill="auto"/>
          </w:tcPr>
          <w:p w14:paraId="6A0E7138" w14:textId="77777777" w:rsidR="00371363" w:rsidRPr="008E1FA7" w:rsidRDefault="00371363" w:rsidP="00371363">
            <w:pPr>
              <w:ind w:left="126"/>
            </w:pPr>
            <w:proofErr w:type="gramStart"/>
            <w:r w:rsidRPr="008E1FA7">
              <w:t>supérieur</w:t>
            </w:r>
            <w:proofErr w:type="gramEnd"/>
            <w:r w:rsidRPr="008E1FA7">
              <w:t xml:space="preserve"> à</w:t>
            </w:r>
          </w:p>
        </w:tc>
      </w:tr>
      <w:tr w:rsidR="00371363" w:rsidRPr="008E1FA7" w14:paraId="6A06CA5B" w14:textId="77777777" w:rsidTr="00371363">
        <w:tc>
          <w:tcPr>
            <w:tcW w:w="1080" w:type="dxa"/>
            <w:shd w:val="clear" w:color="auto" w:fill="auto"/>
          </w:tcPr>
          <w:p w14:paraId="595B1DDF" w14:textId="77777777" w:rsidR="00371363" w:rsidRPr="008E1FA7" w:rsidRDefault="00371363" w:rsidP="00371363">
            <w:pPr>
              <w:spacing w:before="20" w:after="20"/>
              <w:ind w:left="176" w:hanging="142"/>
            </w:pPr>
            <w:r w:rsidRPr="008E1FA7">
              <w:rPr>
                <w:u w:val="single"/>
              </w:rPr>
              <w:t>&gt;</w:t>
            </w:r>
          </w:p>
        </w:tc>
        <w:tc>
          <w:tcPr>
            <w:tcW w:w="8214" w:type="dxa"/>
            <w:shd w:val="clear" w:color="auto" w:fill="auto"/>
          </w:tcPr>
          <w:p w14:paraId="1795D486" w14:textId="77777777" w:rsidR="00371363" w:rsidRPr="008E1FA7" w:rsidRDefault="00371363" w:rsidP="00371363">
            <w:pPr>
              <w:ind w:left="126"/>
            </w:pPr>
            <w:proofErr w:type="gramStart"/>
            <w:r w:rsidRPr="008E1FA7">
              <w:t>supérieur</w:t>
            </w:r>
            <w:proofErr w:type="gramEnd"/>
            <w:r w:rsidRPr="008E1FA7">
              <w:t xml:space="preserve"> ou égal à </w:t>
            </w:r>
          </w:p>
        </w:tc>
      </w:tr>
      <w:tr w:rsidR="00371363" w:rsidRPr="008E1FA7" w14:paraId="0D9EF385" w14:textId="77777777" w:rsidTr="00371363">
        <w:tc>
          <w:tcPr>
            <w:tcW w:w="1080" w:type="dxa"/>
            <w:shd w:val="clear" w:color="auto" w:fill="auto"/>
          </w:tcPr>
          <w:p w14:paraId="218DEF4F" w14:textId="77777777" w:rsidR="00371363" w:rsidRPr="008E1FA7" w:rsidRDefault="00371363" w:rsidP="00371363">
            <w:pPr>
              <w:ind w:left="176" w:hanging="142"/>
            </w:pPr>
            <w:proofErr w:type="gramStart"/>
            <w:r w:rsidRPr="008E1FA7">
              <w:t>µ</w:t>
            </w:r>
            <w:proofErr w:type="gramEnd"/>
            <w:r w:rsidRPr="008E1FA7">
              <w:t>g</w:t>
            </w:r>
          </w:p>
        </w:tc>
        <w:tc>
          <w:tcPr>
            <w:tcW w:w="8214" w:type="dxa"/>
            <w:shd w:val="clear" w:color="auto" w:fill="auto"/>
          </w:tcPr>
          <w:p w14:paraId="5D2272E7" w14:textId="77777777" w:rsidR="00371363" w:rsidRPr="008E1FA7" w:rsidRDefault="00371363" w:rsidP="00371363">
            <w:pPr>
              <w:ind w:left="126"/>
            </w:pPr>
            <w:proofErr w:type="gramStart"/>
            <w:r w:rsidRPr="008E1FA7">
              <w:t>microgramme</w:t>
            </w:r>
            <w:proofErr w:type="gramEnd"/>
          </w:p>
        </w:tc>
      </w:tr>
      <w:tr w:rsidR="00371363" w:rsidRPr="008E1FA7" w14:paraId="73337471" w14:textId="77777777" w:rsidTr="00371363">
        <w:tc>
          <w:tcPr>
            <w:tcW w:w="1080" w:type="dxa"/>
            <w:shd w:val="clear" w:color="auto" w:fill="auto"/>
          </w:tcPr>
          <w:p w14:paraId="25F0E280" w14:textId="77777777" w:rsidR="00371363" w:rsidRPr="008E1FA7" w:rsidRDefault="00371363" w:rsidP="00371363">
            <w:pPr>
              <w:ind w:left="176" w:hanging="142"/>
            </w:pPr>
          </w:p>
        </w:tc>
        <w:tc>
          <w:tcPr>
            <w:tcW w:w="8214" w:type="dxa"/>
            <w:shd w:val="clear" w:color="auto" w:fill="auto"/>
          </w:tcPr>
          <w:p w14:paraId="252E1049" w14:textId="77777777" w:rsidR="00371363" w:rsidRPr="008E1FA7" w:rsidRDefault="00371363" w:rsidP="00371363">
            <w:pPr>
              <w:ind w:left="126"/>
            </w:pPr>
          </w:p>
        </w:tc>
      </w:tr>
      <w:tr w:rsidR="00371363" w:rsidRPr="008E1FA7" w14:paraId="6BC498CB" w14:textId="77777777" w:rsidTr="00371363">
        <w:tc>
          <w:tcPr>
            <w:tcW w:w="1080" w:type="dxa"/>
            <w:shd w:val="clear" w:color="auto" w:fill="auto"/>
          </w:tcPr>
          <w:p w14:paraId="18070E89" w14:textId="77777777" w:rsidR="00371363" w:rsidRPr="008E1FA7" w:rsidRDefault="00371363" w:rsidP="00371363">
            <w:pPr>
              <w:ind w:left="176" w:hanging="142"/>
            </w:pPr>
            <w:proofErr w:type="spellStart"/>
            <w:r w:rsidRPr="008E1FA7">
              <w:t>Add</w:t>
            </w:r>
            <w:proofErr w:type="spellEnd"/>
            <w:r w:rsidRPr="008E1FA7">
              <w:t>.</w:t>
            </w:r>
          </w:p>
        </w:tc>
        <w:tc>
          <w:tcPr>
            <w:tcW w:w="8214" w:type="dxa"/>
            <w:shd w:val="clear" w:color="auto" w:fill="auto"/>
          </w:tcPr>
          <w:p w14:paraId="61C55E6E" w14:textId="77777777" w:rsidR="00371363" w:rsidRPr="008E1FA7" w:rsidRDefault="00371363" w:rsidP="00371363">
            <w:pPr>
              <w:ind w:left="126"/>
            </w:pPr>
            <w:proofErr w:type="gramStart"/>
            <w:r w:rsidRPr="008E1FA7">
              <w:t>additif</w:t>
            </w:r>
            <w:proofErr w:type="gramEnd"/>
          </w:p>
        </w:tc>
      </w:tr>
      <w:tr w:rsidR="00371363" w:rsidRPr="00C31740" w14:paraId="1412ED06" w14:textId="77777777" w:rsidTr="00371363">
        <w:tc>
          <w:tcPr>
            <w:tcW w:w="1080" w:type="dxa"/>
            <w:shd w:val="clear" w:color="auto" w:fill="auto"/>
          </w:tcPr>
          <w:p w14:paraId="7026A718" w14:textId="77777777" w:rsidR="00371363" w:rsidRPr="008E1FA7" w:rsidRDefault="00371363" w:rsidP="00371363">
            <w:pPr>
              <w:ind w:left="176" w:hanging="142"/>
            </w:pPr>
            <w:r w:rsidRPr="008E1FA7">
              <w:t>APVMA</w:t>
            </w:r>
          </w:p>
        </w:tc>
        <w:tc>
          <w:tcPr>
            <w:tcW w:w="8214" w:type="dxa"/>
            <w:shd w:val="clear" w:color="auto" w:fill="auto"/>
          </w:tcPr>
          <w:p w14:paraId="15E52D98" w14:textId="77777777" w:rsidR="00371363" w:rsidRPr="00C31740" w:rsidRDefault="00371363" w:rsidP="00371363">
            <w:pPr>
              <w:ind w:left="126"/>
              <w:rPr>
                <w:lang w:val="en-US"/>
              </w:rPr>
            </w:pPr>
            <w:r w:rsidRPr="00C31740">
              <w:rPr>
                <w:lang w:val="en-US"/>
              </w:rPr>
              <w:t>Australian Pesticides and Veterinary Medicines Authority</w:t>
            </w:r>
          </w:p>
        </w:tc>
      </w:tr>
      <w:tr w:rsidR="00371363" w:rsidRPr="00C31740" w14:paraId="1E66529D" w14:textId="77777777" w:rsidTr="00371363">
        <w:tc>
          <w:tcPr>
            <w:tcW w:w="1080" w:type="dxa"/>
            <w:shd w:val="clear" w:color="auto" w:fill="auto"/>
          </w:tcPr>
          <w:p w14:paraId="351BB9A0" w14:textId="77777777" w:rsidR="00371363" w:rsidRPr="00C31740" w:rsidRDefault="00371363" w:rsidP="00371363">
            <w:pPr>
              <w:ind w:left="176" w:hanging="142"/>
              <w:rPr>
                <w:lang w:val="en-US"/>
              </w:rPr>
            </w:pPr>
          </w:p>
        </w:tc>
        <w:tc>
          <w:tcPr>
            <w:tcW w:w="8214" w:type="dxa"/>
            <w:shd w:val="clear" w:color="auto" w:fill="auto"/>
          </w:tcPr>
          <w:p w14:paraId="03ACFCAE" w14:textId="77777777" w:rsidR="00371363" w:rsidRPr="00C31740" w:rsidRDefault="00371363" w:rsidP="00371363">
            <w:pPr>
              <w:ind w:left="126"/>
              <w:rPr>
                <w:lang w:val="en-US"/>
              </w:rPr>
            </w:pPr>
          </w:p>
        </w:tc>
      </w:tr>
      <w:tr w:rsidR="00371363" w:rsidRPr="008E1FA7" w14:paraId="428A08D6" w14:textId="77777777" w:rsidTr="00371363">
        <w:tc>
          <w:tcPr>
            <w:tcW w:w="1080" w:type="dxa"/>
            <w:shd w:val="clear" w:color="auto" w:fill="auto"/>
          </w:tcPr>
          <w:p w14:paraId="567C1BBD" w14:textId="77777777" w:rsidR="00371363" w:rsidRPr="008E1FA7" w:rsidRDefault="00371363" w:rsidP="00371363">
            <w:pPr>
              <w:ind w:left="176" w:hanging="142"/>
            </w:pPr>
            <w:proofErr w:type="spellStart"/>
            <w:proofErr w:type="gramStart"/>
            <w:r w:rsidRPr="008E1FA7">
              <w:rPr>
                <w:vertAlign w:val="superscript"/>
              </w:rPr>
              <w:t>o</w:t>
            </w:r>
            <w:r w:rsidRPr="008E1FA7">
              <w:t>C</w:t>
            </w:r>
            <w:proofErr w:type="spellEnd"/>
            <w:proofErr w:type="gramEnd"/>
          </w:p>
        </w:tc>
        <w:tc>
          <w:tcPr>
            <w:tcW w:w="8214" w:type="dxa"/>
            <w:shd w:val="clear" w:color="auto" w:fill="auto"/>
          </w:tcPr>
          <w:p w14:paraId="7240FF2B" w14:textId="77777777" w:rsidR="00371363" w:rsidRPr="008E1FA7" w:rsidRDefault="00371363" w:rsidP="00371363">
            <w:pPr>
              <w:ind w:left="126"/>
            </w:pPr>
            <w:proofErr w:type="gramStart"/>
            <w:r w:rsidRPr="008E1FA7">
              <w:t>degré</w:t>
            </w:r>
            <w:proofErr w:type="gramEnd"/>
            <w:r w:rsidRPr="008E1FA7">
              <w:t xml:space="preserve"> Celsius (centigrade)</w:t>
            </w:r>
          </w:p>
        </w:tc>
      </w:tr>
      <w:tr w:rsidR="00371363" w:rsidRPr="008E1FA7" w14:paraId="6FA1C52B" w14:textId="77777777" w:rsidTr="00371363">
        <w:tc>
          <w:tcPr>
            <w:tcW w:w="1080" w:type="dxa"/>
            <w:shd w:val="clear" w:color="auto" w:fill="auto"/>
          </w:tcPr>
          <w:p w14:paraId="4481C917" w14:textId="77777777" w:rsidR="00371363" w:rsidRPr="008E1FA7" w:rsidRDefault="00371363" w:rsidP="00371363">
            <w:pPr>
              <w:ind w:left="176" w:hanging="142"/>
            </w:pPr>
            <w:r w:rsidRPr="008E1FA7">
              <w:t>CAS</w:t>
            </w:r>
          </w:p>
        </w:tc>
        <w:tc>
          <w:tcPr>
            <w:tcW w:w="8214" w:type="dxa"/>
            <w:shd w:val="clear" w:color="auto" w:fill="auto"/>
          </w:tcPr>
          <w:p w14:paraId="420C5EE8" w14:textId="77777777" w:rsidR="00371363" w:rsidRPr="008E1FA7" w:rsidRDefault="00371363" w:rsidP="00371363">
            <w:pPr>
              <w:ind w:left="126"/>
            </w:pPr>
            <w:r w:rsidRPr="008E1FA7">
              <w:t>Chemical Abstracts Service</w:t>
            </w:r>
          </w:p>
        </w:tc>
      </w:tr>
      <w:tr w:rsidR="00371363" w:rsidRPr="008E1FA7" w14:paraId="2D47AB0C" w14:textId="77777777" w:rsidTr="00371363">
        <w:tc>
          <w:tcPr>
            <w:tcW w:w="1080" w:type="dxa"/>
            <w:shd w:val="clear" w:color="auto" w:fill="auto"/>
          </w:tcPr>
          <w:p w14:paraId="2C15E920" w14:textId="77777777" w:rsidR="00371363" w:rsidRPr="008E1FA7" w:rsidRDefault="00371363" w:rsidP="00371363">
            <w:pPr>
              <w:ind w:left="176" w:hanging="142"/>
            </w:pPr>
            <w:r w:rsidRPr="008E1FA7">
              <w:t>CE</w:t>
            </w:r>
          </w:p>
        </w:tc>
        <w:tc>
          <w:tcPr>
            <w:tcW w:w="8214" w:type="dxa"/>
            <w:shd w:val="clear" w:color="auto" w:fill="auto"/>
          </w:tcPr>
          <w:p w14:paraId="5F9D36AE" w14:textId="77777777" w:rsidR="00371363" w:rsidRPr="008E1FA7" w:rsidRDefault="00371363" w:rsidP="00371363">
            <w:pPr>
              <w:ind w:left="126"/>
            </w:pPr>
            <w:r w:rsidRPr="008E1FA7">
              <w:t>Communauté européenne</w:t>
            </w:r>
          </w:p>
        </w:tc>
      </w:tr>
      <w:tr w:rsidR="00371363" w:rsidRPr="008E1FA7" w14:paraId="5535E16F" w14:textId="77777777" w:rsidTr="00371363">
        <w:tc>
          <w:tcPr>
            <w:tcW w:w="1080" w:type="dxa"/>
            <w:shd w:val="clear" w:color="auto" w:fill="auto"/>
          </w:tcPr>
          <w:p w14:paraId="3179AC2C" w14:textId="77777777" w:rsidR="00371363" w:rsidRPr="008E1FA7" w:rsidRDefault="00371363" w:rsidP="00371363">
            <w:pPr>
              <w:ind w:left="176" w:hanging="142"/>
            </w:pPr>
            <w:r w:rsidRPr="008E1FA7">
              <w:t>CE</w:t>
            </w:r>
            <w:r w:rsidRPr="008E1FA7">
              <w:rPr>
                <w:vertAlign w:val="subscript"/>
              </w:rPr>
              <w:t>50</w:t>
            </w:r>
          </w:p>
        </w:tc>
        <w:tc>
          <w:tcPr>
            <w:tcW w:w="8214" w:type="dxa"/>
            <w:shd w:val="clear" w:color="auto" w:fill="auto"/>
          </w:tcPr>
          <w:p w14:paraId="23CEF265" w14:textId="77777777" w:rsidR="00371363" w:rsidRPr="008E1FA7" w:rsidRDefault="00371363" w:rsidP="00371363">
            <w:pPr>
              <w:ind w:left="126"/>
            </w:pPr>
            <w:r w:rsidRPr="008E1FA7">
              <w:t xml:space="preserve">Concentration efficace médiane </w:t>
            </w:r>
          </w:p>
        </w:tc>
      </w:tr>
      <w:tr w:rsidR="00371363" w:rsidRPr="008E1FA7" w14:paraId="1E27AE78" w14:textId="77777777" w:rsidTr="00371363">
        <w:tc>
          <w:tcPr>
            <w:tcW w:w="1080" w:type="dxa"/>
            <w:shd w:val="clear" w:color="auto" w:fill="auto"/>
          </w:tcPr>
          <w:p w14:paraId="0F1649E0" w14:textId="77777777" w:rsidR="00371363" w:rsidRPr="008E1FA7" w:rsidRDefault="00371363" w:rsidP="00371363">
            <w:pPr>
              <w:ind w:left="176" w:hanging="142"/>
            </w:pPr>
            <w:r w:rsidRPr="008E1FA7">
              <w:t>CIRC</w:t>
            </w:r>
          </w:p>
        </w:tc>
        <w:tc>
          <w:tcPr>
            <w:tcW w:w="8214" w:type="dxa"/>
            <w:shd w:val="clear" w:color="auto" w:fill="auto"/>
          </w:tcPr>
          <w:p w14:paraId="651CD517" w14:textId="77777777" w:rsidR="00371363" w:rsidRPr="008E1FA7" w:rsidRDefault="00371363" w:rsidP="00371363">
            <w:pPr>
              <w:ind w:left="126"/>
            </w:pPr>
            <w:r w:rsidRPr="008E1FA7">
              <w:t>Centre international de recherche sur le cancer</w:t>
            </w:r>
          </w:p>
        </w:tc>
      </w:tr>
      <w:tr w:rsidR="00371363" w:rsidRPr="008E1FA7" w14:paraId="3C8A012D" w14:textId="77777777" w:rsidTr="00371363">
        <w:tc>
          <w:tcPr>
            <w:tcW w:w="1080" w:type="dxa"/>
            <w:shd w:val="clear" w:color="auto" w:fill="auto"/>
          </w:tcPr>
          <w:p w14:paraId="735D06A2" w14:textId="77777777" w:rsidR="00371363" w:rsidRPr="008E1FA7" w:rsidRDefault="00371363" w:rsidP="00371363">
            <w:pPr>
              <w:ind w:left="176" w:hanging="142"/>
            </w:pPr>
            <w:r w:rsidRPr="008E1FA7">
              <w:t>CL</w:t>
            </w:r>
            <w:r w:rsidRPr="008E1FA7">
              <w:rPr>
                <w:vertAlign w:val="subscript"/>
              </w:rPr>
              <w:t>50</w:t>
            </w:r>
          </w:p>
        </w:tc>
        <w:tc>
          <w:tcPr>
            <w:tcW w:w="8214" w:type="dxa"/>
            <w:shd w:val="clear" w:color="auto" w:fill="auto"/>
          </w:tcPr>
          <w:p w14:paraId="52D47B46" w14:textId="77777777" w:rsidR="00371363" w:rsidRPr="008E1FA7" w:rsidRDefault="00371363" w:rsidP="00371363">
            <w:pPr>
              <w:ind w:left="126"/>
            </w:pPr>
            <w:proofErr w:type="gramStart"/>
            <w:r w:rsidRPr="008E1FA7">
              <w:t>concentration</w:t>
            </w:r>
            <w:proofErr w:type="gramEnd"/>
            <w:r w:rsidRPr="008E1FA7">
              <w:t xml:space="preserve"> létale pour 50 % de la population étudiée </w:t>
            </w:r>
          </w:p>
        </w:tc>
      </w:tr>
      <w:tr w:rsidR="00371363" w:rsidRPr="008E1FA7" w14:paraId="605EF528" w14:textId="77777777" w:rsidTr="00371363">
        <w:tc>
          <w:tcPr>
            <w:tcW w:w="1080" w:type="dxa"/>
            <w:shd w:val="clear" w:color="auto" w:fill="auto"/>
          </w:tcPr>
          <w:p w14:paraId="155BDF89" w14:textId="77777777" w:rsidR="00371363" w:rsidRPr="008E1FA7" w:rsidRDefault="00371363" w:rsidP="00371363">
            <w:pPr>
              <w:ind w:left="176" w:hanging="142"/>
            </w:pPr>
            <w:proofErr w:type="gramStart"/>
            <w:r w:rsidRPr="008E1FA7">
              <w:t>cm</w:t>
            </w:r>
            <w:proofErr w:type="gramEnd"/>
          </w:p>
        </w:tc>
        <w:tc>
          <w:tcPr>
            <w:tcW w:w="8214" w:type="dxa"/>
            <w:shd w:val="clear" w:color="auto" w:fill="auto"/>
          </w:tcPr>
          <w:p w14:paraId="009B497D" w14:textId="77777777" w:rsidR="00371363" w:rsidRPr="008E1FA7" w:rsidRDefault="00371363" w:rsidP="00371363">
            <w:pPr>
              <w:ind w:left="126"/>
            </w:pPr>
            <w:proofErr w:type="gramStart"/>
            <w:r w:rsidRPr="008E1FA7">
              <w:t>centimètre</w:t>
            </w:r>
            <w:proofErr w:type="gramEnd"/>
          </w:p>
        </w:tc>
      </w:tr>
      <w:tr w:rsidR="00371363" w:rsidRPr="008E1FA7" w14:paraId="487376B2" w14:textId="77777777" w:rsidTr="00371363">
        <w:tc>
          <w:tcPr>
            <w:tcW w:w="1080" w:type="dxa"/>
            <w:shd w:val="clear" w:color="auto" w:fill="auto"/>
          </w:tcPr>
          <w:p w14:paraId="35EFFAF1" w14:textId="77777777" w:rsidR="00371363" w:rsidRPr="008E1FA7" w:rsidRDefault="00371363" w:rsidP="00371363">
            <w:pPr>
              <w:ind w:left="176" w:hanging="142"/>
            </w:pPr>
            <w:r w:rsidRPr="008E1FA7">
              <w:t>CMENO</w:t>
            </w:r>
          </w:p>
        </w:tc>
        <w:tc>
          <w:tcPr>
            <w:tcW w:w="8214" w:type="dxa"/>
            <w:shd w:val="clear" w:color="auto" w:fill="auto"/>
          </w:tcPr>
          <w:p w14:paraId="527AB4B5" w14:textId="77777777" w:rsidR="00371363" w:rsidRPr="008E1FA7" w:rsidRDefault="00371363" w:rsidP="00371363">
            <w:pPr>
              <w:ind w:left="126"/>
            </w:pPr>
            <w:proofErr w:type="gramStart"/>
            <w:r w:rsidRPr="008E1FA7">
              <w:t>concentration</w:t>
            </w:r>
            <w:proofErr w:type="gramEnd"/>
            <w:r w:rsidRPr="008E1FA7">
              <w:t xml:space="preserve"> minimale avec effet nocif observé </w:t>
            </w:r>
          </w:p>
        </w:tc>
      </w:tr>
      <w:tr w:rsidR="00371363" w:rsidRPr="008E1FA7" w14:paraId="76B1C37E" w14:textId="77777777" w:rsidTr="00371363">
        <w:tc>
          <w:tcPr>
            <w:tcW w:w="1080" w:type="dxa"/>
            <w:shd w:val="clear" w:color="auto" w:fill="auto"/>
          </w:tcPr>
          <w:p w14:paraId="109D5692" w14:textId="77777777" w:rsidR="00371363" w:rsidRPr="008E1FA7" w:rsidRDefault="00371363" w:rsidP="00371363">
            <w:pPr>
              <w:ind w:left="176" w:hanging="142"/>
            </w:pPr>
            <w:r w:rsidRPr="008E1FA7">
              <w:t>CMEO</w:t>
            </w:r>
          </w:p>
        </w:tc>
        <w:tc>
          <w:tcPr>
            <w:tcW w:w="8214" w:type="dxa"/>
            <w:shd w:val="clear" w:color="auto" w:fill="auto"/>
          </w:tcPr>
          <w:p w14:paraId="7F0ED296" w14:textId="77777777" w:rsidR="00371363" w:rsidRPr="008E1FA7" w:rsidRDefault="00371363" w:rsidP="00371363">
            <w:pPr>
              <w:ind w:left="126"/>
            </w:pPr>
            <w:proofErr w:type="gramStart"/>
            <w:r w:rsidRPr="008E1FA7">
              <w:t>concentration</w:t>
            </w:r>
            <w:proofErr w:type="gramEnd"/>
            <w:r w:rsidRPr="008E1FA7">
              <w:t xml:space="preserve"> minimale avec effet observé </w:t>
            </w:r>
          </w:p>
        </w:tc>
      </w:tr>
      <w:tr w:rsidR="00371363" w:rsidRPr="008E1FA7" w14:paraId="398B6998" w14:textId="77777777" w:rsidTr="00371363">
        <w:tc>
          <w:tcPr>
            <w:tcW w:w="1080" w:type="dxa"/>
            <w:shd w:val="clear" w:color="auto" w:fill="auto"/>
          </w:tcPr>
          <w:p w14:paraId="1CA5B47C" w14:textId="77777777" w:rsidR="00371363" w:rsidRPr="008E1FA7" w:rsidRDefault="00371363" w:rsidP="00371363">
            <w:pPr>
              <w:ind w:left="176" w:hanging="142"/>
            </w:pPr>
            <w:r w:rsidRPr="008E1FA7">
              <w:t>CSENO</w:t>
            </w:r>
          </w:p>
        </w:tc>
        <w:tc>
          <w:tcPr>
            <w:tcW w:w="8214" w:type="dxa"/>
            <w:shd w:val="clear" w:color="auto" w:fill="auto"/>
          </w:tcPr>
          <w:p w14:paraId="1C09A854" w14:textId="77777777" w:rsidR="00371363" w:rsidRPr="008E1FA7" w:rsidRDefault="00371363" w:rsidP="00371363">
            <w:pPr>
              <w:ind w:left="126"/>
            </w:pPr>
            <w:proofErr w:type="gramStart"/>
            <w:r w:rsidRPr="008E1FA7">
              <w:t>concentration</w:t>
            </w:r>
            <w:proofErr w:type="gramEnd"/>
            <w:r w:rsidRPr="008E1FA7">
              <w:t xml:space="preserve"> sans effet nocif observé </w:t>
            </w:r>
          </w:p>
        </w:tc>
      </w:tr>
      <w:tr w:rsidR="00371363" w:rsidRPr="008E1FA7" w14:paraId="5934F56E" w14:textId="77777777" w:rsidTr="00371363">
        <w:tc>
          <w:tcPr>
            <w:tcW w:w="1080" w:type="dxa"/>
            <w:shd w:val="clear" w:color="auto" w:fill="auto"/>
          </w:tcPr>
          <w:p w14:paraId="345EC635" w14:textId="77777777" w:rsidR="00371363" w:rsidRPr="008E1FA7" w:rsidRDefault="00371363" w:rsidP="00371363">
            <w:pPr>
              <w:ind w:left="176" w:hanging="142"/>
            </w:pPr>
            <w:r w:rsidRPr="008E1FA7">
              <w:t>CSEO</w:t>
            </w:r>
          </w:p>
        </w:tc>
        <w:tc>
          <w:tcPr>
            <w:tcW w:w="8214" w:type="dxa"/>
            <w:shd w:val="clear" w:color="auto" w:fill="auto"/>
          </w:tcPr>
          <w:p w14:paraId="32E6BEDD" w14:textId="77777777" w:rsidR="00371363" w:rsidRPr="008E1FA7" w:rsidRDefault="00371363" w:rsidP="00371363">
            <w:pPr>
              <w:ind w:left="126"/>
            </w:pPr>
            <w:proofErr w:type="gramStart"/>
            <w:r w:rsidRPr="008E1FA7">
              <w:t>concentration</w:t>
            </w:r>
            <w:proofErr w:type="gramEnd"/>
            <w:r w:rsidRPr="008E1FA7">
              <w:t xml:space="preserve"> sans effet observé </w:t>
            </w:r>
          </w:p>
        </w:tc>
      </w:tr>
      <w:tr w:rsidR="00371363" w:rsidRPr="008E1FA7" w14:paraId="708ADAB4" w14:textId="77777777" w:rsidTr="00371363">
        <w:tc>
          <w:tcPr>
            <w:tcW w:w="1080" w:type="dxa"/>
            <w:shd w:val="clear" w:color="auto" w:fill="auto"/>
          </w:tcPr>
          <w:p w14:paraId="5FB8724C" w14:textId="77777777" w:rsidR="00371363" w:rsidRPr="008E1FA7" w:rsidRDefault="00371363" w:rsidP="00371363">
            <w:pPr>
              <w:ind w:left="176" w:hanging="142"/>
            </w:pPr>
          </w:p>
        </w:tc>
        <w:tc>
          <w:tcPr>
            <w:tcW w:w="8214" w:type="dxa"/>
            <w:shd w:val="clear" w:color="auto" w:fill="auto"/>
          </w:tcPr>
          <w:p w14:paraId="4205B8AF" w14:textId="77777777" w:rsidR="00371363" w:rsidRPr="008E1FA7" w:rsidRDefault="00371363" w:rsidP="00371363">
            <w:pPr>
              <w:ind w:left="126"/>
            </w:pPr>
          </w:p>
        </w:tc>
      </w:tr>
      <w:tr w:rsidR="00371363" w:rsidRPr="008E1FA7" w14:paraId="31B5A753" w14:textId="77777777" w:rsidTr="00371363">
        <w:tc>
          <w:tcPr>
            <w:tcW w:w="1080" w:type="dxa"/>
            <w:shd w:val="clear" w:color="auto" w:fill="auto"/>
          </w:tcPr>
          <w:p w14:paraId="19F51006" w14:textId="77777777" w:rsidR="00371363" w:rsidRPr="008E1FA7" w:rsidRDefault="00371363" w:rsidP="00371363">
            <w:pPr>
              <w:ind w:left="176" w:hanging="142"/>
            </w:pPr>
            <w:r w:rsidRPr="008E1FA7">
              <w:t>DE</w:t>
            </w:r>
            <w:r w:rsidRPr="008E1FA7">
              <w:rPr>
                <w:vertAlign w:val="subscript"/>
              </w:rPr>
              <w:t>50</w:t>
            </w:r>
          </w:p>
        </w:tc>
        <w:tc>
          <w:tcPr>
            <w:tcW w:w="8214" w:type="dxa"/>
            <w:shd w:val="clear" w:color="auto" w:fill="auto"/>
          </w:tcPr>
          <w:p w14:paraId="6974678E" w14:textId="77777777" w:rsidR="00371363" w:rsidRPr="008E1FA7" w:rsidRDefault="00371363" w:rsidP="00371363">
            <w:pPr>
              <w:ind w:left="126"/>
            </w:pPr>
            <w:proofErr w:type="gramStart"/>
            <w:r w:rsidRPr="008E1FA7">
              <w:t>dose</w:t>
            </w:r>
            <w:proofErr w:type="gramEnd"/>
            <w:r w:rsidRPr="008E1FA7">
              <w:t xml:space="preserve"> efficace médiane</w:t>
            </w:r>
          </w:p>
        </w:tc>
      </w:tr>
      <w:tr w:rsidR="00371363" w:rsidRPr="008E1FA7" w14:paraId="1E499A86" w14:textId="77777777" w:rsidTr="00371363">
        <w:tc>
          <w:tcPr>
            <w:tcW w:w="1080" w:type="dxa"/>
            <w:shd w:val="clear" w:color="auto" w:fill="auto"/>
          </w:tcPr>
          <w:p w14:paraId="20E0F4D8" w14:textId="77777777" w:rsidR="00371363" w:rsidRPr="008E1FA7" w:rsidRDefault="00371363" w:rsidP="00371363">
            <w:pPr>
              <w:ind w:left="176" w:hanging="142"/>
            </w:pPr>
            <w:r w:rsidRPr="008E1FA7">
              <w:t>DJA</w:t>
            </w:r>
          </w:p>
        </w:tc>
        <w:tc>
          <w:tcPr>
            <w:tcW w:w="8214" w:type="dxa"/>
            <w:shd w:val="clear" w:color="auto" w:fill="auto"/>
          </w:tcPr>
          <w:p w14:paraId="711DC634" w14:textId="77777777" w:rsidR="00371363" w:rsidRPr="008E1FA7" w:rsidRDefault="00371363" w:rsidP="00371363">
            <w:pPr>
              <w:ind w:left="126"/>
            </w:pPr>
            <w:proofErr w:type="gramStart"/>
            <w:r w:rsidRPr="008E1FA7">
              <w:t>dose</w:t>
            </w:r>
            <w:proofErr w:type="gramEnd"/>
            <w:r w:rsidRPr="008E1FA7">
              <w:t xml:space="preserve"> journalière admissible</w:t>
            </w:r>
          </w:p>
        </w:tc>
      </w:tr>
      <w:tr w:rsidR="00371363" w:rsidRPr="008E1FA7" w14:paraId="61A7303B" w14:textId="77777777" w:rsidTr="00371363">
        <w:tc>
          <w:tcPr>
            <w:tcW w:w="1080" w:type="dxa"/>
            <w:shd w:val="clear" w:color="auto" w:fill="auto"/>
          </w:tcPr>
          <w:p w14:paraId="08B9D43C" w14:textId="77777777" w:rsidR="00371363" w:rsidRPr="008E1FA7" w:rsidRDefault="00371363" w:rsidP="00371363">
            <w:pPr>
              <w:ind w:left="176" w:hanging="142"/>
            </w:pPr>
            <w:r w:rsidRPr="008E1FA7">
              <w:t>DL</w:t>
            </w:r>
            <w:r w:rsidRPr="008E1FA7">
              <w:rPr>
                <w:vertAlign w:val="subscript"/>
              </w:rPr>
              <w:t>50</w:t>
            </w:r>
          </w:p>
        </w:tc>
        <w:tc>
          <w:tcPr>
            <w:tcW w:w="8214" w:type="dxa"/>
            <w:shd w:val="clear" w:color="auto" w:fill="auto"/>
          </w:tcPr>
          <w:p w14:paraId="5C0FB532" w14:textId="77777777" w:rsidR="00371363" w:rsidRPr="008E1FA7" w:rsidRDefault="00371363" w:rsidP="00371363">
            <w:pPr>
              <w:ind w:left="126"/>
            </w:pPr>
            <w:proofErr w:type="gramStart"/>
            <w:r w:rsidRPr="008E1FA7">
              <w:t>dose</w:t>
            </w:r>
            <w:proofErr w:type="gramEnd"/>
            <w:r w:rsidRPr="008E1FA7">
              <w:t xml:space="preserve"> létale pour 50 % de la population étudiée</w:t>
            </w:r>
          </w:p>
        </w:tc>
      </w:tr>
      <w:tr w:rsidR="00371363" w:rsidRPr="008E1FA7" w14:paraId="70359F7A" w14:textId="77777777" w:rsidTr="00371363">
        <w:tc>
          <w:tcPr>
            <w:tcW w:w="1080" w:type="dxa"/>
            <w:shd w:val="clear" w:color="auto" w:fill="auto"/>
          </w:tcPr>
          <w:p w14:paraId="65F224F1" w14:textId="77777777" w:rsidR="00371363" w:rsidRPr="008E1FA7" w:rsidRDefault="00371363" w:rsidP="00371363">
            <w:pPr>
              <w:ind w:left="176" w:hanging="142"/>
            </w:pPr>
            <w:r w:rsidRPr="008E1FA7">
              <w:t>DPVC</w:t>
            </w:r>
          </w:p>
        </w:tc>
        <w:tc>
          <w:tcPr>
            <w:tcW w:w="8214" w:type="dxa"/>
            <w:shd w:val="clear" w:color="auto" w:fill="auto"/>
          </w:tcPr>
          <w:p w14:paraId="158025C4" w14:textId="77777777" w:rsidR="00371363" w:rsidRPr="008E1FA7" w:rsidRDefault="00371363" w:rsidP="00371363">
            <w:pPr>
              <w:ind w:left="126"/>
            </w:pPr>
            <w:r w:rsidRPr="008E1FA7">
              <w:t>Direction de la protection des végétaux et du conditionnement</w:t>
            </w:r>
          </w:p>
        </w:tc>
      </w:tr>
      <w:tr w:rsidR="00371363" w:rsidRPr="008E1FA7" w14:paraId="4E1DD918" w14:textId="77777777" w:rsidTr="00371363">
        <w:tc>
          <w:tcPr>
            <w:tcW w:w="1080" w:type="dxa"/>
            <w:shd w:val="clear" w:color="auto" w:fill="auto"/>
          </w:tcPr>
          <w:p w14:paraId="5433EBE7" w14:textId="77777777" w:rsidR="00371363" w:rsidRPr="008E1FA7" w:rsidRDefault="00371363" w:rsidP="00371363">
            <w:pPr>
              <w:ind w:left="176" w:hanging="142"/>
            </w:pPr>
            <w:r w:rsidRPr="008E1FA7">
              <w:t>DSENO</w:t>
            </w:r>
          </w:p>
        </w:tc>
        <w:tc>
          <w:tcPr>
            <w:tcW w:w="8214" w:type="dxa"/>
            <w:shd w:val="clear" w:color="auto" w:fill="auto"/>
          </w:tcPr>
          <w:p w14:paraId="66EDDC00" w14:textId="77777777" w:rsidR="00371363" w:rsidRPr="008E1FA7" w:rsidRDefault="00371363" w:rsidP="00371363">
            <w:pPr>
              <w:ind w:left="126"/>
            </w:pPr>
            <w:proofErr w:type="gramStart"/>
            <w:r w:rsidRPr="008E1FA7">
              <w:t>dose</w:t>
            </w:r>
            <w:proofErr w:type="gramEnd"/>
            <w:r w:rsidRPr="008E1FA7">
              <w:t xml:space="preserve"> sans effet nocif observé </w:t>
            </w:r>
          </w:p>
        </w:tc>
      </w:tr>
      <w:tr w:rsidR="00371363" w:rsidRPr="008E1FA7" w14:paraId="132394EA" w14:textId="77777777" w:rsidTr="00371363">
        <w:tc>
          <w:tcPr>
            <w:tcW w:w="1080" w:type="dxa"/>
            <w:shd w:val="clear" w:color="auto" w:fill="auto"/>
          </w:tcPr>
          <w:p w14:paraId="6A1E598A" w14:textId="77777777" w:rsidR="00371363" w:rsidRPr="008E1FA7" w:rsidRDefault="00371363" w:rsidP="00371363">
            <w:pPr>
              <w:ind w:left="176" w:hanging="142"/>
            </w:pPr>
            <w:r w:rsidRPr="008E1FA7">
              <w:t>DSEO</w:t>
            </w:r>
          </w:p>
        </w:tc>
        <w:tc>
          <w:tcPr>
            <w:tcW w:w="8214" w:type="dxa"/>
            <w:shd w:val="clear" w:color="auto" w:fill="auto"/>
          </w:tcPr>
          <w:p w14:paraId="295DEB96" w14:textId="77777777" w:rsidR="00371363" w:rsidRPr="008E1FA7" w:rsidRDefault="00371363" w:rsidP="00371363">
            <w:pPr>
              <w:ind w:left="126"/>
            </w:pPr>
            <w:proofErr w:type="gramStart"/>
            <w:r w:rsidRPr="008E1FA7">
              <w:t>dose</w:t>
            </w:r>
            <w:proofErr w:type="gramEnd"/>
            <w:r w:rsidRPr="008E1FA7">
              <w:t xml:space="preserve"> sans effet observé </w:t>
            </w:r>
          </w:p>
        </w:tc>
      </w:tr>
      <w:tr w:rsidR="00371363" w:rsidRPr="008E1FA7" w14:paraId="2A01F1F0" w14:textId="77777777" w:rsidTr="00371363">
        <w:tc>
          <w:tcPr>
            <w:tcW w:w="1080" w:type="dxa"/>
            <w:shd w:val="clear" w:color="auto" w:fill="auto"/>
          </w:tcPr>
          <w:p w14:paraId="57148A0E" w14:textId="77777777" w:rsidR="00371363" w:rsidRPr="008E1FA7" w:rsidRDefault="00371363" w:rsidP="00371363">
            <w:pPr>
              <w:ind w:left="176" w:hanging="142"/>
            </w:pPr>
            <w:proofErr w:type="spellStart"/>
            <w:r w:rsidRPr="008E1FA7">
              <w:t>DReA</w:t>
            </w:r>
            <w:proofErr w:type="spellEnd"/>
          </w:p>
        </w:tc>
        <w:tc>
          <w:tcPr>
            <w:tcW w:w="8214" w:type="dxa"/>
            <w:shd w:val="clear" w:color="auto" w:fill="auto"/>
          </w:tcPr>
          <w:p w14:paraId="4A012C01" w14:textId="77777777" w:rsidR="00371363" w:rsidRPr="008E1FA7" w:rsidRDefault="00371363" w:rsidP="00371363">
            <w:pPr>
              <w:ind w:left="126"/>
            </w:pPr>
            <w:proofErr w:type="gramStart"/>
            <w:r w:rsidRPr="008E1FA7">
              <w:t>dose</w:t>
            </w:r>
            <w:proofErr w:type="gramEnd"/>
            <w:r w:rsidRPr="008E1FA7">
              <w:t xml:space="preserve"> de référence aiguë</w:t>
            </w:r>
          </w:p>
        </w:tc>
      </w:tr>
      <w:tr w:rsidR="00371363" w:rsidRPr="008E1FA7" w14:paraId="4044DCD6" w14:textId="77777777" w:rsidTr="00371363">
        <w:tc>
          <w:tcPr>
            <w:tcW w:w="1080" w:type="dxa"/>
            <w:shd w:val="clear" w:color="auto" w:fill="auto"/>
          </w:tcPr>
          <w:p w14:paraId="27AB5A48" w14:textId="77777777" w:rsidR="00371363" w:rsidRPr="008E1FA7" w:rsidRDefault="00371363" w:rsidP="00371363">
            <w:pPr>
              <w:ind w:left="176" w:hanging="142"/>
            </w:pPr>
            <w:proofErr w:type="spellStart"/>
            <w:r w:rsidRPr="008E1FA7">
              <w:t>DRf</w:t>
            </w:r>
            <w:proofErr w:type="spellEnd"/>
          </w:p>
        </w:tc>
        <w:tc>
          <w:tcPr>
            <w:tcW w:w="8214" w:type="dxa"/>
            <w:shd w:val="clear" w:color="auto" w:fill="auto"/>
          </w:tcPr>
          <w:p w14:paraId="73B34AAE" w14:textId="5986A86F" w:rsidR="00371363" w:rsidRPr="008E1FA7" w:rsidRDefault="00371363" w:rsidP="00371363">
            <w:pPr>
              <w:ind w:left="126"/>
            </w:pPr>
            <w:proofErr w:type="gramStart"/>
            <w:r w:rsidRPr="008E1FA7">
              <w:t>dose</w:t>
            </w:r>
            <w:proofErr w:type="gramEnd"/>
            <w:r w:rsidRPr="008E1FA7">
              <w:t xml:space="preserve"> de référence pour l</w:t>
            </w:r>
            <w:r w:rsidR="001503DA" w:rsidRPr="008E1FA7">
              <w:t>’</w:t>
            </w:r>
            <w:r w:rsidRPr="008E1FA7">
              <w:t>exposition orale chronique (comparable à la DJA)</w:t>
            </w:r>
          </w:p>
        </w:tc>
      </w:tr>
      <w:tr w:rsidR="00371363" w:rsidRPr="008E1FA7" w14:paraId="6A1E7E0D" w14:textId="77777777" w:rsidTr="00371363">
        <w:tc>
          <w:tcPr>
            <w:tcW w:w="1080" w:type="dxa"/>
            <w:shd w:val="clear" w:color="auto" w:fill="auto"/>
          </w:tcPr>
          <w:p w14:paraId="2CD8DFAD" w14:textId="77777777" w:rsidR="00371363" w:rsidRPr="008E1FA7" w:rsidRDefault="00371363" w:rsidP="00371363">
            <w:pPr>
              <w:ind w:left="176" w:hanging="142"/>
            </w:pPr>
            <w:r w:rsidRPr="008E1FA7">
              <w:t>DT</w:t>
            </w:r>
            <w:r w:rsidRPr="008E1FA7">
              <w:rPr>
                <w:vertAlign w:val="subscript"/>
              </w:rPr>
              <w:t>50</w:t>
            </w:r>
          </w:p>
        </w:tc>
        <w:tc>
          <w:tcPr>
            <w:tcW w:w="8214" w:type="dxa"/>
            <w:shd w:val="clear" w:color="auto" w:fill="auto"/>
          </w:tcPr>
          <w:p w14:paraId="1709B2D6" w14:textId="77777777" w:rsidR="00371363" w:rsidRPr="008E1FA7" w:rsidRDefault="00371363" w:rsidP="00371363">
            <w:pPr>
              <w:ind w:left="126"/>
            </w:pPr>
            <w:proofErr w:type="gramStart"/>
            <w:r w:rsidRPr="008E1FA7">
              <w:t>temps</w:t>
            </w:r>
            <w:proofErr w:type="gramEnd"/>
            <w:r w:rsidRPr="008E1FA7">
              <w:t xml:space="preserve"> de dégradation de 50 % de la quantité initiale de substance active </w:t>
            </w:r>
          </w:p>
        </w:tc>
      </w:tr>
      <w:tr w:rsidR="00371363" w:rsidRPr="008E1FA7" w14:paraId="07D72FD8" w14:textId="77777777" w:rsidTr="00371363">
        <w:tc>
          <w:tcPr>
            <w:tcW w:w="1080" w:type="dxa"/>
            <w:shd w:val="clear" w:color="auto" w:fill="auto"/>
          </w:tcPr>
          <w:p w14:paraId="2ED6AF69" w14:textId="77777777" w:rsidR="00371363" w:rsidRPr="008E1FA7" w:rsidRDefault="00371363" w:rsidP="00371363">
            <w:pPr>
              <w:ind w:left="176" w:hanging="142"/>
            </w:pPr>
          </w:p>
        </w:tc>
        <w:tc>
          <w:tcPr>
            <w:tcW w:w="8214" w:type="dxa"/>
            <w:shd w:val="clear" w:color="auto" w:fill="auto"/>
          </w:tcPr>
          <w:p w14:paraId="7D141E31" w14:textId="77777777" w:rsidR="00371363" w:rsidRPr="008E1FA7" w:rsidRDefault="00371363" w:rsidP="00371363">
            <w:pPr>
              <w:ind w:left="126"/>
            </w:pPr>
          </w:p>
        </w:tc>
      </w:tr>
      <w:tr w:rsidR="00371363" w:rsidRPr="008E1FA7" w14:paraId="39DAD714" w14:textId="77777777" w:rsidTr="00371363">
        <w:tc>
          <w:tcPr>
            <w:tcW w:w="1080" w:type="dxa"/>
            <w:shd w:val="clear" w:color="auto" w:fill="auto"/>
          </w:tcPr>
          <w:p w14:paraId="655336A0" w14:textId="77777777" w:rsidR="00371363" w:rsidRPr="008E1FA7" w:rsidRDefault="00371363" w:rsidP="00371363">
            <w:pPr>
              <w:ind w:left="176" w:hanging="142"/>
            </w:pPr>
            <w:r w:rsidRPr="008E1FA7">
              <w:t>EPA</w:t>
            </w:r>
          </w:p>
        </w:tc>
        <w:tc>
          <w:tcPr>
            <w:tcW w:w="8214" w:type="dxa"/>
            <w:shd w:val="clear" w:color="auto" w:fill="auto"/>
          </w:tcPr>
          <w:p w14:paraId="44638B11" w14:textId="65B6059A" w:rsidR="00371363" w:rsidRPr="008E1FA7" w:rsidRDefault="00371363" w:rsidP="00371363">
            <w:pPr>
              <w:ind w:left="126"/>
            </w:pPr>
            <w:r w:rsidRPr="008E1FA7">
              <w:t>Agence pour la protection de l</w:t>
            </w:r>
            <w:r w:rsidR="001503DA" w:rsidRPr="008E1FA7">
              <w:t>’</w:t>
            </w:r>
            <w:r w:rsidRPr="008E1FA7">
              <w:t>environnement</w:t>
            </w:r>
          </w:p>
        </w:tc>
      </w:tr>
      <w:tr w:rsidR="00371363" w:rsidRPr="008E1FA7" w14:paraId="07388EF8" w14:textId="77777777" w:rsidTr="00371363">
        <w:tc>
          <w:tcPr>
            <w:tcW w:w="1080" w:type="dxa"/>
            <w:shd w:val="clear" w:color="auto" w:fill="auto"/>
          </w:tcPr>
          <w:p w14:paraId="1B79F42F" w14:textId="77777777" w:rsidR="00371363" w:rsidRPr="008E1FA7" w:rsidRDefault="00371363" w:rsidP="00371363">
            <w:pPr>
              <w:ind w:left="176" w:hanging="142"/>
            </w:pPr>
            <w:r w:rsidRPr="008E1FA7">
              <w:t>EPI</w:t>
            </w:r>
          </w:p>
        </w:tc>
        <w:tc>
          <w:tcPr>
            <w:tcW w:w="8214" w:type="dxa"/>
            <w:shd w:val="clear" w:color="auto" w:fill="auto"/>
          </w:tcPr>
          <w:p w14:paraId="3099615A" w14:textId="77777777" w:rsidR="00371363" w:rsidRPr="008E1FA7" w:rsidRDefault="00371363" w:rsidP="00371363">
            <w:pPr>
              <w:ind w:left="126"/>
            </w:pPr>
            <w:proofErr w:type="gramStart"/>
            <w:r w:rsidRPr="008E1FA7">
              <w:t>équipement</w:t>
            </w:r>
            <w:proofErr w:type="gramEnd"/>
            <w:r w:rsidRPr="008E1FA7">
              <w:t xml:space="preserve"> de protection individuelle</w:t>
            </w:r>
          </w:p>
        </w:tc>
      </w:tr>
      <w:tr w:rsidR="00371363" w:rsidRPr="008E1FA7" w14:paraId="6A4708E8" w14:textId="77777777" w:rsidTr="00371363">
        <w:tc>
          <w:tcPr>
            <w:tcW w:w="1080" w:type="dxa"/>
            <w:shd w:val="clear" w:color="auto" w:fill="auto"/>
          </w:tcPr>
          <w:p w14:paraId="1FD16855" w14:textId="77777777" w:rsidR="00371363" w:rsidRPr="008E1FA7" w:rsidRDefault="00371363" w:rsidP="00371363">
            <w:pPr>
              <w:ind w:left="176" w:hanging="142"/>
            </w:pPr>
          </w:p>
        </w:tc>
        <w:tc>
          <w:tcPr>
            <w:tcW w:w="8214" w:type="dxa"/>
            <w:shd w:val="clear" w:color="auto" w:fill="auto"/>
          </w:tcPr>
          <w:p w14:paraId="3F9C4D1C" w14:textId="77777777" w:rsidR="00371363" w:rsidRPr="008E1FA7" w:rsidRDefault="00371363" w:rsidP="00371363">
            <w:pPr>
              <w:ind w:left="126"/>
            </w:pPr>
          </w:p>
        </w:tc>
      </w:tr>
      <w:tr w:rsidR="00371363" w:rsidRPr="008E1FA7" w14:paraId="5673F734" w14:textId="77777777" w:rsidTr="00371363">
        <w:tc>
          <w:tcPr>
            <w:tcW w:w="1080" w:type="dxa"/>
            <w:shd w:val="clear" w:color="auto" w:fill="auto"/>
          </w:tcPr>
          <w:p w14:paraId="422D8F09" w14:textId="77777777" w:rsidR="00371363" w:rsidRPr="008E1FA7" w:rsidRDefault="00371363" w:rsidP="00371363">
            <w:pPr>
              <w:ind w:left="176" w:hanging="142"/>
            </w:pPr>
            <w:r w:rsidRPr="008E1FA7">
              <w:t>FAO</w:t>
            </w:r>
          </w:p>
        </w:tc>
        <w:tc>
          <w:tcPr>
            <w:tcW w:w="8214" w:type="dxa"/>
            <w:shd w:val="clear" w:color="auto" w:fill="auto"/>
          </w:tcPr>
          <w:p w14:paraId="68D5358B" w14:textId="59DAB58B" w:rsidR="00371363" w:rsidRPr="008E1FA7" w:rsidRDefault="00371363" w:rsidP="00371363">
            <w:pPr>
              <w:ind w:left="126"/>
            </w:pPr>
            <w:r w:rsidRPr="008E1FA7">
              <w:t>Organisation des Nations Unies pour l</w:t>
            </w:r>
            <w:r w:rsidR="001503DA" w:rsidRPr="008E1FA7">
              <w:t>’</w:t>
            </w:r>
            <w:r w:rsidRPr="008E1FA7">
              <w:t>alimentation et l</w:t>
            </w:r>
            <w:r w:rsidR="001503DA" w:rsidRPr="008E1FA7">
              <w:t>’</w:t>
            </w:r>
            <w:r w:rsidRPr="008E1FA7">
              <w:t>agriculture</w:t>
            </w:r>
          </w:p>
        </w:tc>
      </w:tr>
      <w:tr w:rsidR="00371363" w:rsidRPr="008E1FA7" w14:paraId="3F9AFD92" w14:textId="77777777" w:rsidTr="00371363">
        <w:tc>
          <w:tcPr>
            <w:tcW w:w="1080" w:type="dxa"/>
            <w:shd w:val="clear" w:color="auto" w:fill="auto"/>
          </w:tcPr>
          <w:p w14:paraId="39DF5A56" w14:textId="77777777" w:rsidR="00371363" w:rsidRPr="008E1FA7" w:rsidRDefault="00371363" w:rsidP="00371363">
            <w:pPr>
              <w:ind w:left="176" w:hanging="142"/>
            </w:pPr>
          </w:p>
        </w:tc>
        <w:tc>
          <w:tcPr>
            <w:tcW w:w="8214" w:type="dxa"/>
            <w:shd w:val="clear" w:color="auto" w:fill="auto"/>
          </w:tcPr>
          <w:p w14:paraId="489963EB" w14:textId="77777777" w:rsidR="00371363" w:rsidRPr="008E1FA7" w:rsidRDefault="00371363" w:rsidP="00371363">
            <w:pPr>
              <w:ind w:left="126"/>
            </w:pPr>
          </w:p>
        </w:tc>
      </w:tr>
      <w:tr w:rsidR="00371363" w:rsidRPr="008E1FA7" w14:paraId="2ACC17DD" w14:textId="77777777" w:rsidTr="00371363">
        <w:tc>
          <w:tcPr>
            <w:tcW w:w="1080" w:type="dxa"/>
            <w:shd w:val="clear" w:color="auto" w:fill="auto"/>
          </w:tcPr>
          <w:p w14:paraId="37FEA3A7" w14:textId="77777777" w:rsidR="00371363" w:rsidRPr="008E1FA7" w:rsidRDefault="00371363" w:rsidP="00371363">
            <w:pPr>
              <w:ind w:left="176" w:hanging="142"/>
            </w:pPr>
            <w:proofErr w:type="gramStart"/>
            <w:r w:rsidRPr="008E1FA7">
              <w:t>g</w:t>
            </w:r>
            <w:proofErr w:type="gramEnd"/>
          </w:p>
        </w:tc>
        <w:tc>
          <w:tcPr>
            <w:tcW w:w="8214" w:type="dxa"/>
            <w:shd w:val="clear" w:color="auto" w:fill="auto"/>
          </w:tcPr>
          <w:p w14:paraId="3ED920CC" w14:textId="77777777" w:rsidR="00371363" w:rsidRPr="008E1FA7" w:rsidRDefault="00371363" w:rsidP="00371363">
            <w:pPr>
              <w:ind w:left="126"/>
            </w:pPr>
            <w:proofErr w:type="gramStart"/>
            <w:r w:rsidRPr="008E1FA7">
              <w:t>gramme</w:t>
            </w:r>
            <w:proofErr w:type="gramEnd"/>
          </w:p>
        </w:tc>
      </w:tr>
      <w:tr w:rsidR="00371363" w:rsidRPr="008E1FA7" w14:paraId="5F2E1F96" w14:textId="77777777" w:rsidTr="00371363">
        <w:tc>
          <w:tcPr>
            <w:tcW w:w="1080" w:type="dxa"/>
            <w:shd w:val="clear" w:color="auto" w:fill="auto"/>
          </w:tcPr>
          <w:p w14:paraId="72BC4662" w14:textId="77777777" w:rsidR="00371363" w:rsidRPr="008E1FA7" w:rsidRDefault="00371363" w:rsidP="00371363">
            <w:pPr>
              <w:ind w:left="176" w:hanging="142"/>
            </w:pPr>
          </w:p>
        </w:tc>
        <w:tc>
          <w:tcPr>
            <w:tcW w:w="8214" w:type="dxa"/>
            <w:shd w:val="clear" w:color="auto" w:fill="auto"/>
          </w:tcPr>
          <w:p w14:paraId="3BE51A48" w14:textId="77777777" w:rsidR="00371363" w:rsidRPr="008E1FA7" w:rsidRDefault="00371363" w:rsidP="00371363">
            <w:pPr>
              <w:ind w:left="126"/>
            </w:pPr>
          </w:p>
        </w:tc>
      </w:tr>
      <w:tr w:rsidR="00371363" w:rsidRPr="008E1FA7" w14:paraId="6E97FB88" w14:textId="77777777" w:rsidTr="00371363">
        <w:tc>
          <w:tcPr>
            <w:tcW w:w="1080" w:type="dxa"/>
            <w:shd w:val="clear" w:color="auto" w:fill="auto"/>
          </w:tcPr>
          <w:p w14:paraId="077E98C2" w14:textId="77777777" w:rsidR="00371363" w:rsidRPr="008E1FA7" w:rsidRDefault="00371363" w:rsidP="00371363">
            <w:pPr>
              <w:ind w:left="176" w:hanging="142"/>
            </w:pPr>
            <w:proofErr w:type="gramStart"/>
            <w:r w:rsidRPr="008E1FA7">
              <w:t>h</w:t>
            </w:r>
            <w:proofErr w:type="gramEnd"/>
          </w:p>
        </w:tc>
        <w:tc>
          <w:tcPr>
            <w:tcW w:w="8214" w:type="dxa"/>
            <w:shd w:val="clear" w:color="auto" w:fill="auto"/>
          </w:tcPr>
          <w:p w14:paraId="1EB70719" w14:textId="77777777" w:rsidR="00371363" w:rsidRPr="008E1FA7" w:rsidRDefault="00371363" w:rsidP="00371363">
            <w:pPr>
              <w:ind w:left="126"/>
            </w:pPr>
            <w:proofErr w:type="gramStart"/>
            <w:r w:rsidRPr="008E1FA7">
              <w:t>heure</w:t>
            </w:r>
            <w:proofErr w:type="gramEnd"/>
          </w:p>
        </w:tc>
      </w:tr>
      <w:tr w:rsidR="00371363" w:rsidRPr="008E1FA7" w14:paraId="151051CB" w14:textId="77777777" w:rsidTr="00371363">
        <w:tc>
          <w:tcPr>
            <w:tcW w:w="1080" w:type="dxa"/>
            <w:shd w:val="clear" w:color="auto" w:fill="auto"/>
          </w:tcPr>
          <w:p w14:paraId="57998C1D" w14:textId="77777777" w:rsidR="00371363" w:rsidRPr="008E1FA7" w:rsidRDefault="00371363" w:rsidP="00371363">
            <w:pPr>
              <w:ind w:left="176" w:hanging="142"/>
            </w:pPr>
            <w:proofErr w:type="gramStart"/>
            <w:r w:rsidRPr="008E1FA7">
              <w:t>ha</w:t>
            </w:r>
            <w:proofErr w:type="gramEnd"/>
          </w:p>
        </w:tc>
        <w:tc>
          <w:tcPr>
            <w:tcW w:w="8214" w:type="dxa"/>
            <w:shd w:val="clear" w:color="auto" w:fill="auto"/>
          </w:tcPr>
          <w:p w14:paraId="38A10A2E" w14:textId="77777777" w:rsidR="00371363" w:rsidRPr="008E1FA7" w:rsidRDefault="00371363" w:rsidP="00371363">
            <w:pPr>
              <w:ind w:left="126"/>
            </w:pPr>
            <w:proofErr w:type="gramStart"/>
            <w:r w:rsidRPr="008E1FA7">
              <w:t>hectare</w:t>
            </w:r>
            <w:proofErr w:type="gramEnd"/>
          </w:p>
        </w:tc>
      </w:tr>
      <w:tr w:rsidR="00371363" w:rsidRPr="008E1FA7" w14:paraId="316A8E69" w14:textId="77777777" w:rsidTr="00371363">
        <w:tc>
          <w:tcPr>
            <w:tcW w:w="1080" w:type="dxa"/>
            <w:shd w:val="clear" w:color="auto" w:fill="auto"/>
          </w:tcPr>
          <w:p w14:paraId="2E1E8C60" w14:textId="77777777" w:rsidR="00371363" w:rsidRPr="008E1FA7" w:rsidRDefault="00371363" w:rsidP="00371363">
            <w:pPr>
              <w:ind w:left="176" w:hanging="142"/>
            </w:pPr>
          </w:p>
        </w:tc>
        <w:tc>
          <w:tcPr>
            <w:tcW w:w="8214" w:type="dxa"/>
            <w:shd w:val="clear" w:color="auto" w:fill="auto"/>
          </w:tcPr>
          <w:p w14:paraId="64FBF81E" w14:textId="77777777" w:rsidR="00371363" w:rsidRPr="008E1FA7" w:rsidRDefault="00371363" w:rsidP="00371363">
            <w:pPr>
              <w:ind w:left="126"/>
            </w:pPr>
          </w:p>
        </w:tc>
      </w:tr>
      <w:tr w:rsidR="00371363" w:rsidRPr="008E1FA7" w14:paraId="57282796" w14:textId="77777777" w:rsidTr="00371363">
        <w:tc>
          <w:tcPr>
            <w:tcW w:w="1080" w:type="dxa"/>
            <w:shd w:val="clear" w:color="auto" w:fill="auto"/>
          </w:tcPr>
          <w:p w14:paraId="5FE6211E" w14:textId="77777777" w:rsidR="00371363" w:rsidRPr="008E1FA7" w:rsidRDefault="00371363" w:rsidP="00371363">
            <w:pPr>
              <w:ind w:left="176" w:hanging="142"/>
            </w:pPr>
            <w:r w:rsidRPr="008E1FA7">
              <w:t>ISO</w:t>
            </w:r>
          </w:p>
        </w:tc>
        <w:tc>
          <w:tcPr>
            <w:tcW w:w="8214" w:type="dxa"/>
            <w:shd w:val="clear" w:color="auto" w:fill="auto"/>
          </w:tcPr>
          <w:p w14:paraId="1A9166F9" w14:textId="77777777" w:rsidR="00371363" w:rsidRPr="008E1FA7" w:rsidRDefault="00371363" w:rsidP="00371363">
            <w:pPr>
              <w:ind w:left="126"/>
            </w:pPr>
            <w:r w:rsidRPr="008E1FA7">
              <w:t>Organisation internationale de normalisation</w:t>
            </w:r>
          </w:p>
        </w:tc>
      </w:tr>
      <w:tr w:rsidR="00371363" w:rsidRPr="008E1FA7" w14:paraId="0D1BD7DF" w14:textId="77777777" w:rsidTr="00371363">
        <w:tc>
          <w:tcPr>
            <w:tcW w:w="1080" w:type="dxa"/>
            <w:shd w:val="clear" w:color="auto" w:fill="auto"/>
          </w:tcPr>
          <w:p w14:paraId="3A838A1F" w14:textId="77777777" w:rsidR="00371363" w:rsidRPr="008E1FA7" w:rsidRDefault="00371363" w:rsidP="00371363">
            <w:pPr>
              <w:ind w:left="176" w:hanging="142"/>
            </w:pPr>
          </w:p>
        </w:tc>
        <w:tc>
          <w:tcPr>
            <w:tcW w:w="8214" w:type="dxa"/>
            <w:shd w:val="clear" w:color="auto" w:fill="auto"/>
          </w:tcPr>
          <w:p w14:paraId="63569EED" w14:textId="77777777" w:rsidR="00371363" w:rsidRPr="008E1FA7" w:rsidRDefault="00371363" w:rsidP="00371363">
            <w:pPr>
              <w:ind w:left="126"/>
            </w:pPr>
          </w:p>
        </w:tc>
      </w:tr>
      <w:tr w:rsidR="00371363" w:rsidRPr="008E1FA7" w14:paraId="74E6E539" w14:textId="77777777" w:rsidTr="00371363">
        <w:tc>
          <w:tcPr>
            <w:tcW w:w="1080" w:type="dxa"/>
            <w:shd w:val="clear" w:color="auto" w:fill="auto"/>
          </w:tcPr>
          <w:p w14:paraId="00353D76" w14:textId="77777777" w:rsidR="00371363" w:rsidRPr="008E1FA7" w:rsidRDefault="00371363" w:rsidP="00371363">
            <w:pPr>
              <w:ind w:left="176" w:hanging="142"/>
            </w:pPr>
            <w:proofErr w:type="gramStart"/>
            <w:r w:rsidRPr="008E1FA7">
              <w:t>j</w:t>
            </w:r>
            <w:proofErr w:type="gramEnd"/>
          </w:p>
        </w:tc>
        <w:tc>
          <w:tcPr>
            <w:tcW w:w="8214" w:type="dxa"/>
            <w:shd w:val="clear" w:color="auto" w:fill="auto"/>
          </w:tcPr>
          <w:p w14:paraId="15839B3B" w14:textId="77777777" w:rsidR="00371363" w:rsidRPr="008E1FA7" w:rsidRDefault="00371363" w:rsidP="00371363">
            <w:pPr>
              <w:ind w:left="126"/>
            </w:pPr>
            <w:proofErr w:type="gramStart"/>
            <w:r w:rsidRPr="008E1FA7">
              <w:t>jour</w:t>
            </w:r>
            <w:proofErr w:type="gramEnd"/>
          </w:p>
        </w:tc>
      </w:tr>
      <w:tr w:rsidR="00371363" w:rsidRPr="008E1FA7" w14:paraId="0B3A5C46" w14:textId="77777777" w:rsidTr="00371363">
        <w:tc>
          <w:tcPr>
            <w:tcW w:w="1080" w:type="dxa"/>
            <w:shd w:val="clear" w:color="auto" w:fill="auto"/>
          </w:tcPr>
          <w:p w14:paraId="58F4AC28" w14:textId="77777777" w:rsidR="00371363" w:rsidRPr="008E1FA7" w:rsidRDefault="00371363" w:rsidP="00371363">
            <w:pPr>
              <w:ind w:left="176" w:hanging="142"/>
            </w:pPr>
            <w:r w:rsidRPr="008E1FA7">
              <w:t>JMPR</w:t>
            </w:r>
          </w:p>
        </w:tc>
        <w:tc>
          <w:tcPr>
            <w:tcW w:w="8214" w:type="dxa"/>
            <w:shd w:val="clear" w:color="auto" w:fill="auto"/>
          </w:tcPr>
          <w:p w14:paraId="3D7D4E87" w14:textId="651794B4" w:rsidR="00371363" w:rsidRPr="008E1FA7" w:rsidRDefault="00371363" w:rsidP="00371363">
            <w:pPr>
              <w:ind w:left="126"/>
            </w:pPr>
            <w:r w:rsidRPr="008E1FA7">
              <w:t>Réunion conjointe FAO/OMS sur les résidus de pesticides (réunion conjointe du Groupe d</w:t>
            </w:r>
            <w:r w:rsidR="001503DA" w:rsidRPr="008E1FA7">
              <w:t>’</w:t>
            </w:r>
            <w:r w:rsidRPr="008E1FA7">
              <w:t>experts de la FAO sur les résidus de pesticides dans les aliments et du Groupe d</w:t>
            </w:r>
            <w:r w:rsidR="001503DA" w:rsidRPr="008E1FA7">
              <w:t>’</w:t>
            </w:r>
            <w:r w:rsidRPr="008E1FA7">
              <w:t>experts de l</w:t>
            </w:r>
            <w:r w:rsidR="001503DA" w:rsidRPr="008E1FA7">
              <w:t>’</w:t>
            </w:r>
            <w:r w:rsidRPr="008E1FA7">
              <w:t>OMS sur les résidus de pesticides)</w:t>
            </w:r>
          </w:p>
        </w:tc>
      </w:tr>
      <w:tr w:rsidR="00371363" w:rsidRPr="008E1FA7" w14:paraId="5EF6CA79" w14:textId="77777777" w:rsidTr="00371363">
        <w:tc>
          <w:tcPr>
            <w:tcW w:w="1080" w:type="dxa"/>
            <w:shd w:val="clear" w:color="auto" w:fill="auto"/>
          </w:tcPr>
          <w:p w14:paraId="58F2AAFE" w14:textId="77777777" w:rsidR="00371363" w:rsidRPr="008E1FA7" w:rsidRDefault="00371363" w:rsidP="00371363">
            <w:pPr>
              <w:ind w:left="176" w:hanging="142"/>
            </w:pPr>
          </w:p>
        </w:tc>
        <w:tc>
          <w:tcPr>
            <w:tcW w:w="8214" w:type="dxa"/>
            <w:shd w:val="clear" w:color="auto" w:fill="auto"/>
          </w:tcPr>
          <w:p w14:paraId="7096A9A3" w14:textId="77777777" w:rsidR="00371363" w:rsidRPr="008E1FA7" w:rsidRDefault="00371363" w:rsidP="00371363">
            <w:pPr>
              <w:ind w:left="126"/>
            </w:pPr>
          </w:p>
        </w:tc>
      </w:tr>
      <w:tr w:rsidR="00371363" w:rsidRPr="008E1FA7" w14:paraId="08412417" w14:textId="77777777" w:rsidTr="00371363">
        <w:tc>
          <w:tcPr>
            <w:tcW w:w="1080" w:type="dxa"/>
            <w:shd w:val="clear" w:color="auto" w:fill="auto"/>
          </w:tcPr>
          <w:p w14:paraId="3CC27254" w14:textId="77777777" w:rsidR="00371363" w:rsidRPr="008E1FA7" w:rsidRDefault="00371363" w:rsidP="00371363">
            <w:pPr>
              <w:ind w:left="176" w:hanging="142"/>
            </w:pPr>
            <w:proofErr w:type="gramStart"/>
            <w:r w:rsidRPr="008E1FA7">
              <w:t>k</w:t>
            </w:r>
            <w:proofErr w:type="gramEnd"/>
          </w:p>
        </w:tc>
        <w:tc>
          <w:tcPr>
            <w:tcW w:w="8214" w:type="dxa"/>
            <w:shd w:val="clear" w:color="auto" w:fill="auto"/>
          </w:tcPr>
          <w:p w14:paraId="0AA8C959" w14:textId="77777777" w:rsidR="00371363" w:rsidRPr="008E1FA7" w:rsidRDefault="00371363" w:rsidP="00371363">
            <w:pPr>
              <w:ind w:left="126"/>
            </w:pPr>
            <w:proofErr w:type="gramStart"/>
            <w:r w:rsidRPr="008E1FA7">
              <w:t>kilo</w:t>
            </w:r>
            <w:proofErr w:type="gramEnd"/>
            <w:r w:rsidRPr="008E1FA7">
              <w:noBreakHyphen/>
              <w:t xml:space="preserve"> (x 1 000)</w:t>
            </w:r>
          </w:p>
        </w:tc>
      </w:tr>
      <w:tr w:rsidR="00371363" w:rsidRPr="008E1FA7" w14:paraId="644A373A" w14:textId="77777777" w:rsidTr="00371363">
        <w:tc>
          <w:tcPr>
            <w:tcW w:w="1080" w:type="dxa"/>
            <w:shd w:val="clear" w:color="auto" w:fill="auto"/>
          </w:tcPr>
          <w:p w14:paraId="46124824" w14:textId="77777777" w:rsidR="00371363" w:rsidRPr="008E1FA7" w:rsidRDefault="00371363" w:rsidP="00371363">
            <w:pPr>
              <w:ind w:left="176" w:hanging="142"/>
            </w:pPr>
            <w:proofErr w:type="gramStart"/>
            <w:r w:rsidRPr="008E1FA7">
              <w:t>kg</w:t>
            </w:r>
            <w:proofErr w:type="gramEnd"/>
          </w:p>
        </w:tc>
        <w:tc>
          <w:tcPr>
            <w:tcW w:w="8214" w:type="dxa"/>
            <w:shd w:val="clear" w:color="auto" w:fill="auto"/>
          </w:tcPr>
          <w:p w14:paraId="46667959" w14:textId="77777777" w:rsidR="00371363" w:rsidRPr="008E1FA7" w:rsidRDefault="00371363" w:rsidP="00371363">
            <w:pPr>
              <w:ind w:left="126"/>
            </w:pPr>
            <w:proofErr w:type="gramStart"/>
            <w:r w:rsidRPr="008E1FA7">
              <w:t>kilogramme</w:t>
            </w:r>
            <w:proofErr w:type="gramEnd"/>
          </w:p>
        </w:tc>
      </w:tr>
      <w:tr w:rsidR="00371363" w:rsidRPr="008E1FA7" w14:paraId="06C5D654" w14:textId="77777777" w:rsidTr="00371363">
        <w:tc>
          <w:tcPr>
            <w:tcW w:w="1080" w:type="dxa"/>
            <w:shd w:val="clear" w:color="auto" w:fill="auto"/>
          </w:tcPr>
          <w:p w14:paraId="0E359B7E" w14:textId="77777777" w:rsidR="00371363" w:rsidRPr="008E1FA7" w:rsidRDefault="00371363" w:rsidP="00371363">
            <w:pPr>
              <w:ind w:left="176" w:hanging="142"/>
            </w:pPr>
            <w:proofErr w:type="spellStart"/>
            <w:r w:rsidRPr="008E1FA7">
              <w:t>K</w:t>
            </w:r>
            <w:r w:rsidRPr="008E1FA7">
              <w:rPr>
                <w:vertAlign w:val="subscript"/>
              </w:rPr>
              <w:t>oc</w:t>
            </w:r>
            <w:proofErr w:type="spellEnd"/>
          </w:p>
        </w:tc>
        <w:tc>
          <w:tcPr>
            <w:tcW w:w="8214" w:type="dxa"/>
            <w:shd w:val="clear" w:color="auto" w:fill="auto"/>
          </w:tcPr>
          <w:p w14:paraId="399AE812" w14:textId="77777777" w:rsidR="00371363" w:rsidRPr="008E1FA7" w:rsidRDefault="00371363" w:rsidP="00371363">
            <w:pPr>
              <w:ind w:left="126"/>
            </w:pPr>
            <w:proofErr w:type="gramStart"/>
            <w:r w:rsidRPr="008E1FA7">
              <w:t>coefficient</w:t>
            </w:r>
            <w:proofErr w:type="gramEnd"/>
            <w:r w:rsidRPr="008E1FA7">
              <w:t xml:space="preserve"> de partage carbone organique/eau</w:t>
            </w:r>
          </w:p>
        </w:tc>
      </w:tr>
      <w:tr w:rsidR="00371363" w:rsidRPr="008E1FA7" w14:paraId="73A94ED7" w14:textId="77777777" w:rsidTr="00371363">
        <w:tc>
          <w:tcPr>
            <w:tcW w:w="1080" w:type="dxa"/>
            <w:shd w:val="clear" w:color="auto" w:fill="auto"/>
          </w:tcPr>
          <w:p w14:paraId="6EBC1B8C" w14:textId="77777777" w:rsidR="00371363" w:rsidRPr="008E1FA7" w:rsidRDefault="00371363" w:rsidP="00371363">
            <w:pPr>
              <w:ind w:left="176" w:hanging="142"/>
            </w:pPr>
          </w:p>
        </w:tc>
        <w:tc>
          <w:tcPr>
            <w:tcW w:w="8214" w:type="dxa"/>
            <w:shd w:val="clear" w:color="auto" w:fill="auto"/>
          </w:tcPr>
          <w:p w14:paraId="4179AB31" w14:textId="77777777" w:rsidR="00371363" w:rsidRPr="008E1FA7" w:rsidRDefault="00371363" w:rsidP="00371363">
            <w:pPr>
              <w:ind w:left="126"/>
            </w:pPr>
          </w:p>
        </w:tc>
      </w:tr>
      <w:tr w:rsidR="00371363" w:rsidRPr="008E1FA7" w14:paraId="378629AE" w14:textId="77777777" w:rsidTr="00371363">
        <w:tc>
          <w:tcPr>
            <w:tcW w:w="1080" w:type="dxa"/>
            <w:shd w:val="clear" w:color="auto" w:fill="auto"/>
          </w:tcPr>
          <w:p w14:paraId="4142785B" w14:textId="77777777" w:rsidR="00371363" w:rsidRPr="008E1FA7" w:rsidRDefault="00371363" w:rsidP="00371363">
            <w:pPr>
              <w:ind w:left="176" w:hanging="142"/>
            </w:pPr>
            <w:proofErr w:type="gramStart"/>
            <w:r w:rsidRPr="008E1FA7">
              <w:t>l</w:t>
            </w:r>
            <w:proofErr w:type="gramEnd"/>
          </w:p>
        </w:tc>
        <w:tc>
          <w:tcPr>
            <w:tcW w:w="8214" w:type="dxa"/>
            <w:shd w:val="clear" w:color="auto" w:fill="auto"/>
          </w:tcPr>
          <w:p w14:paraId="2E10046A" w14:textId="77777777" w:rsidR="00371363" w:rsidRPr="008E1FA7" w:rsidRDefault="00371363" w:rsidP="00371363">
            <w:pPr>
              <w:ind w:left="126"/>
            </w:pPr>
            <w:proofErr w:type="gramStart"/>
            <w:r w:rsidRPr="008E1FA7">
              <w:t>litre</w:t>
            </w:r>
            <w:proofErr w:type="gramEnd"/>
          </w:p>
        </w:tc>
      </w:tr>
      <w:tr w:rsidR="00371363" w:rsidRPr="008E1FA7" w14:paraId="2164D34B" w14:textId="77777777" w:rsidTr="00371363">
        <w:tc>
          <w:tcPr>
            <w:tcW w:w="1080" w:type="dxa"/>
            <w:shd w:val="clear" w:color="auto" w:fill="auto"/>
          </w:tcPr>
          <w:p w14:paraId="30F9C384" w14:textId="77777777" w:rsidR="00371363" w:rsidRPr="008E1FA7" w:rsidRDefault="00371363" w:rsidP="00371363">
            <w:pPr>
              <w:ind w:left="176" w:hanging="142"/>
            </w:pPr>
            <w:r w:rsidRPr="008E1FA7">
              <w:t>LMR</w:t>
            </w:r>
          </w:p>
        </w:tc>
        <w:tc>
          <w:tcPr>
            <w:tcW w:w="8214" w:type="dxa"/>
            <w:shd w:val="clear" w:color="auto" w:fill="auto"/>
          </w:tcPr>
          <w:p w14:paraId="78CE677B" w14:textId="77777777" w:rsidR="00371363" w:rsidRPr="008E1FA7" w:rsidRDefault="00371363" w:rsidP="00371363">
            <w:pPr>
              <w:ind w:left="126"/>
            </w:pPr>
            <w:proofErr w:type="gramStart"/>
            <w:r w:rsidRPr="008E1FA7">
              <w:t>limite</w:t>
            </w:r>
            <w:proofErr w:type="gramEnd"/>
            <w:r w:rsidRPr="008E1FA7">
              <w:t xml:space="preserve"> maximale de résidus</w:t>
            </w:r>
          </w:p>
        </w:tc>
      </w:tr>
      <w:tr w:rsidR="00371363" w:rsidRPr="008E1FA7" w14:paraId="4D82AD15" w14:textId="77777777" w:rsidTr="00371363">
        <w:tc>
          <w:tcPr>
            <w:tcW w:w="1080" w:type="dxa"/>
            <w:shd w:val="clear" w:color="auto" w:fill="auto"/>
          </w:tcPr>
          <w:p w14:paraId="340AB698" w14:textId="77777777" w:rsidR="00371363" w:rsidRPr="008E1FA7" w:rsidRDefault="00371363" w:rsidP="00371363">
            <w:pPr>
              <w:ind w:left="176" w:hanging="142"/>
            </w:pPr>
            <w:r w:rsidRPr="008E1FA7">
              <w:t>Log P</w:t>
            </w:r>
            <w:r w:rsidRPr="008E1FA7">
              <w:rPr>
                <w:vertAlign w:val="subscript"/>
              </w:rPr>
              <w:t>oe</w:t>
            </w:r>
          </w:p>
        </w:tc>
        <w:tc>
          <w:tcPr>
            <w:tcW w:w="8214" w:type="dxa"/>
            <w:shd w:val="clear" w:color="auto" w:fill="auto"/>
          </w:tcPr>
          <w:p w14:paraId="1A0BB099" w14:textId="77777777" w:rsidR="00371363" w:rsidRPr="008E1FA7" w:rsidRDefault="00371363" w:rsidP="00371363">
            <w:pPr>
              <w:ind w:left="126"/>
            </w:pPr>
            <w:proofErr w:type="gramStart"/>
            <w:r w:rsidRPr="008E1FA7">
              <w:t>log</w:t>
            </w:r>
            <w:proofErr w:type="gramEnd"/>
            <w:r w:rsidRPr="008E1FA7">
              <w:t xml:space="preserve"> du coefficient de partage octanol/eau </w:t>
            </w:r>
          </w:p>
        </w:tc>
      </w:tr>
      <w:tr w:rsidR="00371363" w:rsidRPr="008E1FA7" w14:paraId="6FE7F4BA" w14:textId="77777777" w:rsidTr="00371363">
        <w:tc>
          <w:tcPr>
            <w:tcW w:w="1080" w:type="dxa"/>
            <w:shd w:val="clear" w:color="auto" w:fill="auto"/>
          </w:tcPr>
          <w:p w14:paraId="2936CDC1" w14:textId="77777777" w:rsidR="00371363" w:rsidRPr="008E1FA7" w:rsidRDefault="00371363" w:rsidP="00371363">
            <w:pPr>
              <w:ind w:left="176" w:hanging="142"/>
            </w:pPr>
          </w:p>
        </w:tc>
        <w:tc>
          <w:tcPr>
            <w:tcW w:w="8214" w:type="dxa"/>
            <w:shd w:val="clear" w:color="auto" w:fill="auto"/>
          </w:tcPr>
          <w:p w14:paraId="368037C3" w14:textId="77777777" w:rsidR="00371363" w:rsidRPr="008E1FA7" w:rsidRDefault="00371363" w:rsidP="00371363">
            <w:pPr>
              <w:ind w:left="126"/>
            </w:pPr>
          </w:p>
        </w:tc>
      </w:tr>
      <w:tr w:rsidR="00371363" w:rsidRPr="008E1FA7" w14:paraId="748DFC58" w14:textId="77777777" w:rsidTr="00371363">
        <w:tc>
          <w:tcPr>
            <w:tcW w:w="1080" w:type="dxa"/>
            <w:shd w:val="clear" w:color="auto" w:fill="auto"/>
          </w:tcPr>
          <w:p w14:paraId="30A468F3" w14:textId="77777777" w:rsidR="00371363" w:rsidRPr="008E1FA7" w:rsidRDefault="00371363" w:rsidP="00371363">
            <w:pPr>
              <w:ind w:left="176" w:hanging="142"/>
            </w:pPr>
            <w:proofErr w:type="gramStart"/>
            <w:r w:rsidRPr="008E1FA7">
              <w:t>m</w:t>
            </w:r>
            <w:proofErr w:type="gramEnd"/>
          </w:p>
        </w:tc>
        <w:tc>
          <w:tcPr>
            <w:tcW w:w="8214" w:type="dxa"/>
            <w:shd w:val="clear" w:color="auto" w:fill="auto"/>
          </w:tcPr>
          <w:p w14:paraId="2E5B02FA" w14:textId="77777777" w:rsidR="00371363" w:rsidRPr="008E1FA7" w:rsidRDefault="00371363" w:rsidP="00371363">
            <w:pPr>
              <w:ind w:left="126"/>
            </w:pPr>
            <w:proofErr w:type="gramStart"/>
            <w:r w:rsidRPr="008E1FA7">
              <w:t>mètre</w:t>
            </w:r>
            <w:proofErr w:type="gramEnd"/>
          </w:p>
        </w:tc>
      </w:tr>
      <w:tr w:rsidR="00371363" w:rsidRPr="008E1FA7" w14:paraId="54A5820B" w14:textId="77777777" w:rsidTr="00371363">
        <w:tc>
          <w:tcPr>
            <w:tcW w:w="1080" w:type="dxa"/>
            <w:shd w:val="clear" w:color="auto" w:fill="auto"/>
          </w:tcPr>
          <w:p w14:paraId="0616BFC5" w14:textId="77777777" w:rsidR="00371363" w:rsidRPr="008E1FA7" w:rsidRDefault="00371363" w:rsidP="00371363">
            <w:pPr>
              <w:ind w:left="176" w:hanging="142"/>
            </w:pPr>
            <w:proofErr w:type="gramStart"/>
            <w:r w:rsidRPr="008E1FA7">
              <w:t>mg</w:t>
            </w:r>
            <w:proofErr w:type="gramEnd"/>
          </w:p>
        </w:tc>
        <w:tc>
          <w:tcPr>
            <w:tcW w:w="8214" w:type="dxa"/>
            <w:shd w:val="clear" w:color="auto" w:fill="auto"/>
          </w:tcPr>
          <w:p w14:paraId="31C7AF86" w14:textId="77777777" w:rsidR="00371363" w:rsidRPr="008E1FA7" w:rsidRDefault="00371363" w:rsidP="00371363">
            <w:pPr>
              <w:ind w:left="126"/>
            </w:pPr>
            <w:proofErr w:type="gramStart"/>
            <w:r w:rsidRPr="008E1FA7">
              <w:t>milligramme</w:t>
            </w:r>
            <w:proofErr w:type="gramEnd"/>
          </w:p>
        </w:tc>
      </w:tr>
      <w:tr w:rsidR="00371363" w:rsidRPr="008E1FA7" w14:paraId="5E4DDC9E" w14:textId="77777777" w:rsidTr="00371363">
        <w:tc>
          <w:tcPr>
            <w:tcW w:w="1080" w:type="dxa"/>
            <w:shd w:val="clear" w:color="auto" w:fill="auto"/>
          </w:tcPr>
          <w:p w14:paraId="6C7ABC15" w14:textId="77777777" w:rsidR="00371363" w:rsidRPr="008E1FA7" w:rsidRDefault="00371363" w:rsidP="00371363">
            <w:pPr>
              <w:ind w:left="176" w:hanging="142"/>
            </w:pPr>
            <w:proofErr w:type="gramStart"/>
            <w:r w:rsidRPr="008E1FA7">
              <w:t>ml</w:t>
            </w:r>
            <w:proofErr w:type="gramEnd"/>
          </w:p>
        </w:tc>
        <w:tc>
          <w:tcPr>
            <w:tcW w:w="8214" w:type="dxa"/>
            <w:shd w:val="clear" w:color="auto" w:fill="auto"/>
          </w:tcPr>
          <w:p w14:paraId="3B8E5489" w14:textId="77777777" w:rsidR="00371363" w:rsidRPr="008E1FA7" w:rsidRDefault="00371363" w:rsidP="00371363">
            <w:pPr>
              <w:ind w:left="126"/>
            </w:pPr>
            <w:proofErr w:type="gramStart"/>
            <w:r w:rsidRPr="008E1FA7">
              <w:t>millilitre</w:t>
            </w:r>
            <w:proofErr w:type="gramEnd"/>
          </w:p>
        </w:tc>
      </w:tr>
      <w:tr w:rsidR="00371363" w:rsidRPr="008E1FA7" w14:paraId="0CE2FF65" w14:textId="77777777" w:rsidTr="00371363">
        <w:tc>
          <w:tcPr>
            <w:tcW w:w="1080" w:type="dxa"/>
            <w:shd w:val="clear" w:color="auto" w:fill="auto"/>
          </w:tcPr>
          <w:p w14:paraId="6C1572DC" w14:textId="77777777" w:rsidR="00371363" w:rsidRPr="008E1FA7" w:rsidRDefault="00371363" w:rsidP="00371363">
            <w:pPr>
              <w:ind w:left="176" w:hanging="142"/>
            </w:pPr>
          </w:p>
        </w:tc>
        <w:tc>
          <w:tcPr>
            <w:tcW w:w="8214" w:type="dxa"/>
            <w:shd w:val="clear" w:color="auto" w:fill="auto"/>
          </w:tcPr>
          <w:p w14:paraId="0DE45D7B" w14:textId="77777777" w:rsidR="00371363" w:rsidRPr="008E1FA7" w:rsidRDefault="00371363" w:rsidP="00371363">
            <w:pPr>
              <w:ind w:left="126"/>
            </w:pPr>
          </w:p>
        </w:tc>
      </w:tr>
      <w:tr w:rsidR="00371363" w:rsidRPr="008E1FA7" w14:paraId="179B723A" w14:textId="77777777" w:rsidTr="00371363">
        <w:tc>
          <w:tcPr>
            <w:tcW w:w="1080" w:type="dxa"/>
            <w:shd w:val="clear" w:color="auto" w:fill="auto"/>
          </w:tcPr>
          <w:p w14:paraId="7B6C72A5" w14:textId="77777777" w:rsidR="00371363" w:rsidRPr="008E1FA7" w:rsidRDefault="00371363" w:rsidP="00371363">
            <w:pPr>
              <w:ind w:left="176" w:hanging="142"/>
            </w:pPr>
            <w:r w:rsidRPr="008E1FA7">
              <w:t>NEAO</w:t>
            </w:r>
          </w:p>
        </w:tc>
        <w:tc>
          <w:tcPr>
            <w:tcW w:w="8214" w:type="dxa"/>
            <w:shd w:val="clear" w:color="auto" w:fill="auto"/>
          </w:tcPr>
          <w:p w14:paraId="0A77238C" w14:textId="0A9D015C" w:rsidR="00371363" w:rsidRPr="008E1FA7" w:rsidRDefault="00371363" w:rsidP="00371363">
            <w:pPr>
              <w:ind w:left="126"/>
            </w:pPr>
            <w:proofErr w:type="gramStart"/>
            <w:r w:rsidRPr="008E1FA7">
              <w:t>niveau</w:t>
            </w:r>
            <w:proofErr w:type="gramEnd"/>
            <w:r w:rsidRPr="008E1FA7">
              <w:t xml:space="preserve"> d</w:t>
            </w:r>
            <w:r w:rsidR="001503DA" w:rsidRPr="008E1FA7">
              <w:t>’</w:t>
            </w:r>
            <w:r w:rsidRPr="008E1FA7">
              <w:t>exposition acceptable pour l</w:t>
            </w:r>
            <w:r w:rsidR="001503DA" w:rsidRPr="008E1FA7">
              <w:t>’</w:t>
            </w:r>
            <w:r w:rsidRPr="008E1FA7">
              <w:t>opérateur</w:t>
            </w:r>
          </w:p>
        </w:tc>
      </w:tr>
      <w:tr w:rsidR="00371363" w:rsidRPr="008E1FA7" w14:paraId="78894927" w14:textId="77777777" w:rsidTr="00371363">
        <w:tc>
          <w:tcPr>
            <w:tcW w:w="1080" w:type="dxa"/>
            <w:shd w:val="clear" w:color="auto" w:fill="auto"/>
          </w:tcPr>
          <w:p w14:paraId="4179CFAC" w14:textId="77777777" w:rsidR="00371363" w:rsidRPr="008E1FA7" w:rsidRDefault="00371363" w:rsidP="00371363">
            <w:pPr>
              <w:ind w:left="176" w:hanging="142"/>
            </w:pPr>
          </w:p>
        </w:tc>
        <w:tc>
          <w:tcPr>
            <w:tcW w:w="8214" w:type="dxa"/>
            <w:shd w:val="clear" w:color="auto" w:fill="auto"/>
          </w:tcPr>
          <w:p w14:paraId="7920C097" w14:textId="77777777" w:rsidR="00371363" w:rsidRPr="008E1FA7" w:rsidRDefault="00371363" w:rsidP="00371363">
            <w:pPr>
              <w:ind w:left="126"/>
            </w:pPr>
          </w:p>
        </w:tc>
      </w:tr>
      <w:tr w:rsidR="00371363" w:rsidRPr="008E1FA7" w14:paraId="1BF7C815" w14:textId="77777777" w:rsidTr="00371363">
        <w:tc>
          <w:tcPr>
            <w:tcW w:w="1080" w:type="dxa"/>
            <w:shd w:val="clear" w:color="auto" w:fill="auto"/>
          </w:tcPr>
          <w:p w14:paraId="45C85760" w14:textId="77777777" w:rsidR="00371363" w:rsidRPr="008E1FA7" w:rsidRDefault="00371363" w:rsidP="00371363">
            <w:pPr>
              <w:ind w:left="176" w:hanging="142"/>
            </w:pPr>
            <w:r w:rsidRPr="008E1FA7">
              <w:t>OCDE</w:t>
            </w:r>
          </w:p>
        </w:tc>
        <w:tc>
          <w:tcPr>
            <w:tcW w:w="8214" w:type="dxa"/>
            <w:shd w:val="clear" w:color="auto" w:fill="auto"/>
          </w:tcPr>
          <w:p w14:paraId="31CCE19B" w14:textId="77777777" w:rsidR="00371363" w:rsidRPr="008E1FA7" w:rsidRDefault="00371363" w:rsidP="00371363">
            <w:pPr>
              <w:ind w:left="126"/>
            </w:pPr>
            <w:r w:rsidRPr="008E1FA7">
              <w:t xml:space="preserve">Organisation de coopération et de développement économiques </w:t>
            </w:r>
          </w:p>
        </w:tc>
      </w:tr>
      <w:tr w:rsidR="00371363" w:rsidRPr="008E1FA7" w14:paraId="18AA18CF" w14:textId="77777777" w:rsidTr="00371363">
        <w:tc>
          <w:tcPr>
            <w:tcW w:w="1080" w:type="dxa"/>
            <w:shd w:val="clear" w:color="auto" w:fill="auto"/>
          </w:tcPr>
          <w:p w14:paraId="0BC3A021" w14:textId="77777777" w:rsidR="00371363" w:rsidRPr="008E1FA7" w:rsidRDefault="00371363" w:rsidP="00371363">
            <w:pPr>
              <w:ind w:left="176" w:hanging="142"/>
            </w:pPr>
            <w:r w:rsidRPr="008E1FA7">
              <w:t>OMS</w:t>
            </w:r>
          </w:p>
        </w:tc>
        <w:tc>
          <w:tcPr>
            <w:tcW w:w="8214" w:type="dxa"/>
            <w:shd w:val="clear" w:color="auto" w:fill="auto"/>
          </w:tcPr>
          <w:p w14:paraId="6AE2C4F0" w14:textId="77777777" w:rsidR="00371363" w:rsidRPr="008E1FA7" w:rsidRDefault="00371363" w:rsidP="00371363">
            <w:pPr>
              <w:ind w:left="126"/>
            </w:pPr>
            <w:r w:rsidRPr="008E1FA7">
              <w:t>Organisation mondiale de la Santé</w:t>
            </w:r>
          </w:p>
        </w:tc>
      </w:tr>
      <w:tr w:rsidR="00371363" w:rsidRPr="008E1FA7" w14:paraId="732AEC28" w14:textId="77777777" w:rsidTr="00371363">
        <w:tc>
          <w:tcPr>
            <w:tcW w:w="1080" w:type="dxa"/>
            <w:shd w:val="clear" w:color="auto" w:fill="auto"/>
          </w:tcPr>
          <w:p w14:paraId="50868D26" w14:textId="77777777" w:rsidR="00371363" w:rsidRPr="008E1FA7" w:rsidRDefault="00371363" w:rsidP="00371363">
            <w:pPr>
              <w:ind w:left="176" w:hanging="142"/>
            </w:pPr>
          </w:p>
        </w:tc>
        <w:tc>
          <w:tcPr>
            <w:tcW w:w="8214" w:type="dxa"/>
            <w:shd w:val="clear" w:color="auto" w:fill="auto"/>
          </w:tcPr>
          <w:p w14:paraId="54E1BD60" w14:textId="77777777" w:rsidR="00371363" w:rsidRPr="008E1FA7" w:rsidRDefault="00371363" w:rsidP="00371363">
            <w:pPr>
              <w:ind w:left="126"/>
            </w:pPr>
          </w:p>
        </w:tc>
      </w:tr>
      <w:tr w:rsidR="00371363" w:rsidRPr="008E1FA7" w14:paraId="1EF2A19D" w14:textId="77777777" w:rsidTr="00371363">
        <w:tc>
          <w:tcPr>
            <w:tcW w:w="1080" w:type="dxa"/>
            <w:shd w:val="clear" w:color="auto" w:fill="auto"/>
          </w:tcPr>
          <w:p w14:paraId="50B2A408" w14:textId="77777777" w:rsidR="00371363" w:rsidRPr="008E1FA7" w:rsidRDefault="00371363" w:rsidP="00371363">
            <w:pPr>
              <w:ind w:left="176" w:hanging="142"/>
            </w:pPr>
            <w:r w:rsidRPr="008E1FA7">
              <w:t>p.c.</w:t>
            </w:r>
          </w:p>
        </w:tc>
        <w:tc>
          <w:tcPr>
            <w:tcW w:w="8214" w:type="dxa"/>
            <w:shd w:val="clear" w:color="auto" w:fill="auto"/>
          </w:tcPr>
          <w:p w14:paraId="704B9727" w14:textId="77777777" w:rsidR="00371363" w:rsidRPr="008E1FA7" w:rsidRDefault="00371363" w:rsidP="00371363">
            <w:pPr>
              <w:ind w:left="126"/>
            </w:pPr>
            <w:proofErr w:type="gramStart"/>
            <w:r w:rsidRPr="008E1FA7">
              <w:t>poids</w:t>
            </w:r>
            <w:proofErr w:type="gramEnd"/>
            <w:r w:rsidRPr="008E1FA7">
              <w:t xml:space="preserve"> corporel</w:t>
            </w:r>
          </w:p>
        </w:tc>
      </w:tr>
      <w:tr w:rsidR="00371363" w:rsidRPr="008E1FA7" w14:paraId="2740882F" w14:textId="77777777" w:rsidTr="00371363">
        <w:tc>
          <w:tcPr>
            <w:tcW w:w="1080" w:type="dxa"/>
            <w:shd w:val="clear" w:color="auto" w:fill="auto"/>
          </w:tcPr>
          <w:p w14:paraId="5D2ED3FB" w14:textId="77777777" w:rsidR="00371363" w:rsidRPr="008E1FA7" w:rsidRDefault="00371363" w:rsidP="00371363">
            <w:pPr>
              <w:ind w:left="176" w:hanging="142"/>
            </w:pPr>
            <w:r w:rsidRPr="008E1FA7">
              <w:t>PISSC</w:t>
            </w:r>
          </w:p>
        </w:tc>
        <w:tc>
          <w:tcPr>
            <w:tcW w:w="8214" w:type="dxa"/>
            <w:shd w:val="clear" w:color="auto" w:fill="auto"/>
          </w:tcPr>
          <w:p w14:paraId="68873D1E" w14:textId="77777777" w:rsidR="00371363" w:rsidRPr="008E1FA7" w:rsidRDefault="00371363" w:rsidP="00371363">
            <w:pPr>
              <w:ind w:left="126"/>
            </w:pPr>
            <w:r w:rsidRPr="008E1FA7">
              <w:t>Programme international sur la sécurité des substances chimiques</w:t>
            </w:r>
          </w:p>
        </w:tc>
      </w:tr>
      <w:tr w:rsidR="00371363" w:rsidRPr="008E1FA7" w14:paraId="66355DCD" w14:textId="77777777" w:rsidTr="00371363">
        <w:tc>
          <w:tcPr>
            <w:tcW w:w="1080" w:type="dxa"/>
            <w:shd w:val="clear" w:color="auto" w:fill="auto"/>
          </w:tcPr>
          <w:p w14:paraId="71B53635" w14:textId="77777777" w:rsidR="00371363" w:rsidRPr="008E1FA7" w:rsidRDefault="00371363" w:rsidP="00371363">
            <w:pPr>
              <w:ind w:left="176" w:hanging="142"/>
            </w:pPr>
            <w:r w:rsidRPr="008E1FA7">
              <w:t>P</w:t>
            </w:r>
            <w:r w:rsidRPr="008E1FA7">
              <w:rPr>
                <w:vertAlign w:val="subscript"/>
              </w:rPr>
              <w:t>oe</w:t>
            </w:r>
          </w:p>
        </w:tc>
        <w:tc>
          <w:tcPr>
            <w:tcW w:w="8214" w:type="dxa"/>
            <w:shd w:val="clear" w:color="auto" w:fill="auto"/>
          </w:tcPr>
          <w:p w14:paraId="4FED85DD" w14:textId="77777777" w:rsidR="00371363" w:rsidRPr="008E1FA7" w:rsidRDefault="00371363" w:rsidP="00371363">
            <w:pPr>
              <w:ind w:left="126"/>
            </w:pPr>
            <w:proofErr w:type="gramStart"/>
            <w:r w:rsidRPr="008E1FA7">
              <w:t>coefficient</w:t>
            </w:r>
            <w:proofErr w:type="gramEnd"/>
            <w:r w:rsidRPr="008E1FA7">
              <w:t xml:space="preserve"> de partage octanol/eau</w:t>
            </w:r>
          </w:p>
        </w:tc>
      </w:tr>
      <w:tr w:rsidR="00371363" w:rsidRPr="008E1FA7" w14:paraId="49FF2130" w14:textId="77777777" w:rsidTr="00371363">
        <w:tc>
          <w:tcPr>
            <w:tcW w:w="1080" w:type="dxa"/>
            <w:shd w:val="clear" w:color="auto" w:fill="auto"/>
          </w:tcPr>
          <w:p w14:paraId="285C7E9B" w14:textId="77777777" w:rsidR="00371363" w:rsidRPr="008E1FA7" w:rsidRDefault="00371363" w:rsidP="00371363">
            <w:pPr>
              <w:ind w:left="176" w:hanging="142"/>
            </w:pPr>
            <w:r w:rsidRPr="008E1FA7">
              <w:t>p./p.</w:t>
            </w:r>
          </w:p>
        </w:tc>
        <w:tc>
          <w:tcPr>
            <w:tcW w:w="8214" w:type="dxa"/>
            <w:shd w:val="clear" w:color="auto" w:fill="auto"/>
          </w:tcPr>
          <w:p w14:paraId="7F71C0D1" w14:textId="77777777" w:rsidR="00371363" w:rsidRPr="008E1FA7" w:rsidRDefault="00371363" w:rsidP="00371363">
            <w:pPr>
              <w:ind w:left="126"/>
            </w:pPr>
            <w:proofErr w:type="gramStart"/>
            <w:r w:rsidRPr="008E1FA7">
              <w:t>poids</w:t>
            </w:r>
            <w:proofErr w:type="gramEnd"/>
            <w:r w:rsidRPr="008E1FA7">
              <w:t>/poids (pourcent)</w:t>
            </w:r>
          </w:p>
        </w:tc>
      </w:tr>
      <w:tr w:rsidR="00371363" w:rsidRPr="008E1FA7" w14:paraId="22705701" w14:textId="77777777" w:rsidTr="00371363">
        <w:tc>
          <w:tcPr>
            <w:tcW w:w="1080" w:type="dxa"/>
            <w:shd w:val="clear" w:color="auto" w:fill="auto"/>
          </w:tcPr>
          <w:p w14:paraId="5BA913AA" w14:textId="77777777" w:rsidR="00371363" w:rsidRPr="008E1FA7" w:rsidRDefault="00371363" w:rsidP="00371363">
            <w:pPr>
              <w:ind w:left="176" w:hanging="142"/>
            </w:pPr>
            <w:proofErr w:type="gramStart"/>
            <w:r w:rsidRPr="008E1FA7">
              <w:t>ppm</w:t>
            </w:r>
            <w:proofErr w:type="gramEnd"/>
          </w:p>
        </w:tc>
        <w:tc>
          <w:tcPr>
            <w:tcW w:w="8214" w:type="dxa"/>
            <w:shd w:val="clear" w:color="auto" w:fill="auto"/>
          </w:tcPr>
          <w:p w14:paraId="006449D0" w14:textId="4997250F" w:rsidR="00371363" w:rsidRPr="008E1FA7" w:rsidRDefault="00371363" w:rsidP="00371363">
            <w:pPr>
              <w:ind w:left="126"/>
            </w:pPr>
            <w:proofErr w:type="gramStart"/>
            <w:r w:rsidRPr="008E1FA7">
              <w:t>parties</w:t>
            </w:r>
            <w:proofErr w:type="gramEnd"/>
            <w:r w:rsidRPr="008E1FA7">
              <w:t xml:space="preserve"> par million (cette unité n</w:t>
            </w:r>
            <w:r w:rsidR="001503DA" w:rsidRPr="008E1FA7">
              <w:t>’</w:t>
            </w:r>
            <w:r w:rsidRPr="008E1FA7">
              <w:t>est utilisée qu</w:t>
            </w:r>
            <w:r w:rsidR="001503DA" w:rsidRPr="008E1FA7">
              <w:t>’</w:t>
            </w:r>
            <w:r w:rsidRPr="008E1FA7">
              <w:t>en référence à la concentration d</w:t>
            </w:r>
            <w:r w:rsidR="001503DA" w:rsidRPr="008E1FA7">
              <w:t>’</w:t>
            </w:r>
            <w:r w:rsidRPr="008E1FA7">
              <w:t xml:space="preserve">un pesticide dans un régime alimentaire expérimental. Dans tous les autres cas, on utilise les unités suivantes : </w:t>
            </w:r>
            <w:r w:rsidRPr="008E1FA7">
              <w:br/>
              <w:t>mg/kg ou mg/l)</w:t>
            </w:r>
          </w:p>
        </w:tc>
      </w:tr>
      <w:tr w:rsidR="00371363" w:rsidRPr="008E1FA7" w14:paraId="010E63B0" w14:textId="77777777" w:rsidTr="00371363">
        <w:tc>
          <w:tcPr>
            <w:tcW w:w="1080" w:type="dxa"/>
            <w:shd w:val="clear" w:color="auto" w:fill="auto"/>
          </w:tcPr>
          <w:p w14:paraId="4AC67BCF" w14:textId="77777777" w:rsidR="00371363" w:rsidRPr="008E1FA7" w:rsidRDefault="00371363" w:rsidP="00371363">
            <w:pPr>
              <w:ind w:left="176" w:hanging="142"/>
            </w:pPr>
            <w:r w:rsidRPr="008E1FA7">
              <w:t>PNUE</w:t>
            </w:r>
          </w:p>
        </w:tc>
        <w:tc>
          <w:tcPr>
            <w:tcW w:w="8214" w:type="dxa"/>
            <w:shd w:val="clear" w:color="auto" w:fill="auto"/>
          </w:tcPr>
          <w:p w14:paraId="3B889023" w14:textId="25FC4DEB" w:rsidR="00371363" w:rsidRPr="008E1FA7" w:rsidRDefault="00371363" w:rsidP="00371363">
            <w:pPr>
              <w:ind w:left="126"/>
            </w:pPr>
            <w:r w:rsidRPr="008E1FA7">
              <w:t>Programme des Nations Unies pour l</w:t>
            </w:r>
            <w:r w:rsidR="001503DA" w:rsidRPr="008E1FA7">
              <w:t>’</w:t>
            </w:r>
            <w:r w:rsidRPr="008E1FA7">
              <w:t>environnement</w:t>
            </w:r>
          </w:p>
        </w:tc>
      </w:tr>
      <w:tr w:rsidR="00371363" w:rsidRPr="008E1FA7" w14:paraId="1BCDE4B3" w14:textId="77777777" w:rsidTr="00371363">
        <w:tc>
          <w:tcPr>
            <w:tcW w:w="1080" w:type="dxa"/>
            <w:shd w:val="clear" w:color="auto" w:fill="auto"/>
          </w:tcPr>
          <w:p w14:paraId="201309AB" w14:textId="77777777" w:rsidR="00371363" w:rsidRPr="008E1FA7" w:rsidRDefault="00371363" w:rsidP="00371363">
            <w:pPr>
              <w:ind w:left="176" w:hanging="142"/>
            </w:pPr>
          </w:p>
        </w:tc>
        <w:tc>
          <w:tcPr>
            <w:tcW w:w="8214" w:type="dxa"/>
            <w:shd w:val="clear" w:color="auto" w:fill="auto"/>
          </w:tcPr>
          <w:p w14:paraId="1566977A" w14:textId="77777777" w:rsidR="00371363" w:rsidRPr="008E1FA7" w:rsidRDefault="00371363" w:rsidP="00371363">
            <w:pPr>
              <w:ind w:left="126"/>
            </w:pPr>
          </w:p>
        </w:tc>
      </w:tr>
      <w:tr w:rsidR="00371363" w:rsidRPr="008E1FA7" w14:paraId="6EF1EB3C" w14:textId="77777777" w:rsidTr="00371363">
        <w:tc>
          <w:tcPr>
            <w:tcW w:w="1080" w:type="dxa"/>
            <w:shd w:val="clear" w:color="auto" w:fill="auto"/>
          </w:tcPr>
          <w:p w14:paraId="44CB59CB" w14:textId="77777777" w:rsidR="00371363" w:rsidRPr="008E1FA7" w:rsidRDefault="00371363" w:rsidP="00371363">
            <w:pPr>
              <w:ind w:left="176" w:hanging="142"/>
            </w:pPr>
          </w:p>
        </w:tc>
        <w:tc>
          <w:tcPr>
            <w:tcW w:w="8214" w:type="dxa"/>
            <w:shd w:val="clear" w:color="auto" w:fill="auto"/>
          </w:tcPr>
          <w:p w14:paraId="484089C3" w14:textId="77777777" w:rsidR="00371363" w:rsidRPr="008E1FA7" w:rsidRDefault="00371363" w:rsidP="00371363">
            <w:pPr>
              <w:ind w:left="126"/>
            </w:pPr>
          </w:p>
        </w:tc>
      </w:tr>
      <w:tr w:rsidR="00371363" w:rsidRPr="008E1FA7" w14:paraId="3AA106CB" w14:textId="77777777" w:rsidTr="00371363">
        <w:tc>
          <w:tcPr>
            <w:tcW w:w="1080" w:type="dxa"/>
            <w:shd w:val="clear" w:color="auto" w:fill="auto"/>
          </w:tcPr>
          <w:p w14:paraId="51DA3E21" w14:textId="77777777" w:rsidR="00371363" w:rsidRPr="008E1FA7" w:rsidRDefault="00371363" w:rsidP="00371363">
            <w:pPr>
              <w:ind w:left="176" w:hanging="142"/>
            </w:pPr>
            <w:r w:rsidRPr="008E1FA7">
              <w:t>UE</w:t>
            </w:r>
          </w:p>
        </w:tc>
        <w:tc>
          <w:tcPr>
            <w:tcW w:w="8214" w:type="dxa"/>
            <w:shd w:val="clear" w:color="auto" w:fill="auto"/>
          </w:tcPr>
          <w:p w14:paraId="3C8E5008" w14:textId="77777777" w:rsidR="00371363" w:rsidRPr="008E1FA7" w:rsidRDefault="00371363" w:rsidP="00371363">
            <w:pPr>
              <w:ind w:left="126"/>
            </w:pPr>
            <w:r w:rsidRPr="008E1FA7">
              <w:t>Union européenne</w:t>
            </w:r>
          </w:p>
        </w:tc>
      </w:tr>
      <w:tr w:rsidR="00371363" w:rsidRPr="008E1FA7" w14:paraId="38DD37EC" w14:textId="77777777" w:rsidTr="00371363">
        <w:tc>
          <w:tcPr>
            <w:tcW w:w="1080" w:type="dxa"/>
            <w:shd w:val="clear" w:color="auto" w:fill="auto"/>
          </w:tcPr>
          <w:p w14:paraId="4E8E62F3" w14:textId="77777777" w:rsidR="00371363" w:rsidRPr="008E1FA7" w:rsidRDefault="00371363" w:rsidP="00371363">
            <w:pPr>
              <w:ind w:left="176" w:hanging="142"/>
            </w:pPr>
            <w:r w:rsidRPr="008E1FA7">
              <w:t>UICPA</w:t>
            </w:r>
          </w:p>
        </w:tc>
        <w:tc>
          <w:tcPr>
            <w:tcW w:w="8214" w:type="dxa"/>
            <w:shd w:val="clear" w:color="auto" w:fill="auto"/>
          </w:tcPr>
          <w:p w14:paraId="4776EFE0" w14:textId="77777777" w:rsidR="00371363" w:rsidRPr="008E1FA7" w:rsidRDefault="00371363" w:rsidP="00371363">
            <w:pPr>
              <w:ind w:left="126"/>
            </w:pPr>
            <w:r w:rsidRPr="008E1FA7">
              <w:t>Union internationale de chimie pure et appliquée</w:t>
            </w:r>
          </w:p>
        </w:tc>
      </w:tr>
      <w:tr w:rsidR="00371363" w:rsidRPr="008E1FA7" w14:paraId="116519A5" w14:textId="77777777" w:rsidTr="00371363">
        <w:tc>
          <w:tcPr>
            <w:tcW w:w="1080" w:type="dxa"/>
            <w:shd w:val="clear" w:color="auto" w:fill="auto"/>
          </w:tcPr>
          <w:p w14:paraId="19B72085" w14:textId="77777777" w:rsidR="00371363" w:rsidRPr="008E1FA7" w:rsidRDefault="00371363" w:rsidP="00371363">
            <w:pPr>
              <w:ind w:left="176" w:hanging="142"/>
            </w:pPr>
            <w:r w:rsidRPr="008E1FA7">
              <w:t>US EPA</w:t>
            </w:r>
          </w:p>
        </w:tc>
        <w:tc>
          <w:tcPr>
            <w:tcW w:w="8214" w:type="dxa"/>
            <w:shd w:val="clear" w:color="auto" w:fill="auto"/>
          </w:tcPr>
          <w:p w14:paraId="2167423E" w14:textId="27C099C6" w:rsidR="00371363" w:rsidRPr="008E1FA7" w:rsidRDefault="00371363" w:rsidP="00371363">
            <w:pPr>
              <w:ind w:left="126"/>
            </w:pPr>
            <w:r w:rsidRPr="008E1FA7">
              <w:t>Agence américaine pour la protection de l</w:t>
            </w:r>
            <w:r w:rsidR="001503DA" w:rsidRPr="008E1FA7">
              <w:t>’</w:t>
            </w:r>
            <w:r w:rsidRPr="008E1FA7">
              <w:t>environnement</w:t>
            </w:r>
          </w:p>
        </w:tc>
      </w:tr>
      <w:tr w:rsidR="00371363" w:rsidRPr="008E1FA7" w14:paraId="3FBEBECB" w14:textId="77777777" w:rsidTr="00371363">
        <w:tc>
          <w:tcPr>
            <w:tcW w:w="1080" w:type="dxa"/>
            <w:shd w:val="clear" w:color="auto" w:fill="auto"/>
          </w:tcPr>
          <w:p w14:paraId="6E958F9A" w14:textId="77777777" w:rsidR="00371363" w:rsidRPr="008E1FA7" w:rsidRDefault="00371363" w:rsidP="00371363">
            <w:pPr>
              <w:ind w:left="176" w:hanging="142"/>
            </w:pPr>
            <w:r w:rsidRPr="008E1FA7">
              <w:t>UV</w:t>
            </w:r>
          </w:p>
        </w:tc>
        <w:tc>
          <w:tcPr>
            <w:tcW w:w="8214" w:type="dxa"/>
            <w:shd w:val="clear" w:color="auto" w:fill="auto"/>
          </w:tcPr>
          <w:p w14:paraId="7AB2FDC7" w14:textId="77777777" w:rsidR="00371363" w:rsidRPr="008E1FA7" w:rsidRDefault="00371363" w:rsidP="00371363">
            <w:pPr>
              <w:ind w:left="126"/>
            </w:pPr>
            <w:proofErr w:type="gramStart"/>
            <w:r w:rsidRPr="008E1FA7">
              <w:t>ultraviolet</w:t>
            </w:r>
            <w:proofErr w:type="gramEnd"/>
          </w:p>
        </w:tc>
      </w:tr>
      <w:tr w:rsidR="00371363" w:rsidRPr="008E1FA7" w14:paraId="14734FE5" w14:textId="77777777" w:rsidTr="00371363">
        <w:tc>
          <w:tcPr>
            <w:tcW w:w="1080" w:type="dxa"/>
            <w:shd w:val="clear" w:color="auto" w:fill="auto"/>
          </w:tcPr>
          <w:p w14:paraId="13AA4332" w14:textId="77777777" w:rsidR="00371363" w:rsidRPr="008E1FA7" w:rsidRDefault="00371363" w:rsidP="00371363">
            <w:pPr>
              <w:ind w:left="176" w:hanging="142"/>
            </w:pPr>
          </w:p>
        </w:tc>
        <w:tc>
          <w:tcPr>
            <w:tcW w:w="8214" w:type="dxa"/>
            <w:shd w:val="clear" w:color="auto" w:fill="auto"/>
          </w:tcPr>
          <w:p w14:paraId="05E099A7" w14:textId="77777777" w:rsidR="00371363" w:rsidRPr="008E1FA7" w:rsidRDefault="00371363" w:rsidP="00371363">
            <w:pPr>
              <w:ind w:left="176" w:hanging="142"/>
            </w:pPr>
          </w:p>
        </w:tc>
      </w:tr>
    </w:tbl>
    <w:p w14:paraId="26CCCED2" w14:textId="77777777" w:rsidR="00371363" w:rsidRPr="008E1FA7" w:rsidRDefault="00371363" w:rsidP="00371363">
      <w:pPr>
        <w:spacing w:after="120"/>
        <w:ind w:firstLine="720"/>
      </w:pPr>
    </w:p>
    <w:p w14:paraId="1A2724D5" w14:textId="77777777" w:rsidR="00371363" w:rsidRPr="008E1FA7" w:rsidRDefault="00371363" w:rsidP="00371363">
      <w:pPr>
        <w:spacing w:after="120"/>
        <w:ind w:firstLine="720"/>
        <w:rPr>
          <w:sz w:val="4"/>
          <w:szCs w:val="4"/>
        </w:rPr>
      </w:pPr>
      <w:r w:rsidRPr="008E1FA7">
        <w:br w:type="page"/>
      </w:r>
    </w:p>
    <w:tbl>
      <w:tblPr>
        <w:tblW w:w="5000" w:type="pct"/>
        <w:jc w:val="righ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80"/>
      </w:tblGrid>
      <w:tr w:rsidR="00371363" w:rsidRPr="008E1FA7" w14:paraId="68B83898" w14:textId="77777777" w:rsidTr="00BC444D">
        <w:trPr>
          <w:jc w:val="right"/>
        </w:trPr>
        <w:tc>
          <w:tcPr>
            <w:tcW w:w="9450" w:type="dxa"/>
            <w:shd w:val="pct10" w:color="auto" w:fill="auto"/>
          </w:tcPr>
          <w:p w14:paraId="6ABCD159" w14:textId="57A487F2" w:rsidR="00371363" w:rsidRPr="008E1FA7" w:rsidRDefault="00371363" w:rsidP="00513F56">
            <w:pPr>
              <w:pStyle w:val="CH2"/>
            </w:pPr>
            <w:r w:rsidRPr="008E1FA7">
              <w:t>Document d</w:t>
            </w:r>
            <w:r w:rsidR="001503DA" w:rsidRPr="008E1FA7">
              <w:t>’</w:t>
            </w:r>
            <w:r w:rsidRPr="008E1FA7">
              <w:t>orientation des décisions pour une préparation pesticide extrêmement dangereuse posant des problèmes pour la santé humaine</w:t>
            </w:r>
          </w:p>
        </w:tc>
      </w:tr>
    </w:tbl>
    <w:p w14:paraId="7E600352" w14:textId="77777777" w:rsidR="00371363" w:rsidRPr="008E1FA7" w:rsidRDefault="00371363" w:rsidP="00371363">
      <w:pPr>
        <w:tabs>
          <w:tab w:val="left" w:pos="-720"/>
          <w:tab w:val="left" w:pos="0"/>
          <w:tab w:val="left" w:pos="720"/>
        </w:tabs>
        <w:suppressAutoHyphens/>
        <w:rPr>
          <w:szCs w:val="10"/>
        </w:rPr>
      </w:pPr>
    </w:p>
    <w:tbl>
      <w:tblPr>
        <w:tblW w:w="5000" w:type="pct"/>
        <w:jc w:val="right"/>
        <w:tblLayout w:type="fixed"/>
        <w:tblLook w:val="0000" w:firstRow="0" w:lastRow="0" w:firstColumn="0" w:lastColumn="0" w:noHBand="0" w:noVBand="0"/>
      </w:tblPr>
      <w:tblGrid>
        <w:gridCol w:w="6244"/>
        <w:gridCol w:w="3236"/>
      </w:tblGrid>
      <w:tr w:rsidR="00371363" w:rsidRPr="008E1FA7" w14:paraId="07D79C8C" w14:textId="77777777" w:rsidTr="00BC444D">
        <w:trPr>
          <w:cantSplit/>
          <w:jc w:val="right"/>
        </w:trPr>
        <w:tc>
          <w:tcPr>
            <w:tcW w:w="6224" w:type="dxa"/>
            <w:tcBorders>
              <w:top w:val="single" w:sz="6" w:space="0" w:color="808080"/>
              <w:left w:val="single" w:sz="6" w:space="0" w:color="808080"/>
              <w:bottom w:val="single" w:sz="6" w:space="0" w:color="808080"/>
            </w:tcBorders>
            <w:shd w:val="clear" w:color="auto" w:fill="FFFFFF"/>
          </w:tcPr>
          <w:p w14:paraId="446C5467" w14:textId="69112BC3" w:rsidR="00371363" w:rsidRPr="008E1FA7" w:rsidRDefault="00371363" w:rsidP="00371363">
            <w:pPr>
              <w:keepNext/>
              <w:rPr>
                <w:b/>
                <w:bCs/>
                <w:i/>
                <w:caps/>
                <w:kern w:val="28"/>
                <w:szCs w:val="24"/>
              </w:rPr>
            </w:pPr>
            <w:r w:rsidRPr="008E1FA7">
              <w:rPr>
                <w:b/>
                <w:bCs/>
                <w:i/>
                <w:caps/>
                <w:kern w:val="28"/>
                <w:szCs w:val="24"/>
              </w:rPr>
              <w:t xml:space="preserve">Fenthion (FORMULATIONS </w:t>
            </w:r>
            <w:r w:rsidR="0097465B" w:rsidRPr="008E1FA7">
              <w:rPr>
                <w:b/>
                <w:bCs/>
                <w:i/>
                <w:caps/>
                <w:kern w:val="28"/>
                <w:szCs w:val="24"/>
              </w:rPr>
              <w:t>À</w:t>
            </w:r>
            <w:r w:rsidRPr="008E1FA7">
              <w:rPr>
                <w:b/>
                <w:bCs/>
                <w:i/>
                <w:caps/>
                <w:kern w:val="28"/>
                <w:szCs w:val="24"/>
              </w:rPr>
              <w:t xml:space="preserve"> ultra bas volume (ULV) contenant des concentrations d</w:t>
            </w:r>
            <w:r w:rsidR="001503DA" w:rsidRPr="008E1FA7">
              <w:rPr>
                <w:b/>
                <w:bCs/>
                <w:i/>
                <w:caps/>
                <w:kern w:val="28"/>
                <w:szCs w:val="24"/>
              </w:rPr>
              <w:t>’</w:t>
            </w:r>
            <w:r w:rsidRPr="008E1FA7">
              <w:rPr>
                <w:b/>
                <w:bCs/>
                <w:i/>
                <w:caps/>
                <w:kern w:val="28"/>
                <w:szCs w:val="24"/>
              </w:rPr>
              <w:t>ingr</w:t>
            </w:r>
            <w:r w:rsidR="0097465B" w:rsidRPr="008E1FA7">
              <w:rPr>
                <w:b/>
                <w:bCs/>
                <w:i/>
                <w:caps/>
                <w:kern w:val="28"/>
                <w:szCs w:val="24"/>
              </w:rPr>
              <w:t>É</w:t>
            </w:r>
            <w:r w:rsidRPr="008E1FA7">
              <w:rPr>
                <w:b/>
                <w:bCs/>
                <w:i/>
                <w:caps/>
                <w:kern w:val="28"/>
                <w:szCs w:val="24"/>
              </w:rPr>
              <w:t>dient actif sup</w:t>
            </w:r>
            <w:r w:rsidR="0097465B" w:rsidRPr="008E1FA7">
              <w:rPr>
                <w:b/>
                <w:bCs/>
                <w:i/>
                <w:caps/>
                <w:kern w:val="28"/>
                <w:szCs w:val="24"/>
              </w:rPr>
              <w:t>É</w:t>
            </w:r>
            <w:r w:rsidRPr="008E1FA7">
              <w:rPr>
                <w:b/>
                <w:bCs/>
                <w:i/>
                <w:caps/>
                <w:kern w:val="28"/>
                <w:szCs w:val="24"/>
              </w:rPr>
              <w:t xml:space="preserve">rieures ou égales </w:t>
            </w:r>
            <w:r w:rsidR="0097465B" w:rsidRPr="008E1FA7">
              <w:rPr>
                <w:b/>
                <w:bCs/>
                <w:i/>
                <w:caps/>
                <w:kern w:val="28"/>
                <w:szCs w:val="24"/>
              </w:rPr>
              <w:t>À</w:t>
            </w:r>
            <w:r w:rsidRPr="008E1FA7">
              <w:rPr>
                <w:b/>
                <w:bCs/>
                <w:i/>
                <w:caps/>
                <w:kern w:val="28"/>
                <w:szCs w:val="24"/>
              </w:rPr>
              <w:t> 640 g/l)</w:t>
            </w:r>
          </w:p>
        </w:tc>
        <w:tc>
          <w:tcPr>
            <w:tcW w:w="3226" w:type="dxa"/>
            <w:tcBorders>
              <w:top w:val="single" w:sz="6" w:space="0" w:color="808080"/>
              <w:bottom w:val="single" w:sz="6" w:space="0" w:color="808080"/>
              <w:right w:val="single" w:sz="6" w:space="0" w:color="808080"/>
            </w:tcBorders>
            <w:shd w:val="clear" w:color="auto" w:fill="FFFFFF"/>
          </w:tcPr>
          <w:p w14:paraId="0AEED7C0" w14:textId="6E57943E" w:rsidR="00371363" w:rsidRPr="008E1FA7" w:rsidRDefault="00371363" w:rsidP="00371363">
            <w:pPr>
              <w:keepNext/>
              <w:jc w:val="center"/>
              <w:rPr>
                <w:b/>
                <w:bCs/>
                <w:i/>
                <w:kern w:val="28"/>
                <w:szCs w:val="48"/>
              </w:rPr>
            </w:pPr>
            <w:r w:rsidRPr="008E1FA7">
              <w:rPr>
                <w:b/>
                <w:bCs/>
                <w:kern w:val="28"/>
                <w:szCs w:val="48"/>
              </w:rPr>
              <w:t>Date de publication :</w:t>
            </w:r>
            <w:r w:rsidR="00C31740">
              <w:rPr>
                <w:b/>
                <w:bCs/>
                <w:kern w:val="28"/>
                <w:szCs w:val="48"/>
              </w:rPr>
              <w:t xml:space="preserve"> </w:t>
            </w:r>
            <w:r w:rsidR="00C31740" w:rsidRPr="00C31740">
              <w:rPr>
                <w:b/>
                <w:bCs/>
                <w:kern w:val="28"/>
                <w:szCs w:val="48"/>
              </w:rPr>
              <w:t>octobre 2025</w:t>
            </w:r>
          </w:p>
        </w:tc>
      </w:tr>
      <w:tr w:rsidR="00371363" w:rsidRPr="008E1FA7" w14:paraId="3054AA47" w14:textId="77777777" w:rsidTr="00BC444D">
        <w:trPr>
          <w:cantSplit/>
          <w:jc w:val="right"/>
        </w:trPr>
        <w:tc>
          <w:tcPr>
            <w:tcW w:w="9450" w:type="dxa"/>
            <w:gridSpan w:val="2"/>
            <w:tcBorders>
              <w:top w:val="single" w:sz="6" w:space="0" w:color="808080"/>
            </w:tcBorders>
            <w:shd w:val="clear" w:color="auto" w:fill="auto"/>
          </w:tcPr>
          <w:p w14:paraId="759D5862" w14:textId="77777777" w:rsidR="00371363" w:rsidRPr="008E1FA7" w:rsidRDefault="00371363" w:rsidP="00371363">
            <w:pPr>
              <w:ind w:left="576"/>
            </w:pPr>
          </w:p>
        </w:tc>
      </w:tr>
    </w:tbl>
    <w:p w14:paraId="3B15373E" w14:textId="77777777" w:rsidR="00371363" w:rsidRPr="008E1FA7" w:rsidRDefault="00371363" w:rsidP="00371363"/>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3810"/>
        <w:gridCol w:w="5670"/>
      </w:tblGrid>
      <w:tr w:rsidR="00371363" w:rsidRPr="008E1FA7" w14:paraId="4E8DC950" w14:textId="77777777" w:rsidTr="00BC444D">
        <w:trPr>
          <w:jc w:val="right"/>
        </w:trPr>
        <w:tc>
          <w:tcPr>
            <w:tcW w:w="9405" w:type="dxa"/>
            <w:gridSpan w:val="2"/>
            <w:tcBorders>
              <w:top w:val="single" w:sz="6" w:space="0" w:color="808080"/>
              <w:left w:val="single" w:sz="6" w:space="0" w:color="808080"/>
              <w:bottom w:val="single" w:sz="6" w:space="0" w:color="808080"/>
              <w:right w:val="single" w:sz="6" w:space="0" w:color="808080"/>
            </w:tcBorders>
            <w:shd w:val="pct10" w:color="auto" w:fill="auto"/>
          </w:tcPr>
          <w:p w14:paraId="37F50A02" w14:textId="5DFA0672" w:rsidR="00371363" w:rsidRPr="008E1FA7" w:rsidRDefault="00371363" w:rsidP="00EA0EE3">
            <w:pPr>
              <w:pStyle w:val="CH3"/>
              <w:spacing w:before="120"/>
            </w:pPr>
            <w:r w:rsidRPr="008E1FA7">
              <w:t>1. Identification et utilisations (</w:t>
            </w:r>
            <w:r w:rsidRPr="008E1FA7">
              <w:rPr>
                <w:bCs/>
              </w:rPr>
              <w:t>pour</w:t>
            </w:r>
            <w:r w:rsidRPr="008E1FA7">
              <w:t xml:space="preserve"> plus de précisions, voir l</w:t>
            </w:r>
            <w:r w:rsidR="001503DA" w:rsidRPr="008E1FA7">
              <w:t>’</w:t>
            </w:r>
            <w:r w:rsidRPr="008E1FA7">
              <w:t xml:space="preserve">annexe I) </w:t>
            </w:r>
          </w:p>
        </w:tc>
      </w:tr>
      <w:tr w:rsidR="00371363" w:rsidRPr="008E1FA7" w14:paraId="60219075"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3070F30E" w14:textId="66FFD0FE" w:rsidR="00371363" w:rsidRPr="008E1FA7" w:rsidRDefault="00371363" w:rsidP="00371363">
            <w:pPr>
              <w:spacing w:beforeLines="60" w:before="144" w:after="20"/>
              <w:outlineLvl w:val="2"/>
              <w:rPr>
                <w:b/>
                <w:bCs/>
              </w:rPr>
            </w:pPr>
            <w:r w:rsidRPr="008E1FA7">
              <w:rPr>
                <w:b/>
                <w:bCs/>
              </w:rPr>
              <w:t>Nom ou nom commercial de la</w:t>
            </w:r>
            <w:r w:rsidR="00863FA4" w:rsidRPr="008E1FA7">
              <w:rPr>
                <w:b/>
                <w:bCs/>
              </w:rPr>
              <w:t> </w:t>
            </w:r>
            <w:r w:rsidRPr="008E1FA7">
              <w:rPr>
                <w:b/>
                <w:bCs/>
              </w:rPr>
              <w:t>formulation pesticide dangereuse</w:t>
            </w:r>
          </w:p>
        </w:tc>
        <w:tc>
          <w:tcPr>
            <w:tcW w:w="5625" w:type="dxa"/>
            <w:shd w:val="clear" w:color="auto" w:fill="auto"/>
          </w:tcPr>
          <w:p w14:paraId="782936A0" w14:textId="77777777" w:rsidR="00371363" w:rsidRPr="008E1FA7" w:rsidRDefault="00371363" w:rsidP="00371363">
            <w:pPr>
              <w:spacing w:beforeLines="60" w:before="144"/>
            </w:pPr>
            <w:r w:rsidRPr="008E1FA7">
              <w:t>Fenthion 640 ULV</w:t>
            </w:r>
          </w:p>
        </w:tc>
      </w:tr>
      <w:tr w:rsidR="00371363" w:rsidRPr="008E1FA7" w14:paraId="7552C3BB"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02AFCDEC" w14:textId="77777777" w:rsidR="00371363" w:rsidRPr="008E1FA7" w:rsidRDefault="00371363" w:rsidP="00371363">
            <w:pPr>
              <w:spacing w:beforeLines="60" w:before="144" w:after="20"/>
              <w:outlineLvl w:val="2"/>
              <w:rPr>
                <w:b/>
                <w:bCs/>
              </w:rPr>
            </w:pPr>
            <w:r w:rsidRPr="008E1FA7">
              <w:rPr>
                <w:b/>
                <w:bCs/>
              </w:rPr>
              <w:t>Nom du ou des principe(s) actif(s) présent(s) dans la formulation</w:t>
            </w:r>
          </w:p>
        </w:tc>
        <w:tc>
          <w:tcPr>
            <w:tcW w:w="5625" w:type="dxa"/>
            <w:shd w:val="clear" w:color="auto" w:fill="auto"/>
          </w:tcPr>
          <w:p w14:paraId="2D7B7C0D" w14:textId="77777777" w:rsidR="00371363" w:rsidRPr="008E1FA7" w:rsidRDefault="00371363" w:rsidP="00371363">
            <w:pPr>
              <w:spacing w:beforeLines="60" w:before="144"/>
            </w:pPr>
            <w:r w:rsidRPr="008E1FA7">
              <w:t>Fenthion</w:t>
            </w:r>
          </w:p>
        </w:tc>
      </w:tr>
      <w:tr w:rsidR="00371363" w:rsidRPr="008E1FA7" w14:paraId="4240BA5A"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032BD8F2" w14:textId="77777777" w:rsidR="00371363" w:rsidRPr="008E1FA7" w:rsidRDefault="00371363" w:rsidP="00371363">
            <w:pPr>
              <w:spacing w:beforeLines="60" w:before="144"/>
              <w:outlineLvl w:val="2"/>
              <w:rPr>
                <w:b/>
                <w:bCs/>
              </w:rPr>
            </w:pPr>
            <w:r w:rsidRPr="008E1FA7">
              <w:rPr>
                <w:b/>
                <w:bCs/>
              </w:rPr>
              <w:t>Quantité relative de chacun des composés actifs présents dans la formulation</w:t>
            </w:r>
          </w:p>
        </w:tc>
        <w:tc>
          <w:tcPr>
            <w:tcW w:w="5625" w:type="dxa"/>
            <w:shd w:val="clear" w:color="auto" w:fill="auto"/>
          </w:tcPr>
          <w:p w14:paraId="442E60B4" w14:textId="77777777" w:rsidR="00371363" w:rsidRPr="008E1FA7" w:rsidRDefault="00371363" w:rsidP="00371363">
            <w:pPr>
              <w:spacing w:beforeLines="60" w:before="144"/>
            </w:pPr>
            <w:r w:rsidRPr="008E1FA7">
              <w:t xml:space="preserve">640 g/l de fenthion </w:t>
            </w:r>
          </w:p>
        </w:tc>
      </w:tr>
      <w:tr w:rsidR="00371363" w:rsidRPr="008E1FA7" w14:paraId="22DA9373"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4839DAD3" w14:textId="77777777" w:rsidR="00371363" w:rsidRPr="008E1FA7" w:rsidRDefault="00371363" w:rsidP="00371363">
            <w:pPr>
              <w:spacing w:beforeLines="60" w:before="144"/>
              <w:outlineLvl w:val="2"/>
              <w:rPr>
                <w:b/>
                <w:bCs/>
              </w:rPr>
            </w:pPr>
            <w:r w:rsidRPr="008E1FA7">
              <w:rPr>
                <w:b/>
                <w:bCs/>
              </w:rPr>
              <w:t>Type de formulation</w:t>
            </w:r>
          </w:p>
        </w:tc>
        <w:tc>
          <w:tcPr>
            <w:tcW w:w="5625" w:type="dxa"/>
            <w:shd w:val="clear" w:color="auto" w:fill="auto"/>
          </w:tcPr>
          <w:p w14:paraId="6E8C991B" w14:textId="77777777" w:rsidR="00371363" w:rsidRPr="008E1FA7" w:rsidRDefault="00371363" w:rsidP="00371363">
            <w:pPr>
              <w:spacing w:beforeLines="60" w:before="144"/>
            </w:pPr>
            <w:r w:rsidRPr="008E1FA7">
              <w:t>Ultra bas volume (ULV)</w:t>
            </w:r>
          </w:p>
        </w:tc>
      </w:tr>
      <w:tr w:rsidR="00371363" w:rsidRPr="008E1FA7" w14:paraId="334DD7BE"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36577952" w14:textId="77777777" w:rsidR="00371363" w:rsidRPr="008E1FA7" w:rsidRDefault="00371363" w:rsidP="00371363">
            <w:pPr>
              <w:spacing w:beforeLines="60" w:before="144"/>
              <w:outlineLvl w:val="2"/>
              <w:rPr>
                <w:b/>
                <w:bCs/>
              </w:rPr>
            </w:pPr>
            <w:r w:rsidRPr="008E1FA7">
              <w:rPr>
                <w:b/>
                <w:bCs/>
              </w:rPr>
              <w:t xml:space="preserve">Nom(s) du (des) fabricant(s), </w:t>
            </w:r>
            <w:r w:rsidRPr="008E1FA7">
              <w:rPr>
                <w:b/>
                <w:bCs/>
              </w:rPr>
              <w:br/>
              <w:t>si disponible</w:t>
            </w:r>
          </w:p>
        </w:tc>
        <w:tc>
          <w:tcPr>
            <w:tcW w:w="5625" w:type="dxa"/>
            <w:shd w:val="clear" w:color="auto" w:fill="auto"/>
          </w:tcPr>
          <w:p w14:paraId="54D610C2" w14:textId="77777777" w:rsidR="00371363" w:rsidRPr="008E1FA7" w:rsidRDefault="00371363" w:rsidP="00371363">
            <w:pPr>
              <w:spacing w:beforeLines="60" w:before="144"/>
            </w:pPr>
            <w:proofErr w:type="spellStart"/>
            <w:r w:rsidRPr="008E1FA7">
              <w:t>Arysta</w:t>
            </w:r>
            <w:proofErr w:type="spellEnd"/>
            <w:r w:rsidRPr="008E1FA7">
              <w:t xml:space="preserve"> Life Science</w:t>
            </w:r>
          </w:p>
        </w:tc>
      </w:tr>
      <w:tr w:rsidR="00371363" w:rsidRPr="008E1FA7" w14:paraId="4BAEDB65"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4C5A51C4" w14:textId="77777777" w:rsidR="00371363" w:rsidRPr="008E1FA7" w:rsidRDefault="00371363" w:rsidP="00371363">
            <w:pPr>
              <w:spacing w:beforeLines="60" w:before="144"/>
              <w:rPr>
                <w:b/>
              </w:rPr>
            </w:pPr>
            <w:r w:rsidRPr="008E1FA7">
              <w:rPr>
                <w:b/>
              </w:rPr>
              <w:t>Formule brute</w:t>
            </w:r>
          </w:p>
        </w:tc>
        <w:tc>
          <w:tcPr>
            <w:tcW w:w="5625" w:type="dxa"/>
            <w:shd w:val="clear" w:color="auto" w:fill="auto"/>
          </w:tcPr>
          <w:p w14:paraId="3FFF9974" w14:textId="77777777" w:rsidR="00371363" w:rsidRPr="008E1FA7" w:rsidRDefault="00371363" w:rsidP="00371363">
            <w:pPr>
              <w:spacing w:before="120"/>
              <w:ind w:right="488"/>
            </w:pPr>
            <w:r w:rsidRPr="008E1FA7">
              <w:t>C</w:t>
            </w:r>
            <w:r w:rsidRPr="008E1FA7">
              <w:rPr>
                <w:vertAlign w:val="subscript"/>
              </w:rPr>
              <w:t>10</w:t>
            </w:r>
            <w:r w:rsidRPr="008E1FA7">
              <w:t>H</w:t>
            </w:r>
            <w:r w:rsidRPr="008E1FA7">
              <w:rPr>
                <w:vertAlign w:val="subscript"/>
              </w:rPr>
              <w:t>15</w:t>
            </w:r>
            <w:r w:rsidRPr="008E1FA7">
              <w:t>O</w:t>
            </w:r>
            <w:r w:rsidRPr="008E1FA7">
              <w:rPr>
                <w:vertAlign w:val="subscript"/>
              </w:rPr>
              <w:t>3</w:t>
            </w:r>
            <w:r w:rsidRPr="008E1FA7">
              <w:t>PS</w:t>
            </w:r>
            <w:r w:rsidRPr="008E1FA7">
              <w:rPr>
                <w:vertAlign w:val="subscript"/>
              </w:rPr>
              <w:t>2</w:t>
            </w:r>
          </w:p>
        </w:tc>
      </w:tr>
      <w:tr w:rsidR="00371363" w:rsidRPr="008E1FA7" w14:paraId="312BF4B0"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0E238CE2" w14:textId="77777777" w:rsidR="00371363" w:rsidRPr="008E1FA7" w:rsidRDefault="00371363" w:rsidP="00371363">
            <w:pPr>
              <w:spacing w:beforeLines="60" w:before="144"/>
              <w:rPr>
                <w:b/>
              </w:rPr>
            </w:pPr>
            <w:r w:rsidRPr="008E1FA7">
              <w:rPr>
                <w:b/>
              </w:rPr>
              <w:t>Structure chimique</w:t>
            </w:r>
          </w:p>
        </w:tc>
        <w:tc>
          <w:tcPr>
            <w:tcW w:w="5625" w:type="dxa"/>
            <w:shd w:val="clear" w:color="auto" w:fill="auto"/>
          </w:tcPr>
          <w:p w14:paraId="04E06FC1" w14:textId="77777777" w:rsidR="00371363" w:rsidRPr="008E1FA7" w:rsidRDefault="00371363" w:rsidP="00371363">
            <w:pPr>
              <w:spacing w:beforeLines="60" w:before="144"/>
            </w:pPr>
            <w:r w:rsidRPr="008E1FA7">
              <w:rPr>
                <w:rFonts w:ascii="Arial" w:hAnsi="Arial"/>
                <w:noProof/>
                <w:lang w:eastAsia="fr-FR"/>
              </w:rPr>
              <w:drawing>
                <wp:inline distT="0" distB="0" distL="0" distR="0" wp14:anchorId="35C65D0C" wp14:editId="15EC544D">
                  <wp:extent cx="1419225" cy="534035"/>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19225" cy="534035"/>
                          </a:xfrm>
                          <a:prstGeom prst="rect">
                            <a:avLst/>
                          </a:prstGeom>
                          <a:noFill/>
                          <a:ln>
                            <a:noFill/>
                          </a:ln>
                        </pic:spPr>
                      </pic:pic>
                    </a:graphicData>
                  </a:graphic>
                </wp:inline>
              </w:drawing>
            </w:r>
          </w:p>
        </w:tc>
      </w:tr>
      <w:tr w:rsidR="00371363" w:rsidRPr="008E1FA7" w14:paraId="045CB64E"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7E56D8E7" w14:textId="77777777" w:rsidR="00371363" w:rsidRPr="008E1FA7" w:rsidRDefault="00371363" w:rsidP="00371363">
            <w:pPr>
              <w:spacing w:beforeLines="60" w:before="144"/>
            </w:pPr>
            <w:r w:rsidRPr="008E1FA7">
              <w:rPr>
                <w:b/>
              </w:rPr>
              <w:t>Numéro(s) CAS</w:t>
            </w:r>
          </w:p>
        </w:tc>
        <w:tc>
          <w:tcPr>
            <w:tcW w:w="5625" w:type="dxa"/>
            <w:shd w:val="clear" w:color="auto" w:fill="auto"/>
          </w:tcPr>
          <w:p w14:paraId="64CC155E" w14:textId="77777777" w:rsidR="00371363" w:rsidRPr="008E1FA7" w:rsidRDefault="00371363" w:rsidP="00371363">
            <w:pPr>
              <w:spacing w:beforeLines="60" w:before="144"/>
            </w:pPr>
            <w:r w:rsidRPr="008E1FA7">
              <w:t>55</w:t>
            </w:r>
            <w:r w:rsidRPr="008E1FA7">
              <w:noBreakHyphen/>
              <w:t>38</w:t>
            </w:r>
            <w:r w:rsidRPr="008E1FA7">
              <w:noBreakHyphen/>
              <w:t>9</w:t>
            </w:r>
          </w:p>
        </w:tc>
      </w:tr>
      <w:tr w:rsidR="00371363" w:rsidRPr="008E1FA7" w14:paraId="043CBD99" w14:textId="77777777" w:rsidTr="00BC444D">
        <w:tblPrEx>
          <w:tblBorders>
            <w:top w:val="none" w:sz="0" w:space="0" w:color="auto"/>
            <w:left w:val="none" w:sz="0" w:space="0" w:color="auto"/>
            <w:bottom w:val="none" w:sz="0" w:space="0" w:color="auto"/>
            <w:right w:val="none" w:sz="0" w:space="0" w:color="auto"/>
          </w:tblBorders>
        </w:tblPrEx>
        <w:trPr>
          <w:jc w:val="right"/>
        </w:trPr>
        <w:tc>
          <w:tcPr>
            <w:tcW w:w="3780" w:type="dxa"/>
            <w:shd w:val="clear" w:color="auto" w:fill="auto"/>
          </w:tcPr>
          <w:p w14:paraId="73CA8B2D" w14:textId="77777777" w:rsidR="00371363" w:rsidRPr="008E1FA7" w:rsidRDefault="00371363" w:rsidP="00371363">
            <w:pPr>
              <w:outlineLvl w:val="2"/>
              <w:rPr>
                <w:b/>
                <w:bCs/>
              </w:rPr>
            </w:pPr>
          </w:p>
        </w:tc>
        <w:tc>
          <w:tcPr>
            <w:tcW w:w="5625" w:type="dxa"/>
            <w:shd w:val="clear" w:color="auto" w:fill="auto"/>
          </w:tcPr>
          <w:p w14:paraId="3C4A2A12" w14:textId="77777777" w:rsidR="00371363" w:rsidRPr="008E1FA7" w:rsidRDefault="00371363" w:rsidP="00371363">
            <w:pPr>
              <w:spacing w:after="80"/>
            </w:pPr>
          </w:p>
        </w:tc>
      </w:tr>
    </w:tbl>
    <w:p w14:paraId="29424DE1" w14:textId="77777777" w:rsidR="00371363" w:rsidRPr="008E1FA7" w:rsidRDefault="00371363" w:rsidP="00371363">
      <w:pPr>
        <w:tabs>
          <w:tab w:val="left" w:pos="-720"/>
          <w:tab w:val="left" w:pos="0"/>
          <w:tab w:val="left" w:pos="720"/>
        </w:tabs>
        <w:suppressAutoHyphens/>
        <w:rPr>
          <w:sz w:val="10"/>
          <w:szCs w:val="10"/>
        </w:rPr>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2FC5DE14" w14:textId="77777777" w:rsidTr="00BC444D">
        <w:trPr>
          <w:jc w:val="right"/>
        </w:trPr>
        <w:tc>
          <w:tcPr>
            <w:tcW w:w="9405" w:type="dxa"/>
            <w:tcBorders>
              <w:top w:val="single" w:sz="6" w:space="0" w:color="808080"/>
              <w:bottom w:val="single" w:sz="6" w:space="0" w:color="808080"/>
            </w:tcBorders>
            <w:shd w:val="pct10" w:color="auto" w:fill="auto"/>
          </w:tcPr>
          <w:p w14:paraId="6FB28C86" w14:textId="4409EBCC" w:rsidR="00371363" w:rsidRPr="008E1FA7" w:rsidRDefault="00371363" w:rsidP="00EA0EE3">
            <w:pPr>
              <w:pStyle w:val="CH3"/>
              <w:spacing w:before="120"/>
              <w:rPr>
                <w:bCs/>
                <w:kern w:val="28"/>
              </w:rPr>
            </w:pPr>
            <w:r w:rsidRPr="008E1FA7">
              <w:t xml:space="preserve">2. Raisons justifiant </w:t>
            </w:r>
            <w:r w:rsidRPr="008E1FA7">
              <w:rPr>
                <w:bCs/>
              </w:rPr>
              <w:t>l</w:t>
            </w:r>
            <w:r w:rsidR="001503DA" w:rsidRPr="008E1FA7">
              <w:rPr>
                <w:bCs/>
              </w:rPr>
              <w:t>’</w:t>
            </w:r>
            <w:r w:rsidRPr="008E1FA7">
              <w:rPr>
                <w:bCs/>
              </w:rPr>
              <w:t>application</w:t>
            </w:r>
            <w:r w:rsidRPr="008E1FA7">
              <w:t xml:space="preserve"> de la procédure PIC</w:t>
            </w:r>
          </w:p>
        </w:tc>
      </w:tr>
      <w:tr w:rsidR="00371363" w:rsidRPr="008E1FA7" w14:paraId="0265BBAB" w14:textId="77777777" w:rsidTr="00BC44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405" w:type="dxa"/>
            <w:tcBorders>
              <w:top w:val="nil"/>
              <w:left w:val="nil"/>
              <w:bottom w:val="nil"/>
              <w:right w:val="nil"/>
            </w:tcBorders>
            <w:shd w:val="clear" w:color="auto" w:fill="auto"/>
          </w:tcPr>
          <w:p w14:paraId="54E5603C" w14:textId="4CA8AE12" w:rsidR="00371363" w:rsidRPr="008E1FA7" w:rsidRDefault="00371363" w:rsidP="00371363">
            <w:pPr>
              <w:spacing w:before="120" w:after="120"/>
            </w:pPr>
            <w:r w:rsidRPr="008E1FA7">
              <w:t>Les préparations de fenthion à ultra bas volume (ULV) contenant des concentrations d</w:t>
            </w:r>
            <w:r w:rsidR="001503DA" w:rsidRPr="008E1FA7">
              <w:t>’</w:t>
            </w:r>
            <w:r w:rsidRPr="008E1FA7">
              <w:t>ingrédient actif supérieures ou égales à 640 g/l) sont inscrites à l</w:t>
            </w:r>
            <w:r w:rsidR="001503DA" w:rsidRPr="008E1FA7">
              <w:t>’</w:t>
            </w:r>
            <w:r w:rsidRPr="008E1FA7">
              <w:t>Annexe </w:t>
            </w:r>
            <w:smartTag w:uri="urn:schemas-microsoft-com:office:smarttags" w:element="stockticker">
              <w:r w:rsidRPr="008E1FA7">
                <w:t>III</w:t>
              </w:r>
            </w:smartTag>
            <w:r w:rsidRPr="008E1FA7">
              <w:t xml:space="preserve"> de la Convention de Rotterdam dans la catégorie des préparations pesticides extrêmement dangereuses et sont, par conséquent, soumises à la procédure PIC.</w:t>
            </w:r>
          </w:p>
          <w:p w14:paraId="7EA9B5C2" w14:textId="4D13263E" w:rsidR="00371363" w:rsidRPr="008E1FA7" w:rsidRDefault="00371363" w:rsidP="00371363">
            <w:pPr>
              <w:spacing w:after="120"/>
            </w:pPr>
            <w:r w:rsidRPr="008E1FA7">
              <w:t>Comme leur application dans les conditions d</w:t>
            </w:r>
            <w:r w:rsidR="001503DA" w:rsidRPr="008E1FA7">
              <w:t>’</w:t>
            </w:r>
            <w:r w:rsidRPr="008E1FA7">
              <w:t>utilisation existant au Tchad pose des problèmes pour la santé des opérateurs, elles sont soumises aux dispositions de l</w:t>
            </w:r>
            <w:r w:rsidR="001503DA" w:rsidRPr="008E1FA7">
              <w:t>’</w:t>
            </w:r>
            <w:r w:rsidRPr="008E1FA7">
              <w:t>article 6 et de l</w:t>
            </w:r>
            <w:r w:rsidR="001503DA" w:rsidRPr="008E1FA7">
              <w:t>’</w:t>
            </w:r>
            <w:r w:rsidRPr="008E1FA7">
              <w:t>Annexe IV de la Convention.</w:t>
            </w:r>
          </w:p>
          <w:p w14:paraId="4FAEDD1F" w14:textId="607EDE23" w:rsidR="00371363" w:rsidRPr="008E1FA7" w:rsidRDefault="00371363" w:rsidP="00371363">
            <w:pPr>
              <w:spacing w:after="120"/>
              <w:rPr>
                <w:b/>
                <w:bCs/>
                <w:szCs w:val="28"/>
              </w:rPr>
            </w:pPr>
            <w:r w:rsidRPr="008E1FA7">
              <w:t>Le document justificatif élaboré par le Comité d</w:t>
            </w:r>
            <w:r w:rsidR="001503DA" w:rsidRPr="008E1FA7">
              <w:t>’</w:t>
            </w:r>
            <w:r w:rsidRPr="008E1FA7">
              <w:t xml:space="preserve">étude des produits chimiques à sa neuvième réunion (2013) </w:t>
            </w:r>
            <w:r w:rsidRPr="008E1FA7">
              <w:br/>
              <w:t>à l</w:t>
            </w:r>
            <w:r w:rsidR="001503DA" w:rsidRPr="008E1FA7">
              <w:t>’</w:t>
            </w:r>
            <w:r w:rsidRPr="008E1FA7">
              <w:t>appui de sa recommandation de soumettre ces préparations à la procédure PIC se trouve dans l</w:t>
            </w:r>
            <w:r w:rsidR="001503DA" w:rsidRPr="008E1FA7">
              <w:t>’</w:t>
            </w:r>
            <w:r w:rsidRPr="008E1FA7">
              <w:t xml:space="preserve">annexe I </w:t>
            </w:r>
            <w:r w:rsidRPr="008E1FA7">
              <w:br/>
              <w:t xml:space="preserve">au présent document. </w:t>
            </w:r>
          </w:p>
        </w:tc>
      </w:tr>
    </w:tbl>
    <w:p w14:paraId="13DD3497" w14:textId="77777777" w:rsidR="00371363" w:rsidRPr="008E1FA7" w:rsidRDefault="00371363" w:rsidP="00371363"/>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68708973" w14:textId="77777777" w:rsidTr="00BC444D">
        <w:trPr>
          <w:jc w:val="right"/>
        </w:trPr>
        <w:tc>
          <w:tcPr>
            <w:tcW w:w="9547" w:type="dxa"/>
            <w:shd w:val="pct10" w:color="auto" w:fill="auto"/>
          </w:tcPr>
          <w:p w14:paraId="28373171" w14:textId="77777777" w:rsidR="00371363" w:rsidRPr="008E1FA7" w:rsidRDefault="00371363" w:rsidP="00EA0EE3">
            <w:pPr>
              <w:pStyle w:val="CH3"/>
              <w:spacing w:before="120"/>
              <w:rPr>
                <w:bCs/>
                <w:kern w:val="28"/>
              </w:rPr>
            </w:pPr>
            <w:r w:rsidRPr="008E1FA7">
              <w:t xml:space="preserve">3. Description des utilisations courantes et connues de la formulation dans le pays présentant le demande </w:t>
            </w:r>
          </w:p>
        </w:tc>
      </w:tr>
    </w:tbl>
    <w:p w14:paraId="4055F2F8" w14:textId="77777777" w:rsidR="00371363" w:rsidRPr="008E1FA7" w:rsidRDefault="00371363" w:rsidP="00371363">
      <w:pPr>
        <w:keepNext/>
        <w:tabs>
          <w:tab w:val="left" w:pos="-720"/>
          <w:tab w:val="left" w:pos="0"/>
          <w:tab w:val="left" w:pos="720"/>
        </w:tabs>
        <w:suppressAutoHyphens/>
        <w:rPr>
          <w:szCs w:val="10"/>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6CEA4764" w14:textId="77777777" w:rsidTr="00BC444D">
        <w:trPr>
          <w:jc w:val="right"/>
        </w:trPr>
        <w:tc>
          <w:tcPr>
            <w:tcW w:w="9495" w:type="dxa"/>
            <w:tcBorders>
              <w:top w:val="single" w:sz="4" w:space="0" w:color="auto"/>
              <w:left w:val="single" w:sz="4" w:space="0" w:color="auto"/>
              <w:bottom w:val="single" w:sz="4" w:space="0" w:color="auto"/>
              <w:right w:val="single" w:sz="4" w:space="0" w:color="auto"/>
            </w:tcBorders>
            <w:shd w:val="clear" w:color="auto" w:fill="auto"/>
          </w:tcPr>
          <w:p w14:paraId="3C56E70A" w14:textId="761246E9" w:rsidR="00371363" w:rsidRPr="008E1FA7" w:rsidRDefault="00371363" w:rsidP="00EA0EE3">
            <w:pPr>
              <w:pStyle w:val="CH3"/>
              <w:spacing w:before="120"/>
            </w:pPr>
            <w:r w:rsidRPr="008E1FA7">
              <w:t>3.1 Utilisations permises de la formulation</w:t>
            </w:r>
          </w:p>
        </w:tc>
      </w:tr>
    </w:tbl>
    <w:p w14:paraId="72C1C295" w14:textId="1C90B9A4" w:rsidR="00371363" w:rsidRPr="008E1FA7" w:rsidRDefault="00371363" w:rsidP="00BC444D">
      <w:pPr>
        <w:pStyle w:val="Normal-pool"/>
        <w:spacing w:before="120" w:after="120"/>
      </w:pPr>
      <w:r w:rsidRPr="008E1FA7">
        <w:t>Le fenthion 640 ULV est homologué pour des utilisations dans le cadre de la lutte anti</w:t>
      </w:r>
      <w:r w:rsidRPr="008E1FA7">
        <w:noBreakHyphen/>
        <w:t>aviaire (en pulvérisation sur les</w:t>
      </w:r>
      <w:r w:rsidR="001503DA" w:rsidRPr="008E1FA7">
        <w:t> </w:t>
      </w:r>
      <w:r w:rsidRPr="008E1FA7">
        <w:t>sites de perchage) à des doses de 1,8 à 3 l/ha. La Direction de la protection des végétaux et du conditionnement (DPVC) est la seule autorisée à s</w:t>
      </w:r>
      <w:r w:rsidR="001503DA" w:rsidRPr="008E1FA7">
        <w:t>’</w:t>
      </w:r>
      <w:r w:rsidRPr="008E1FA7">
        <w:t>en servir. On trouvera de plus amples informations sur les quantités réelles employées au Tchad au point 5 de l</w:t>
      </w:r>
      <w:r w:rsidR="001503DA" w:rsidRPr="008E1FA7">
        <w:t>’</w:t>
      </w:r>
      <w:r w:rsidRPr="008E1FA7">
        <w:t>annexe I.</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618CFDA2" w14:textId="77777777" w:rsidTr="00BC444D">
        <w:trPr>
          <w:jc w:val="right"/>
        </w:trPr>
        <w:tc>
          <w:tcPr>
            <w:tcW w:w="9408" w:type="dxa"/>
            <w:tcBorders>
              <w:top w:val="single" w:sz="4" w:space="0" w:color="auto"/>
              <w:left w:val="single" w:sz="4" w:space="0" w:color="auto"/>
              <w:bottom w:val="single" w:sz="4" w:space="0" w:color="auto"/>
              <w:right w:val="single" w:sz="4" w:space="0" w:color="auto"/>
            </w:tcBorders>
            <w:shd w:val="clear" w:color="auto" w:fill="auto"/>
          </w:tcPr>
          <w:p w14:paraId="189D31D2" w14:textId="21E8C872" w:rsidR="00371363" w:rsidRPr="008E1FA7" w:rsidRDefault="00371363" w:rsidP="00EA0EE3">
            <w:pPr>
              <w:pStyle w:val="CH3"/>
              <w:spacing w:before="120"/>
              <w:rPr>
                <w:strike/>
                <w:szCs w:val="24"/>
              </w:rPr>
            </w:pPr>
            <w:r w:rsidRPr="008E1FA7">
              <w:t>3.2</w:t>
            </w:r>
            <w:r w:rsidR="00BC444D" w:rsidRPr="008E1FA7">
              <w:t xml:space="preserve"> </w:t>
            </w:r>
            <w:r w:rsidRPr="008E1FA7">
              <w:t xml:space="preserve"> Restrictions concernant la manipulation ou l</w:t>
            </w:r>
            <w:r w:rsidR="001503DA" w:rsidRPr="008E1FA7">
              <w:t>’</w:t>
            </w:r>
            <w:r w:rsidRPr="008E1FA7">
              <w:t>utilisation</w:t>
            </w:r>
          </w:p>
        </w:tc>
      </w:tr>
    </w:tbl>
    <w:p w14:paraId="78EB2077" w14:textId="5C8F904E" w:rsidR="00371363" w:rsidRPr="008E1FA7" w:rsidRDefault="00371363" w:rsidP="0097465B">
      <w:pPr>
        <w:pStyle w:val="Normal-pool"/>
        <w:keepNext/>
        <w:keepLines/>
        <w:spacing w:before="120" w:after="120"/>
      </w:pPr>
      <w:r w:rsidRPr="008E1FA7">
        <w:t>Au Tchad, la DPVC est la seule autorisée à utiliser le fenthion 640 ULV comme avicide. L</w:t>
      </w:r>
      <w:r w:rsidR="001503DA" w:rsidRPr="008E1FA7">
        <w:t>’</w:t>
      </w:r>
      <w:r w:rsidRPr="008E1FA7">
        <w:t>autorisation de l</w:t>
      </w:r>
      <w:r w:rsidR="001503DA" w:rsidRPr="008E1FA7">
        <w:t>’</w:t>
      </w:r>
      <w:r w:rsidRPr="008E1FA7">
        <w:t>appliquer est strictement limitée aux spécialistes de la lutte anti</w:t>
      </w:r>
      <w:r w:rsidRPr="008E1FA7">
        <w:noBreakHyphen/>
        <w:t>aviaire (agents du Service de la protection des végétaux équipés de pulvérisateurs rotatifs ou techniciens des entreprises spécialisées dans l</w:t>
      </w:r>
      <w:r w:rsidR="001503DA" w:rsidRPr="008E1FA7">
        <w:t>’</w:t>
      </w:r>
      <w:r w:rsidRPr="008E1FA7">
        <w:t>application aérienne).</w:t>
      </w:r>
    </w:p>
    <w:p w14:paraId="6F4975A8" w14:textId="49C55C62" w:rsidR="00371363" w:rsidRPr="008E1FA7" w:rsidRDefault="00371363" w:rsidP="00BC444D">
      <w:pPr>
        <w:pStyle w:val="Normal-pool"/>
        <w:spacing w:before="120" w:after="120"/>
      </w:pPr>
      <w:r w:rsidRPr="008E1FA7">
        <w:t>L</w:t>
      </w:r>
      <w:r w:rsidR="001503DA" w:rsidRPr="008E1FA7">
        <w:t>’</w:t>
      </w:r>
      <w:r w:rsidRPr="008E1FA7">
        <w:t>étiquette du produit comporte des mises en garde relatives à l</w:t>
      </w:r>
      <w:r w:rsidR="001503DA" w:rsidRPr="008E1FA7">
        <w:t>’</w:t>
      </w:r>
      <w:r w:rsidRPr="008E1FA7">
        <w:t>utilisation (port obligatoire d</w:t>
      </w:r>
      <w:r w:rsidR="001503DA" w:rsidRPr="008E1FA7">
        <w:t>’</w:t>
      </w:r>
      <w:r w:rsidRPr="008E1FA7">
        <w:t>équipements de protection individuelle), illustrées par des pictogrammes. Les équipements de protection individuelle obligatoires pour les opérateurs lors de la manipulation et de l</w:t>
      </w:r>
      <w:r w:rsidR="001503DA" w:rsidRPr="008E1FA7">
        <w:t>’</w:t>
      </w:r>
      <w:r w:rsidRPr="008E1FA7">
        <w:t>application sont notamment des gants, des chaussures, des vêtements de protection à manches longues et un masque.</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4B4CE31A" w14:textId="77777777" w:rsidTr="00BC444D">
        <w:trPr>
          <w:jc w:val="right"/>
        </w:trPr>
        <w:tc>
          <w:tcPr>
            <w:tcW w:w="9579" w:type="dxa"/>
            <w:tcBorders>
              <w:top w:val="single" w:sz="4" w:space="0" w:color="auto"/>
              <w:left w:val="single" w:sz="4" w:space="0" w:color="auto"/>
              <w:bottom w:val="single" w:sz="4" w:space="0" w:color="auto"/>
              <w:right w:val="single" w:sz="4" w:space="0" w:color="auto"/>
            </w:tcBorders>
            <w:shd w:val="clear" w:color="auto" w:fill="auto"/>
          </w:tcPr>
          <w:p w14:paraId="05DEB185" w14:textId="77777777" w:rsidR="00371363" w:rsidRPr="008E1FA7" w:rsidRDefault="00371363" w:rsidP="00EA0EE3">
            <w:pPr>
              <w:pStyle w:val="CH3"/>
              <w:spacing w:before="120"/>
              <w:rPr>
                <w:szCs w:val="24"/>
              </w:rPr>
            </w:pPr>
            <w:r w:rsidRPr="008E1FA7">
              <w:t>3.3  Disponibilité de vêtements de protection idoines</w:t>
            </w:r>
          </w:p>
        </w:tc>
      </w:tr>
    </w:tbl>
    <w:p w14:paraId="5FB14797" w14:textId="5064F3B6" w:rsidR="00371363" w:rsidRPr="008E1FA7" w:rsidRDefault="00371363" w:rsidP="00BC444D">
      <w:pPr>
        <w:pStyle w:val="Normal-pool"/>
        <w:spacing w:before="120" w:after="120"/>
      </w:pPr>
      <w:r w:rsidRPr="008E1FA7">
        <w:t>La victime de l</w:t>
      </w:r>
      <w:r w:rsidR="001503DA" w:rsidRPr="008E1FA7">
        <w:t>’</w:t>
      </w:r>
      <w:r w:rsidRPr="008E1FA7">
        <w:t>incident déclaré en détail portait un attirail de protection complet, conformément aux dispositions en</w:t>
      </w:r>
      <w:r w:rsidR="001503DA" w:rsidRPr="008E1FA7">
        <w:t> </w:t>
      </w:r>
      <w:r w:rsidRPr="008E1FA7">
        <w:t>vigueur.</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371363" w:rsidRPr="008E1FA7" w14:paraId="4B13B1DD" w14:textId="77777777" w:rsidTr="00BC444D">
        <w:trPr>
          <w:cantSplit/>
          <w:jc w:val="right"/>
        </w:trPr>
        <w:tc>
          <w:tcPr>
            <w:tcW w:w="9588" w:type="dxa"/>
            <w:tcBorders>
              <w:top w:val="single" w:sz="6" w:space="0" w:color="auto"/>
              <w:left w:val="single" w:sz="6" w:space="0" w:color="auto"/>
              <w:bottom w:val="single" w:sz="4" w:space="0" w:color="auto"/>
              <w:right w:val="single" w:sz="6" w:space="0" w:color="auto"/>
            </w:tcBorders>
            <w:shd w:val="clear" w:color="auto" w:fill="auto"/>
          </w:tcPr>
          <w:p w14:paraId="3C0C9DEF" w14:textId="584E9D31" w:rsidR="00371363" w:rsidRPr="008E1FA7" w:rsidRDefault="00371363" w:rsidP="00EA0EE3">
            <w:pPr>
              <w:pStyle w:val="CH3"/>
              <w:spacing w:before="120"/>
              <w:rPr>
                <w:szCs w:val="24"/>
              </w:rPr>
            </w:pPr>
            <w:r w:rsidRPr="008E1FA7">
              <w:t>3.4  Utilisations</w:t>
            </w:r>
            <w:r w:rsidR="00BC444D" w:rsidRPr="008E1FA7">
              <w:t xml:space="preserve"> </w:t>
            </w:r>
          </w:p>
        </w:tc>
      </w:tr>
    </w:tbl>
    <w:p w14:paraId="4D9B5588" w14:textId="3F924926" w:rsidR="00371363" w:rsidRPr="008E1FA7" w:rsidRDefault="00371363" w:rsidP="00BC444D">
      <w:pPr>
        <w:pStyle w:val="Normal-pool"/>
        <w:spacing w:before="120" w:after="120"/>
      </w:pPr>
      <w:r w:rsidRPr="008E1FA7">
        <w:t>La préparation est homologuée pour des utilisations dans le cadre de la lutte anti</w:t>
      </w:r>
      <w:r w:rsidRPr="008E1FA7">
        <w:noBreakHyphen/>
        <w:t>aviaire. La DPVC est la seule autorisée à s</w:t>
      </w:r>
      <w:r w:rsidR="001503DA" w:rsidRPr="008E1FA7">
        <w:t>’</w:t>
      </w:r>
      <w:r w:rsidRPr="008E1FA7">
        <w:t>en servir.</w:t>
      </w:r>
    </w:p>
    <w:p w14:paraId="5B2D31F9" w14:textId="5D9039D0" w:rsidR="00371363" w:rsidRPr="008E1FA7" w:rsidRDefault="00371363" w:rsidP="00BC444D">
      <w:pPr>
        <w:pStyle w:val="Normal-pool"/>
        <w:spacing w:before="120" w:after="120"/>
      </w:pPr>
      <w:r w:rsidRPr="008E1FA7">
        <w:t>Le fenthion 640 ULV était utilisé comme avicide contre des oiseaux granivores (</w:t>
      </w:r>
      <w:r w:rsidRPr="008E1FA7">
        <w:rPr>
          <w:i/>
        </w:rPr>
        <w:t xml:space="preserve">Quelea </w:t>
      </w:r>
      <w:proofErr w:type="spellStart"/>
      <w:r w:rsidRPr="008E1FA7">
        <w:rPr>
          <w:i/>
        </w:rPr>
        <w:t>quelea</w:t>
      </w:r>
      <w:proofErr w:type="spellEnd"/>
      <w:r w:rsidRPr="008E1FA7">
        <w:t>) pour réduire les</w:t>
      </w:r>
      <w:r w:rsidR="001503DA" w:rsidRPr="008E1FA7">
        <w:t> </w:t>
      </w:r>
      <w:r w:rsidRPr="008E1FA7">
        <w:t>dégâts causés aux cultures céréalières. Le produit était appliqué au moyen de pulvérisateurs à dos motorisés à des</w:t>
      </w:r>
      <w:r w:rsidR="001503DA" w:rsidRPr="008E1FA7">
        <w:t> </w:t>
      </w:r>
      <w:r w:rsidRPr="008E1FA7">
        <w:t xml:space="preserve">doses comprises entre 1,8 et 3 l/ha en 2009, 2011 et 2012. </w:t>
      </w:r>
    </w:p>
    <w:p w14:paraId="6FE3090D" w14:textId="5EB1403F" w:rsidR="00371363" w:rsidRPr="008E1FA7" w:rsidRDefault="00371363" w:rsidP="00BC444D">
      <w:pPr>
        <w:pStyle w:val="Normal-pool"/>
        <w:spacing w:before="120" w:after="120"/>
      </w:pPr>
      <w:r w:rsidRPr="008E1FA7">
        <w:t>Après une première intervention sur ordre du Gouvernement effectuée en 2009 par sept équipes, le Ministère de l</w:t>
      </w:r>
      <w:r w:rsidR="001503DA" w:rsidRPr="008E1FA7">
        <w:t>’</w:t>
      </w:r>
      <w:r w:rsidR="0097465B" w:rsidRPr="008E1FA7">
        <w:t>a</w:t>
      </w:r>
      <w:r w:rsidRPr="008E1FA7">
        <w:t>griculture et de l</w:t>
      </w:r>
      <w:r w:rsidR="001503DA" w:rsidRPr="008E1FA7">
        <w:t>’</w:t>
      </w:r>
      <w:r w:rsidRPr="008E1FA7">
        <w:t xml:space="preserve">irrigation a organisé en 2011 et 2012 des missions faisant appel à quatre équipes de la DPVC, dont trois chargées du repérage et de la lutte et la quatrième des fournitures et de la surveillance. </w:t>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547FDBB5" w14:textId="77777777" w:rsidTr="00BC444D">
        <w:trPr>
          <w:jc w:val="right"/>
        </w:trPr>
        <w:tc>
          <w:tcPr>
            <w:tcW w:w="9640" w:type="dxa"/>
            <w:shd w:val="pct10" w:color="auto" w:fill="auto"/>
          </w:tcPr>
          <w:p w14:paraId="73DF31A1" w14:textId="1CD6F7AC" w:rsidR="00371363" w:rsidRPr="008E1FA7" w:rsidRDefault="00371363" w:rsidP="00EA0EE3">
            <w:pPr>
              <w:pStyle w:val="CH3"/>
              <w:spacing w:before="120"/>
              <w:ind w:left="0" w:firstLine="0"/>
            </w:pPr>
            <w:r w:rsidRPr="008E1FA7">
              <w:t>4. Description des incidents, y compris des effets nocifs et des conditions dans lesquelles la formulation a</w:t>
            </w:r>
            <w:r w:rsidR="00BC444D" w:rsidRPr="008E1FA7">
              <w:t> </w:t>
            </w:r>
            <w:r w:rsidRPr="008E1FA7">
              <w:t>été</w:t>
            </w:r>
            <w:r w:rsidR="00BC444D" w:rsidRPr="008E1FA7">
              <w:t> </w:t>
            </w:r>
            <w:r w:rsidRPr="008E1FA7">
              <w:t>utilisée</w:t>
            </w:r>
          </w:p>
        </w:tc>
      </w:tr>
    </w:tbl>
    <w:p w14:paraId="481C9016" w14:textId="77777777" w:rsidR="00371363" w:rsidRPr="008E1FA7" w:rsidRDefault="00371363" w:rsidP="00371363">
      <w:pPr>
        <w:tabs>
          <w:tab w:val="left" w:pos="-720"/>
          <w:tab w:val="left" w:pos="0"/>
          <w:tab w:val="left" w:pos="720"/>
        </w:tabs>
        <w:suppressAutoHyphens/>
        <w:rPr>
          <w:szCs w:val="10"/>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79FD6148" w14:textId="77777777" w:rsidTr="00BC444D">
        <w:trPr>
          <w:jc w:val="right"/>
        </w:trPr>
        <w:tc>
          <w:tcPr>
            <w:tcW w:w="9588" w:type="dxa"/>
            <w:tcBorders>
              <w:top w:val="single" w:sz="4" w:space="0" w:color="auto"/>
              <w:left w:val="single" w:sz="4" w:space="0" w:color="auto"/>
              <w:bottom w:val="single" w:sz="4" w:space="0" w:color="auto"/>
              <w:right w:val="single" w:sz="4" w:space="0" w:color="auto"/>
            </w:tcBorders>
            <w:shd w:val="clear" w:color="auto" w:fill="auto"/>
          </w:tcPr>
          <w:p w14:paraId="0AD073F6" w14:textId="77777777" w:rsidR="00371363" w:rsidRPr="008E1FA7" w:rsidRDefault="00371363" w:rsidP="00EA0EE3">
            <w:pPr>
              <w:pStyle w:val="CH3"/>
              <w:spacing w:before="120"/>
              <w:rPr>
                <w:szCs w:val="24"/>
              </w:rPr>
            </w:pPr>
            <w:r w:rsidRPr="008E1FA7">
              <w:t>4.1  Description des incidents</w:t>
            </w:r>
          </w:p>
        </w:tc>
      </w:tr>
    </w:tbl>
    <w:p w14:paraId="0889FAD9" w14:textId="623A2FB1" w:rsidR="00371363" w:rsidRPr="008E1FA7" w:rsidRDefault="00371363" w:rsidP="00BC444D">
      <w:pPr>
        <w:pStyle w:val="Normal-pool"/>
        <w:spacing w:before="120" w:after="120"/>
      </w:pPr>
      <w:r w:rsidRPr="008E1FA7">
        <w:t>Au cours de la mission de lutte anti</w:t>
      </w:r>
      <w:r w:rsidRPr="008E1FA7">
        <w:noBreakHyphen/>
        <w:t>aviaire de 2011, un technicien âgé d</w:t>
      </w:r>
      <w:r w:rsidR="001503DA" w:rsidRPr="008E1FA7">
        <w:t>’</w:t>
      </w:r>
      <w:r w:rsidRPr="008E1FA7">
        <w:t>environ 60 ans ayant, de longue date, des</w:t>
      </w:r>
      <w:r w:rsidR="001503DA" w:rsidRPr="008E1FA7">
        <w:t> </w:t>
      </w:r>
      <w:r w:rsidRPr="008E1FA7">
        <w:t>antécédents d</w:t>
      </w:r>
      <w:r w:rsidR="001503DA" w:rsidRPr="008E1FA7">
        <w:t>’</w:t>
      </w:r>
      <w:r w:rsidRPr="008E1FA7">
        <w:t>hypertension (il souffrait d</w:t>
      </w:r>
      <w:r w:rsidR="001503DA" w:rsidRPr="008E1FA7">
        <w:t>’</w:t>
      </w:r>
      <w:r w:rsidRPr="008E1FA7">
        <w:t>hypertension mais n</w:t>
      </w:r>
      <w:r w:rsidR="001503DA" w:rsidRPr="008E1FA7">
        <w:t>’</w:t>
      </w:r>
      <w:r w:rsidRPr="008E1FA7">
        <w:t>en avait pas fait part à la DPVC avant le début de la</w:t>
      </w:r>
      <w:r w:rsidR="001503DA" w:rsidRPr="008E1FA7">
        <w:t> </w:t>
      </w:r>
      <w:r w:rsidRPr="008E1FA7">
        <w:t>mission) a été intoxiqué lors du traitement d</w:t>
      </w:r>
      <w:r w:rsidR="001503DA" w:rsidRPr="008E1FA7">
        <w:t>’</w:t>
      </w:r>
      <w:r w:rsidRPr="008E1FA7">
        <w:t>un site de perchage situé à 200 km de N</w:t>
      </w:r>
      <w:r w:rsidR="001503DA" w:rsidRPr="008E1FA7">
        <w:t>’</w:t>
      </w:r>
      <w:r w:rsidRPr="008E1FA7">
        <w:t>Djamena (</w:t>
      </w:r>
      <w:proofErr w:type="spellStart"/>
      <w:r w:rsidRPr="008E1FA7">
        <w:t>Bokoro</w:t>
      </w:r>
      <w:proofErr w:type="spellEnd"/>
      <w:r w:rsidRPr="008E1FA7">
        <w:t>) le</w:t>
      </w:r>
      <w:r w:rsidR="001503DA" w:rsidRPr="008E1FA7">
        <w:t> </w:t>
      </w:r>
      <w:r w:rsidRPr="008E1FA7">
        <w:t>17 juin 2011.</w:t>
      </w:r>
    </w:p>
    <w:p w14:paraId="30691BB1" w14:textId="7B2F2221" w:rsidR="00371363" w:rsidRPr="008E1FA7" w:rsidRDefault="00371363" w:rsidP="00BC444D">
      <w:pPr>
        <w:pStyle w:val="Normal-pool"/>
        <w:spacing w:before="120" w:after="120"/>
      </w:pPr>
      <w:r w:rsidRPr="008E1FA7">
        <w:t>Le technicien avait participé tant aux opérations de remplissage qu</w:t>
      </w:r>
      <w:r w:rsidR="001503DA" w:rsidRPr="008E1FA7">
        <w:t>’</w:t>
      </w:r>
      <w:r w:rsidRPr="008E1FA7">
        <w:t>à celles de pulvérisation, revêtu d</w:t>
      </w:r>
      <w:r w:rsidR="001503DA" w:rsidRPr="008E1FA7">
        <w:t>’</w:t>
      </w:r>
      <w:r w:rsidRPr="008E1FA7">
        <w:t>équipements de protection comprenant un chapeau, des lunettes, un masque, une combinaison en coton, des gants et des bottes sous un</w:t>
      </w:r>
      <w:r w:rsidR="001503DA" w:rsidRPr="008E1FA7">
        <w:t> </w:t>
      </w:r>
      <w:r w:rsidRPr="008E1FA7">
        <w:t>pantalon. Il pouvait apparemment lire et comprendre l</w:t>
      </w:r>
      <w:r w:rsidR="001503DA" w:rsidRPr="008E1FA7">
        <w:t>’</w:t>
      </w:r>
      <w:r w:rsidRPr="008E1FA7">
        <w:t>étiquette.</w:t>
      </w:r>
    </w:p>
    <w:p w14:paraId="4B582C5E" w14:textId="5DD05651" w:rsidR="00371363" w:rsidRPr="008E1FA7" w:rsidRDefault="00371363" w:rsidP="00BC444D">
      <w:pPr>
        <w:pStyle w:val="Normal-pool"/>
        <w:spacing w:before="120" w:after="120"/>
      </w:pPr>
      <w:r w:rsidRPr="008E1FA7">
        <w:t>Les effets s</w:t>
      </w:r>
      <w:r w:rsidR="001503DA" w:rsidRPr="008E1FA7">
        <w:t>’</w:t>
      </w:r>
      <w:r w:rsidRPr="008E1FA7">
        <w:t>étaient manifestés une heure après l</w:t>
      </w:r>
      <w:r w:rsidR="001503DA" w:rsidRPr="008E1FA7">
        <w:t>’</w:t>
      </w:r>
      <w:r w:rsidRPr="008E1FA7">
        <w:t>application. Le sujet intoxiqué présentait les symptômes suivants : vomissements, hypersalivation et titubation.</w:t>
      </w:r>
    </w:p>
    <w:p w14:paraId="10AAEE8A" w14:textId="027A3373" w:rsidR="00371363" w:rsidRPr="008E1FA7" w:rsidRDefault="00371363" w:rsidP="00BC444D">
      <w:pPr>
        <w:pStyle w:val="Normal-pool"/>
        <w:spacing w:before="120" w:after="120"/>
      </w:pPr>
      <w:r w:rsidRPr="008E1FA7">
        <w:t>Il avait été immédiatement conduit à l</w:t>
      </w:r>
      <w:r w:rsidR="001503DA" w:rsidRPr="008E1FA7">
        <w:t>’</w:t>
      </w:r>
      <w:r w:rsidRPr="008E1FA7">
        <w:t xml:space="preserve">hôpital de </w:t>
      </w:r>
      <w:proofErr w:type="spellStart"/>
      <w:r w:rsidRPr="008E1FA7">
        <w:t>Bokoro</w:t>
      </w:r>
      <w:proofErr w:type="spellEnd"/>
      <w:r w:rsidRPr="008E1FA7">
        <w:t>, puis transféré au service des urgences de l</w:t>
      </w:r>
      <w:r w:rsidR="001503DA" w:rsidRPr="008E1FA7">
        <w:t>’</w:t>
      </w:r>
      <w:r w:rsidRPr="008E1FA7">
        <w:t>hôpital de</w:t>
      </w:r>
      <w:r w:rsidR="001503DA" w:rsidRPr="008E1FA7">
        <w:t> </w:t>
      </w:r>
      <w:r w:rsidRPr="008E1FA7">
        <w:t>N</w:t>
      </w:r>
      <w:r w:rsidR="001503DA" w:rsidRPr="008E1FA7">
        <w:t>’</w:t>
      </w:r>
      <w:r w:rsidRPr="008E1FA7">
        <w:t>Djamena, où il avait reçu des soins supplémentaires. Il avait été autorisé à quitter l</w:t>
      </w:r>
      <w:r w:rsidR="001503DA" w:rsidRPr="008E1FA7">
        <w:t>’</w:t>
      </w:r>
      <w:r w:rsidRPr="008E1FA7">
        <w:t>hôpital le jour même, sur avis médical, pour recevoir des soins à domicile. Malheureusement, malgré les soins à domicile, il avait rechuté quatre</w:t>
      </w:r>
      <w:r w:rsidR="001503DA" w:rsidRPr="008E1FA7">
        <w:t> </w:t>
      </w:r>
      <w:r w:rsidRPr="008E1FA7">
        <w:t xml:space="preserve">jours après et était décédé. </w:t>
      </w:r>
    </w:p>
    <w:p w14:paraId="088DD630" w14:textId="1CE40EF9" w:rsidR="00371363" w:rsidRPr="008E1FA7" w:rsidRDefault="00371363" w:rsidP="00BC444D">
      <w:pPr>
        <w:pStyle w:val="Normal-pool"/>
        <w:spacing w:before="120" w:after="120"/>
      </w:pPr>
      <w:r w:rsidRPr="008E1FA7">
        <w:t>Un deuxième cas d</w:t>
      </w:r>
      <w:r w:rsidR="001503DA" w:rsidRPr="008E1FA7">
        <w:t>’</w:t>
      </w:r>
      <w:r w:rsidRPr="008E1FA7">
        <w:t>intoxication mortelle d</w:t>
      </w:r>
      <w:r w:rsidR="001503DA" w:rsidRPr="008E1FA7">
        <w:t>’</w:t>
      </w:r>
      <w:r w:rsidRPr="008E1FA7">
        <w:t>un opérateur suite à la manipulation et à l</w:t>
      </w:r>
      <w:r w:rsidR="001503DA" w:rsidRPr="008E1FA7">
        <w:t>’</w:t>
      </w:r>
      <w:r w:rsidRPr="008E1FA7">
        <w:t>application terrestre de fenthion 640 ULV, survenu en 2009, est mentionné. En outre, un opérateur était resté dans le coma pendant une semaine dans les mêmes circonstances. Cependant, ces cas avaient été signalés par le Tchad à titre d</w:t>
      </w:r>
      <w:r w:rsidR="001503DA" w:rsidRPr="008E1FA7">
        <w:t>’</w:t>
      </w:r>
      <w:r w:rsidRPr="008E1FA7">
        <w:t>informations supplémentaires. Ils n</w:t>
      </w:r>
      <w:r w:rsidR="001503DA" w:rsidRPr="008E1FA7">
        <w:t>’</w:t>
      </w:r>
      <w:r w:rsidRPr="008E1FA7">
        <w:t>étaient pas inclus dans la déclaration d</w:t>
      </w:r>
      <w:r w:rsidR="001503DA" w:rsidRPr="008E1FA7">
        <w:t>’</w:t>
      </w:r>
      <w:r w:rsidRPr="008E1FA7">
        <w:t>incidents relatifs aux pesticides figurant dans la</w:t>
      </w:r>
      <w:r w:rsidR="001503DA" w:rsidRPr="008E1FA7">
        <w:t> </w:t>
      </w:r>
      <w:r w:rsidRPr="008E1FA7">
        <w:t>proposition.</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7F8B266F" w14:textId="77777777" w:rsidTr="00BC444D">
        <w:trPr>
          <w:jc w:val="right"/>
        </w:trPr>
        <w:tc>
          <w:tcPr>
            <w:tcW w:w="9588" w:type="dxa"/>
            <w:tcBorders>
              <w:top w:val="single" w:sz="4" w:space="0" w:color="auto"/>
              <w:left w:val="single" w:sz="4" w:space="0" w:color="auto"/>
              <w:bottom w:val="single" w:sz="4" w:space="0" w:color="auto"/>
              <w:right w:val="single" w:sz="4" w:space="0" w:color="auto"/>
            </w:tcBorders>
            <w:shd w:val="clear" w:color="auto" w:fill="auto"/>
          </w:tcPr>
          <w:p w14:paraId="445EAFCD" w14:textId="77777777" w:rsidR="00371363" w:rsidRPr="008E1FA7" w:rsidRDefault="00371363" w:rsidP="00EA0EE3">
            <w:pPr>
              <w:pStyle w:val="CH3"/>
              <w:spacing w:before="120"/>
              <w:rPr>
                <w:szCs w:val="24"/>
              </w:rPr>
            </w:pPr>
            <w:r w:rsidRPr="008E1FA7">
              <w:t>4.2  Description des effets nocifs</w:t>
            </w:r>
          </w:p>
        </w:tc>
      </w:tr>
    </w:tbl>
    <w:p w14:paraId="184E5DCC" w14:textId="681BB887" w:rsidR="00371363" w:rsidRPr="008E1FA7" w:rsidRDefault="00371363" w:rsidP="00BC444D">
      <w:pPr>
        <w:pStyle w:val="Normal-pool"/>
        <w:spacing w:before="120" w:after="120"/>
      </w:pPr>
      <w:r w:rsidRPr="008E1FA7">
        <w:t>Voir point 4.1 ci</w:t>
      </w:r>
      <w:r w:rsidRPr="008E1FA7">
        <w:noBreakHyphen/>
        <w:t>dessus. Pour de plus amples informations, voir le formulaire de déclaration d</w:t>
      </w:r>
      <w:r w:rsidR="001503DA" w:rsidRPr="008E1FA7">
        <w:t>’</w:t>
      </w:r>
      <w:r w:rsidRPr="008E1FA7">
        <w:t>incident dans</w:t>
      </w:r>
      <w:r w:rsidR="001503DA" w:rsidRPr="008E1FA7">
        <w:t> </w:t>
      </w:r>
      <w:r w:rsidRPr="008E1FA7">
        <w:t>l</w:t>
      </w:r>
      <w:r w:rsidR="001503DA" w:rsidRPr="008E1FA7">
        <w:t>’</w:t>
      </w:r>
      <w:r w:rsidRPr="008E1FA7">
        <w:t>annexe II.</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3B770913" w14:textId="77777777" w:rsidTr="00BC444D">
        <w:trPr>
          <w:jc w:val="right"/>
        </w:trPr>
        <w:tc>
          <w:tcPr>
            <w:tcW w:w="9588" w:type="dxa"/>
            <w:tcBorders>
              <w:top w:val="single" w:sz="4" w:space="0" w:color="auto"/>
              <w:left w:val="single" w:sz="4" w:space="0" w:color="auto"/>
              <w:bottom w:val="single" w:sz="4" w:space="0" w:color="auto"/>
              <w:right w:val="single" w:sz="4" w:space="0" w:color="auto"/>
            </w:tcBorders>
            <w:shd w:val="clear" w:color="auto" w:fill="auto"/>
          </w:tcPr>
          <w:p w14:paraId="11711D20" w14:textId="77777777" w:rsidR="00371363" w:rsidRPr="008E1FA7" w:rsidRDefault="00371363" w:rsidP="00EA0EE3">
            <w:pPr>
              <w:pStyle w:val="CH3"/>
              <w:spacing w:before="120"/>
              <w:rPr>
                <w:szCs w:val="24"/>
              </w:rPr>
            </w:pPr>
            <w:r w:rsidRPr="008E1FA7">
              <w:br w:type="page"/>
              <w:t>4.3  Liens entre les effets nocifs observés et les effets toxicologiques aigus du (des) principe(s) actif(s)</w:t>
            </w:r>
          </w:p>
        </w:tc>
      </w:tr>
    </w:tbl>
    <w:p w14:paraId="60A3FD6F" w14:textId="1864121B" w:rsidR="00371363" w:rsidRPr="008E1FA7" w:rsidRDefault="00371363" w:rsidP="0097465B">
      <w:pPr>
        <w:pStyle w:val="Normal-pool"/>
        <w:keepNext/>
        <w:keepLines/>
        <w:spacing w:before="120" w:after="120"/>
      </w:pPr>
      <w:r w:rsidRPr="008E1FA7">
        <w:t>Le fenthion a été classé par l</w:t>
      </w:r>
      <w:r w:rsidR="001503DA" w:rsidRPr="008E1FA7">
        <w:t>’</w:t>
      </w:r>
      <w:r w:rsidRPr="008E1FA7">
        <w:t>OMS comme produit chimique de classe II (modérément dangereux).</w:t>
      </w:r>
    </w:p>
    <w:p w14:paraId="0E3E7BDF" w14:textId="77777777" w:rsidR="00371363" w:rsidRPr="008E1FA7" w:rsidRDefault="00371363" w:rsidP="00BC444D">
      <w:pPr>
        <w:pStyle w:val="Normal-pool"/>
        <w:spacing w:before="120" w:after="120"/>
      </w:pPr>
      <w:r w:rsidRPr="008E1FA7">
        <w:t>Le fenthion est un anticholinestérasique, qui agit par contact, inhalation ou ingestion.</w:t>
      </w:r>
    </w:p>
    <w:p w14:paraId="0E22C6BF" w14:textId="704D2D70" w:rsidR="00371363" w:rsidRPr="008E1FA7" w:rsidRDefault="00371363" w:rsidP="00BC444D">
      <w:pPr>
        <w:pStyle w:val="Normal-pool"/>
        <w:spacing w:before="120" w:after="120"/>
      </w:pPr>
      <w:r w:rsidRPr="008E1FA7">
        <w:t>Toxicité aiguë : le fenthion touche le système nerveux central, le système cardiovasculaire et le système respiratoire et</w:t>
      </w:r>
      <w:r w:rsidR="001503DA" w:rsidRPr="008E1FA7">
        <w:t> </w:t>
      </w:r>
      <w:r w:rsidRPr="008E1FA7">
        <w:t>peut provoquer une irritation des yeux et des muqueuses. À l</w:t>
      </w:r>
      <w:r w:rsidR="001503DA" w:rsidRPr="008E1FA7">
        <w:t>’</w:t>
      </w:r>
      <w:r w:rsidRPr="008E1FA7">
        <w:t>instar de tous les composés organophosphorés, il</w:t>
      </w:r>
      <w:r w:rsidR="001503DA" w:rsidRPr="008E1FA7">
        <w:t> </w:t>
      </w:r>
      <w:r w:rsidRPr="008E1FA7">
        <w:t>est</w:t>
      </w:r>
      <w:r w:rsidR="001503DA" w:rsidRPr="008E1FA7">
        <w:t> </w:t>
      </w:r>
      <w:r w:rsidRPr="008E1FA7">
        <w:t xml:space="preserve">aisément absorbé par contact avec la peau. </w:t>
      </w:r>
    </w:p>
    <w:p w14:paraId="672F51B8" w14:textId="132430CB" w:rsidR="00371363" w:rsidRPr="008E1FA7" w:rsidRDefault="00371363" w:rsidP="00BC444D">
      <w:pPr>
        <w:pStyle w:val="Normal-pool"/>
        <w:spacing w:before="120" w:after="120"/>
      </w:pPr>
      <w:r w:rsidRPr="008E1FA7">
        <w:t>Les pesticides organophosphorés sont des anticholinestérasiques hautement toxiques par toutes les voies d</w:t>
      </w:r>
      <w:r w:rsidR="001503DA" w:rsidRPr="008E1FA7">
        <w:t>’</w:t>
      </w:r>
      <w:r w:rsidRPr="008E1FA7">
        <w:t>exposition. En cas d</w:t>
      </w:r>
      <w:r w:rsidR="001503DA" w:rsidRPr="008E1FA7">
        <w:t>’</w:t>
      </w:r>
      <w:r w:rsidRPr="008E1FA7">
        <w:t>inhalation, les premiers effets apparaissent en général au niveau du système respiratoire et peuvent comprendre des saignements ou des écoulements nasaux, une toux, une oppression thoracique, une respiration laborieuse ou un essoufflement et un sifflement dû à une bronchoconstriction ou à une hypersécrétion bronchique. Le</w:t>
      </w:r>
      <w:r w:rsidR="001503DA" w:rsidRPr="008E1FA7">
        <w:t> </w:t>
      </w:r>
      <w:r w:rsidRPr="008E1FA7">
        <w:t>contact cutané avec des composés organophosphorés peut provoquer localement une sudation et des contractions musculaires involontaires. Le contact avec les yeux peut entraîner des douleurs, des saignements, un larmoiement, une</w:t>
      </w:r>
      <w:r w:rsidR="001503DA" w:rsidRPr="008E1FA7">
        <w:t> </w:t>
      </w:r>
      <w:r w:rsidRPr="008E1FA7">
        <w:t>contraction des pupilles ou des troubles de la vue. Quelle que soit la voie d</w:t>
      </w:r>
      <w:r w:rsidR="001503DA" w:rsidRPr="008E1FA7">
        <w:t>’</w:t>
      </w:r>
      <w:r w:rsidRPr="008E1FA7">
        <w:t>exposition, des effets systémiques peuvent se manifester dans un délai de quelques minutes à 12 heures, dont les suivants : pâleur, nausées, vomissements, diarrhées, crampes abdominales, maux de tête, vertiges, douleurs oculaires, troubles de la vue, contraction ou dilation des pupilles, larmoiement, salivation, sudation et confusion. Une intoxication grave produit les</w:t>
      </w:r>
      <w:r w:rsidR="001503DA" w:rsidRPr="008E1FA7">
        <w:t> </w:t>
      </w:r>
      <w:r w:rsidRPr="008E1FA7">
        <w:t>symptômes suivants, liés à une perturbation du système nerveux central : perte de coordination, troubles de l</w:t>
      </w:r>
      <w:r w:rsidR="001503DA" w:rsidRPr="008E1FA7">
        <w:t>’</w:t>
      </w:r>
      <w:r w:rsidRPr="008E1FA7">
        <w:t xml:space="preserve">élocution, perte des réflexes, débilité, fatigue, contractions musculaires involontaires, contractions, tremblements de la langue et des paupières et, pour finir, paralysie des extrémités et des muscles respiratoires. </w:t>
      </w:r>
    </w:p>
    <w:p w14:paraId="1D5EF2DC" w14:textId="5B686CE2" w:rsidR="00371363" w:rsidRPr="008E1FA7" w:rsidRDefault="00371363" w:rsidP="00BC444D">
      <w:pPr>
        <w:pStyle w:val="Normal-pool"/>
        <w:spacing w:before="120" w:after="120"/>
      </w:pPr>
      <w:r w:rsidRPr="008E1FA7">
        <w:t>Certains composés organophosphorés peuvent induire des symptômes retardés une à quatre semaines après une</w:t>
      </w:r>
      <w:r w:rsidR="001503DA" w:rsidRPr="008E1FA7">
        <w:t> </w:t>
      </w:r>
      <w:r w:rsidRPr="008E1FA7">
        <w:t>exposition aiguë ayant ou non provoqué des symptômes immédiats. Dans ces cas, des engourdissements, des</w:t>
      </w:r>
      <w:r w:rsidR="001503DA" w:rsidRPr="008E1FA7">
        <w:t> </w:t>
      </w:r>
      <w:r w:rsidRPr="008E1FA7">
        <w:t>fourmillements, une faiblesse et des crampes peuvent apparaître dans les membres inférieurs et évoluer vers une</w:t>
      </w:r>
      <w:r w:rsidR="001503DA" w:rsidRPr="008E1FA7">
        <w:t> </w:t>
      </w:r>
      <w:r w:rsidRPr="008E1FA7">
        <w:t>perte de coordination et une paralysie. Une amélioration peut survenir au fil des mois ou des années, mais le sujet gardera des séquelles.</w:t>
      </w:r>
    </w:p>
    <w:p w14:paraId="5E97B4CB" w14:textId="5D621B52" w:rsidR="00371363" w:rsidRPr="008E1FA7" w:rsidRDefault="00371363" w:rsidP="00BC444D">
      <w:pPr>
        <w:pStyle w:val="Normal-pool"/>
        <w:spacing w:before="120" w:after="120"/>
      </w:pPr>
      <w:r w:rsidRPr="008E1FA7">
        <w:t>L</w:t>
      </w:r>
      <w:r w:rsidR="001503DA" w:rsidRPr="008E1FA7">
        <w:t>’</w:t>
      </w:r>
      <w:r w:rsidRPr="008E1FA7">
        <w:t>intoxication aiguë au fenthion produit les effets suivants : myosis (pupilles contractées à l</w:t>
      </w:r>
      <w:r w:rsidR="001503DA" w:rsidRPr="008E1FA7">
        <w:t>’</w:t>
      </w:r>
      <w:r w:rsidRPr="008E1FA7">
        <w:t>extrême), maux de tête, nausées/vomissements, étourdissements, faiblesse musculaire, somnolence, léthargie, et agitation ou anxiété. Les</w:t>
      </w:r>
      <w:r w:rsidR="001503DA" w:rsidRPr="008E1FA7">
        <w:t> </w:t>
      </w:r>
      <w:r w:rsidRPr="008E1FA7">
        <w:t>symptômes d</w:t>
      </w:r>
      <w:r w:rsidR="001503DA" w:rsidRPr="008E1FA7">
        <w:t>’</w:t>
      </w:r>
      <w:r w:rsidRPr="008E1FA7">
        <w:t>une intoxication modérée à grave sont les suivants : oppression thoracique, respiration laborieuse, hypertension, douleurs abdominales, diarrhées, hypersalivation, et hypersudation ou fasciculations. L</w:t>
      </w:r>
      <w:r w:rsidR="001503DA" w:rsidRPr="008E1FA7">
        <w:t>’</w:t>
      </w:r>
      <w:r w:rsidRPr="008E1FA7">
        <w:t xml:space="preserve">intoxication extrêmement grave, comme après une tentative de suicide, peut causer les effets suivants : coma, arrêt respiratoire, convulsions, perte des réflexes et paralysie flasque. </w:t>
      </w:r>
    </w:p>
    <w:p w14:paraId="7CFFA589" w14:textId="1723717C" w:rsidR="00371363" w:rsidRPr="008E1FA7" w:rsidRDefault="00371363" w:rsidP="00BC444D">
      <w:pPr>
        <w:pStyle w:val="Normal-pool"/>
        <w:spacing w:before="120" w:after="120"/>
      </w:pPr>
      <w:r w:rsidRPr="008E1FA7">
        <w:t>Plusieurs cas d</w:t>
      </w:r>
      <w:r w:rsidR="001503DA" w:rsidRPr="008E1FA7">
        <w:t>’</w:t>
      </w:r>
      <w:r w:rsidRPr="008E1FA7">
        <w:t>intoxication intentionnelle ou accidentelle par ingestion et/ou exposition cutanée sont connus chez</w:t>
      </w:r>
      <w:r w:rsidR="001503DA" w:rsidRPr="008E1FA7">
        <w:t> </w:t>
      </w:r>
      <w:r w:rsidRPr="008E1FA7">
        <w:t>l</w:t>
      </w:r>
      <w:r w:rsidR="001503DA" w:rsidRPr="008E1FA7">
        <w:t>’</w:t>
      </w:r>
      <w:r w:rsidRPr="008E1FA7">
        <w:t>homme.</w:t>
      </w:r>
    </w:p>
    <w:p w14:paraId="767E7825" w14:textId="77777777" w:rsidR="00371363" w:rsidRPr="00C31740" w:rsidRDefault="00371363" w:rsidP="00BC444D">
      <w:pPr>
        <w:pStyle w:val="Normal-pool"/>
        <w:spacing w:before="120" w:after="120"/>
        <w:rPr>
          <w:lang w:val="en-US"/>
        </w:rPr>
      </w:pPr>
      <w:r w:rsidRPr="00C31740">
        <w:rPr>
          <w:lang w:val="en-US"/>
        </w:rPr>
        <w:t>(</w:t>
      </w:r>
      <w:proofErr w:type="gramStart"/>
      <w:r w:rsidRPr="00C31740">
        <w:rPr>
          <w:bCs/>
          <w:lang w:val="en-US"/>
        </w:rPr>
        <w:t>Source :</w:t>
      </w:r>
      <w:proofErr w:type="gramEnd"/>
      <w:r w:rsidRPr="00C31740">
        <w:rPr>
          <w:b/>
          <w:bCs/>
          <w:lang w:val="en-US"/>
        </w:rPr>
        <w:t xml:space="preserve"> </w:t>
      </w:r>
      <w:r w:rsidRPr="00C31740">
        <w:rPr>
          <w:lang w:val="en-US"/>
        </w:rPr>
        <w:t>Extension Toxicology Network 1993, http://extoxnet.orst.edu/pips/fenthion.htm)</w:t>
      </w:r>
    </w:p>
    <w:p w14:paraId="6CD41B8D" w14:textId="18BD15F3" w:rsidR="00371363" w:rsidRPr="008E1FA7" w:rsidRDefault="00371363" w:rsidP="00BC444D">
      <w:pPr>
        <w:pStyle w:val="Normal-pool"/>
        <w:spacing w:before="120" w:after="120"/>
      </w:pPr>
      <w:r w:rsidRPr="008E1FA7">
        <w:t>Les effets observés chez la victime sont représentatifs d</w:t>
      </w:r>
      <w:r w:rsidR="001503DA" w:rsidRPr="008E1FA7">
        <w:t>’</w:t>
      </w:r>
      <w:r w:rsidRPr="008E1FA7">
        <w:t>une exposition aiguë au fenthion, à savoir vomissements, salivation, effets sur le système nerveux (titubation). Une autre personne intoxiquée est tombée dans le coma.</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371363" w:rsidRPr="008E1FA7" w14:paraId="321E8E2E" w14:textId="77777777" w:rsidTr="00BC444D">
        <w:trPr>
          <w:jc w:val="right"/>
        </w:trPr>
        <w:tc>
          <w:tcPr>
            <w:tcW w:w="9588" w:type="dxa"/>
            <w:tcBorders>
              <w:top w:val="single" w:sz="4" w:space="0" w:color="auto"/>
              <w:left w:val="single" w:sz="4" w:space="0" w:color="auto"/>
              <w:bottom w:val="single" w:sz="4" w:space="0" w:color="auto"/>
              <w:right w:val="single" w:sz="4" w:space="0" w:color="auto"/>
            </w:tcBorders>
            <w:shd w:val="clear" w:color="auto" w:fill="auto"/>
          </w:tcPr>
          <w:p w14:paraId="2031D0A8" w14:textId="4CFC26C5" w:rsidR="00371363" w:rsidRPr="008E1FA7" w:rsidRDefault="00371363" w:rsidP="00EA0EE3">
            <w:pPr>
              <w:pStyle w:val="CH3"/>
              <w:spacing w:before="120"/>
              <w:ind w:left="0" w:firstLine="0"/>
              <w:rPr>
                <w:szCs w:val="24"/>
              </w:rPr>
            </w:pPr>
            <w:r w:rsidRPr="008E1FA7">
              <w:t>4.4  Étendue de l</w:t>
            </w:r>
            <w:r w:rsidR="001503DA" w:rsidRPr="008E1FA7">
              <w:t>’</w:t>
            </w:r>
            <w:r w:rsidRPr="008E1FA7">
              <w:t>incident (nombre de personnes affectées dans le cas d</w:t>
            </w:r>
            <w:r w:rsidR="001503DA" w:rsidRPr="008E1FA7">
              <w:t>’</w:t>
            </w:r>
            <w:r w:rsidRPr="008E1FA7">
              <w:t>incidents touchant la santé humaine)</w:t>
            </w:r>
          </w:p>
        </w:tc>
      </w:tr>
    </w:tbl>
    <w:p w14:paraId="38B4A9A6" w14:textId="2640EB94" w:rsidR="00371363" w:rsidRPr="008E1FA7" w:rsidRDefault="00371363" w:rsidP="00BC444D">
      <w:pPr>
        <w:pStyle w:val="Normal-pool"/>
        <w:spacing w:before="120" w:after="120"/>
      </w:pPr>
      <w:r w:rsidRPr="008E1FA7">
        <w:t>Trois incidents ont été rapportés au Tchad au cours des missions de lutte anti</w:t>
      </w:r>
      <w:r w:rsidRPr="008E1FA7">
        <w:noBreakHyphen/>
      </w:r>
      <w:r w:rsidRPr="008E1FA7">
        <w:tab/>
        <w:t xml:space="preserve">aviaire de 2009, 2011 et 2012. </w:t>
      </w:r>
      <w:r w:rsidRPr="008E1FA7">
        <w:br/>
        <w:t>Un cas d</w:t>
      </w:r>
      <w:r w:rsidR="001503DA" w:rsidRPr="008E1FA7">
        <w:t>’</w:t>
      </w:r>
      <w:r w:rsidRPr="008E1FA7">
        <w:t>intoxication mortelle, survenu en 2011, est décrit en détails. Un deuxième cas d</w:t>
      </w:r>
      <w:r w:rsidR="001503DA" w:rsidRPr="008E1FA7">
        <w:t>’</w:t>
      </w:r>
      <w:r w:rsidRPr="008E1FA7">
        <w:t>intoxication mortelle d</w:t>
      </w:r>
      <w:r w:rsidR="001503DA" w:rsidRPr="008E1FA7">
        <w:t>’</w:t>
      </w:r>
      <w:r w:rsidRPr="008E1FA7">
        <w:t>un opérateur suite à la manipulation et à l</w:t>
      </w:r>
      <w:r w:rsidR="001503DA" w:rsidRPr="008E1FA7">
        <w:t>’</w:t>
      </w:r>
      <w:r w:rsidRPr="008E1FA7">
        <w:t xml:space="preserve">application terrestre de fenthion 640 ULV, survenu en 2009, est mentionné. </w:t>
      </w:r>
      <w:r w:rsidRPr="008E1FA7">
        <w:br/>
        <w:t xml:space="preserve">En outre, un opérateur était resté dans le coma pendant une semaine dans les mêmes circonstances. </w:t>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D2110C" w:rsidRPr="008E1FA7" w14:paraId="2000AC8F" w14:textId="77777777" w:rsidTr="00D2110C">
        <w:trPr>
          <w:jc w:val="right"/>
        </w:trPr>
        <w:tc>
          <w:tcPr>
            <w:tcW w:w="9480" w:type="dxa"/>
            <w:shd w:val="pct12" w:color="000000" w:fill="FFFFFF"/>
          </w:tcPr>
          <w:p w14:paraId="54140B41" w14:textId="64678E8B" w:rsidR="00D2110C" w:rsidRPr="008E1FA7" w:rsidRDefault="00D2110C" w:rsidP="00EA0EE3">
            <w:pPr>
              <w:pStyle w:val="CH3"/>
              <w:spacing w:before="120"/>
              <w:ind w:left="0" w:firstLine="0"/>
              <w:rPr>
                <w:bCs/>
                <w:kern w:val="28"/>
              </w:rPr>
            </w:pPr>
            <w:r w:rsidRPr="008E1FA7">
              <w:rPr>
                <w:bCs/>
                <w:snapToGrid w:val="0"/>
                <w:kern w:val="28"/>
              </w:rPr>
              <w:br w:type="page"/>
            </w:r>
            <w:r w:rsidRPr="008E1FA7">
              <w:t>5.  Mesures réglementaires, administratives ou autres prises ou envisagées par la Partie présentant la proposition, à la suite de ces incidents</w:t>
            </w:r>
            <w:r w:rsidRPr="008E1FA7">
              <w:rPr>
                <w:bCs/>
                <w:kern w:val="28"/>
              </w:rPr>
              <w:t xml:space="preserve"> </w:t>
            </w:r>
          </w:p>
        </w:tc>
      </w:tr>
    </w:tbl>
    <w:p w14:paraId="0C7F9CF5" w14:textId="06DF2632" w:rsidR="00371363" w:rsidRPr="008E1FA7" w:rsidRDefault="00371363" w:rsidP="00D2110C">
      <w:pPr>
        <w:pStyle w:val="Normal-pool"/>
        <w:spacing w:before="120" w:after="120"/>
      </w:pPr>
      <w:r w:rsidRPr="008E1FA7">
        <w:t>Aucune mesure n</w:t>
      </w:r>
      <w:r w:rsidR="001503DA" w:rsidRPr="008E1FA7">
        <w:t>’</w:t>
      </w:r>
      <w:r w:rsidRPr="008E1FA7">
        <w:t>a été ou prise ou envisagée. L</w:t>
      </w:r>
      <w:r w:rsidR="001503DA" w:rsidRPr="008E1FA7">
        <w:t>’</w:t>
      </w:r>
      <w:r w:rsidRPr="008E1FA7">
        <w:t>utilisation du produit est déjà strictement limitée à la lutte anti</w:t>
      </w:r>
      <w:r w:rsidRPr="008E1FA7">
        <w:noBreakHyphen/>
        <w:t>aviaire, que la DPVC est la seule autorisée à entreprendre, après avoir informé la population des dangers du produit pour les êtres humains, le bétail et l</w:t>
      </w:r>
      <w:r w:rsidR="001503DA" w:rsidRPr="008E1FA7">
        <w:t>’</w:t>
      </w:r>
      <w:r w:rsidRPr="008E1FA7">
        <w:t>environnement. Le produit sera employé jusqu</w:t>
      </w:r>
      <w:r w:rsidR="001503DA" w:rsidRPr="008E1FA7">
        <w:t>’</w:t>
      </w:r>
      <w:r w:rsidRPr="008E1FA7">
        <w:t>à la mise en place de solutions de remplacement, telles que des filets de capture classiques.</w:t>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3BD8E21B" w14:textId="77777777" w:rsidTr="00D2110C">
        <w:trPr>
          <w:jc w:val="right"/>
        </w:trPr>
        <w:tc>
          <w:tcPr>
            <w:tcW w:w="9498" w:type="dxa"/>
            <w:shd w:val="pct12" w:color="000000" w:fill="FFFFFF"/>
          </w:tcPr>
          <w:p w14:paraId="16B5144F" w14:textId="6D7D19D6" w:rsidR="00371363" w:rsidRPr="008E1FA7" w:rsidRDefault="00371363" w:rsidP="00EA0EE3">
            <w:pPr>
              <w:pStyle w:val="CH3"/>
              <w:spacing w:before="120"/>
              <w:ind w:left="0" w:firstLine="0"/>
            </w:pPr>
            <w:r w:rsidRPr="008E1FA7">
              <w:rPr>
                <w:snapToGrid w:val="0"/>
              </w:rPr>
              <w:br w:type="page"/>
            </w:r>
            <w:r w:rsidRPr="008E1FA7">
              <w:t>6. Classification de danger de la formulation par l</w:t>
            </w:r>
            <w:r w:rsidR="001503DA" w:rsidRPr="008E1FA7">
              <w:t>’</w:t>
            </w:r>
            <w:r w:rsidRPr="008E1FA7">
              <w:t>OMS</w:t>
            </w:r>
          </w:p>
        </w:tc>
      </w:tr>
    </w:tbl>
    <w:p w14:paraId="0A67039F" w14:textId="559ACE51" w:rsidR="00371363" w:rsidRPr="008E1FA7" w:rsidRDefault="00371363" w:rsidP="00E97DC0">
      <w:pPr>
        <w:pStyle w:val="Normal-pool"/>
        <w:keepNext/>
        <w:keepLines/>
        <w:spacing w:before="120" w:after="120"/>
      </w:pPr>
      <w:r w:rsidRPr="008E1FA7">
        <w:t>La classification de danger de la formulation par l</w:t>
      </w:r>
      <w:r w:rsidR="001503DA" w:rsidRPr="008E1FA7">
        <w:t>’</w:t>
      </w:r>
      <w:r w:rsidRPr="008E1FA7">
        <w:t>OMS est inconnue. L</w:t>
      </w:r>
      <w:r w:rsidR="001503DA" w:rsidRPr="008E1FA7">
        <w:t>’</w:t>
      </w:r>
      <w:r w:rsidRPr="008E1FA7">
        <w:t>ingrédient actif fenthion est classé comme</w:t>
      </w:r>
      <w:r w:rsidR="00D2110C" w:rsidRPr="008E1FA7">
        <w:t> </w:t>
      </w:r>
      <w:r w:rsidRPr="008E1FA7">
        <w:t xml:space="preserve">suit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1698"/>
        <w:gridCol w:w="2830"/>
        <w:gridCol w:w="3010"/>
      </w:tblGrid>
      <w:tr w:rsidR="00371363" w:rsidRPr="008E1FA7" w14:paraId="7422A7A4" w14:textId="77777777" w:rsidTr="00D2110C">
        <w:tc>
          <w:tcPr>
            <w:tcW w:w="1948" w:type="dxa"/>
            <w:shd w:val="clear" w:color="auto" w:fill="D9D9D9"/>
          </w:tcPr>
          <w:p w14:paraId="5ADEC06A" w14:textId="77777777" w:rsidR="00371363" w:rsidRPr="008E1FA7" w:rsidRDefault="00371363" w:rsidP="00E97DC0">
            <w:pPr>
              <w:keepNext/>
              <w:keepLines/>
              <w:tabs>
                <w:tab w:val="left" w:pos="-720"/>
                <w:tab w:val="left" w:pos="0"/>
                <w:tab w:val="left" w:pos="720"/>
              </w:tabs>
              <w:suppressAutoHyphens/>
              <w:rPr>
                <w:b/>
              </w:rPr>
            </w:pPr>
            <w:r w:rsidRPr="008E1FA7">
              <w:rPr>
                <w:b/>
              </w:rPr>
              <w:t>Voie</w:t>
            </w:r>
          </w:p>
        </w:tc>
        <w:tc>
          <w:tcPr>
            <w:tcW w:w="1698" w:type="dxa"/>
            <w:shd w:val="clear" w:color="auto" w:fill="D9D9D9"/>
          </w:tcPr>
          <w:p w14:paraId="2E888497" w14:textId="77777777" w:rsidR="00371363" w:rsidRPr="008E1FA7" w:rsidRDefault="00371363" w:rsidP="00E97DC0">
            <w:pPr>
              <w:keepNext/>
              <w:keepLines/>
              <w:tabs>
                <w:tab w:val="left" w:pos="-720"/>
                <w:tab w:val="left" w:pos="0"/>
                <w:tab w:val="left" w:pos="720"/>
              </w:tabs>
              <w:suppressAutoHyphens/>
              <w:rPr>
                <w:b/>
              </w:rPr>
            </w:pPr>
            <w:r w:rsidRPr="008E1FA7">
              <w:rPr>
                <w:b/>
              </w:rPr>
              <w:t>Espèce</w:t>
            </w:r>
          </w:p>
        </w:tc>
        <w:tc>
          <w:tcPr>
            <w:tcW w:w="2830" w:type="dxa"/>
            <w:shd w:val="clear" w:color="auto" w:fill="D9D9D9"/>
          </w:tcPr>
          <w:p w14:paraId="465365C7" w14:textId="77777777" w:rsidR="00371363" w:rsidRPr="008E1FA7" w:rsidRDefault="00371363" w:rsidP="00E97DC0">
            <w:pPr>
              <w:keepNext/>
              <w:keepLines/>
              <w:tabs>
                <w:tab w:val="left" w:pos="-720"/>
                <w:tab w:val="left" w:pos="0"/>
                <w:tab w:val="left" w:pos="720"/>
              </w:tabs>
              <w:suppressAutoHyphens/>
              <w:rPr>
                <w:b/>
              </w:rPr>
            </w:pPr>
            <w:r w:rsidRPr="008E1FA7">
              <w:rPr>
                <w:b/>
              </w:rPr>
              <w:t>DL</w:t>
            </w:r>
            <w:r w:rsidRPr="008E1FA7">
              <w:rPr>
                <w:b/>
                <w:vertAlign w:val="subscript"/>
              </w:rPr>
              <w:t>50</w:t>
            </w:r>
            <w:r w:rsidRPr="008E1FA7">
              <w:rPr>
                <w:b/>
              </w:rPr>
              <w:t xml:space="preserve"> (mg/kg p.c.)</w:t>
            </w:r>
          </w:p>
        </w:tc>
        <w:tc>
          <w:tcPr>
            <w:tcW w:w="3010" w:type="dxa"/>
            <w:shd w:val="clear" w:color="auto" w:fill="D9D9D9"/>
          </w:tcPr>
          <w:p w14:paraId="087463BB" w14:textId="77777777" w:rsidR="00371363" w:rsidRPr="008E1FA7" w:rsidRDefault="00371363" w:rsidP="00E97DC0">
            <w:pPr>
              <w:keepNext/>
              <w:keepLines/>
              <w:tabs>
                <w:tab w:val="left" w:pos="-720"/>
                <w:tab w:val="left" w:pos="0"/>
                <w:tab w:val="left" w:pos="720"/>
              </w:tabs>
              <w:suppressAutoHyphens/>
              <w:rPr>
                <w:b/>
              </w:rPr>
            </w:pPr>
            <w:r w:rsidRPr="008E1FA7">
              <w:rPr>
                <w:b/>
              </w:rPr>
              <w:t>Classe de toxicité OMS</w:t>
            </w:r>
          </w:p>
        </w:tc>
      </w:tr>
      <w:tr w:rsidR="00371363" w:rsidRPr="008E1FA7" w14:paraId="463A8840" w14:textId="77777777" w:rsidTr="00D2110C">
        <w:tc>
          <w:tcPr>
            <w:tcW w:w="1948" w:type="dxa"/>
            <w:shd w:val="clear" w:color="auto" w:fill="auto"/>
          </w:tcPr>
          <w:p w14:paraId="70862CF2" w14:textId="77777777" w:rsidR="00371363" w:rsidRPr="008E1FA7" w:rsidRDefault="00371363" w:rsidP="00371363">
            <w:pPr>
              <w:keepNext/>
              <w:tabs>
                <w:tab w:val="left" w:pos="-720"/>
                <w:tab w:val="left" w:pos="0"/>
                <w:tab w:val="left" w:pos="720"/>
              </w:tabs>
              <w:suppressAutoHyphens/>
            </w:pPr>
            <w:r w:rsidRPr="008E1FA7">
              <w:t>Orale</w:t>
            </w:r>
          </w:p>
        </w:tc>
        <w:tc>
          <w:tcPr>
            <w:tcW w:w="1698" w:type="dxa"/>
            <w:shd w:val="clear" w:color="auto" w:fill="auto"/>
          </w:tcPr>
          <w:p w14:paraId="66772F2E" w14:textId="77777777" w:rsidR="00371363" w:rsidRPr="008E1FA7" w:rsidRDefault="00371363" w:rsidP="00371363">
            <w:pPr>
              <w:keepNext/>
              <w:tabs>
                <w:tab w:val="left" w:pos="-720"/>
                <w:tab w:val="left" w:pos="0"/>
                <w:tab w:val="left" w:pos="720"/>
              </w:tabs>
              <w:suppressAutoHyphens/>
            </w:pPr>
            <w:r w:rsidRPr="008E1FA7">
              <w:t>Rat</w:t>
            </w:r>
          </w:p>
        </w:tc>
        <w:tc>
          <w:tcPr>
            <w:tcW w:w="2830" w:type="dxa"/>
            <w:shd w:val="clear" w:color="auto" w:fill="auto"/>
          </w:tcPr>
          <w:p w14:paraId="0559EDE0" w14:textId="77777777" w:rsidR="00371363" w:rsidRPr="008E1FA7" w:rsidRDefault="00371363" w:rsidP="00371363">
            <w:pPr>
              <w:keepNext/>
              <w:tabs>
                <w:tab w:val="left" w:pos="-720"/>
                <w:tab w:val="left" w:pos="0"/>
                <w:tab w:val="left" w:pos="720"/>
              </w:tabs>
              <w:suppressAutoHyphens/>
            </w:pPr>
            <w:r w:rsidRPr="008E1FA7">
              <w:t xml:space="preserve">environ 250 </w:t>
            </w:r>
          </w:p>
        </w:tc>
        <w:tc>
          <w:tcPr>
            <w:tcW w:w="3010" w:type="dxa"/>
            <w:shd w:val="clear" w:color="auto" w:fill="auto"/>
          </w:tcPr>
          <w:p w14:paraId="66076F02" w14:textId="77777777" w:rsidR="00371363" w:rsidRPr="008E1FA7" w:rsidRDefault="00371363" w:rsidP="00371363">
            <w:pPr>
              <w:keepNext/>
              <w:tabs>
                <w:tab w:val="left" w:pos="-720"/>
                <w:tab w:val="left" w:pos="0"/>
                <w:tab w:val="left" w:pos="720"/>
              </w:tabs>
              <w:suppressAutoHyphens/>
            </w:pPr>
            <w:r w:rsidRPr="008E1FA7">
              <w:t xml:space="preserve">Modérément dangereux classe II </w:t>
            </w:r>
          </w:p>
        </w:tc>
      </w:tr>
      <w:tr w:rsidR="00371363" w:rsidRPr="008E1FA7" w14:paraId="329E35E8" w14:textId="77777777" w:rsidTr="00D2110C">
        <w:tc>
          <w:tcPr>
            <w:tcW w:w="1948" w:type="dxa"/>
            <w:shd w:val="clear" w:color="auto" w:fill="auto"/>
          </w:tcPr>
          <w:p w14:paraId="4E89E800" w14:textId="77777777" w:rsidR="00371363" w:rsidRPr="008E1FA7" w:rsidRDefault="00371363" w:rsidP="00371363">
            <w:pPr>
              <w:keepNext/>
              <w:tabs>
                <w:tab w:val="left" w:pos="-720"/>
                <w:tab w:val="left" w:pos="0"/>
                <w:tab w:val="left" w:pos="720"/>
              </w:tabs>
              <w:suppressAutoHyphens/>
            </w:pPr>
            <w:r w:rsidRPr="008E1FA7">
              <w:t>Cutanée</w:t>
            </w:r>
          </w:p>
        </w:tc>
        <w:tc>
          <w:tcPr>
            <w:tcW w:w="1698" w:type="dxa"/>
            <w:shd w:val="clear" w:color="auto" w:fill="auto"/>
          </w:tcPr>
          <w:p w14:paraId="1B961F4B" w14:textId="77777777" w:rsidR="00371363" w:rsidRPr="008E1FA7" w:rsidRDefault="00371363" w:rsidP="00371363">
            <w:pPr>
              <w:keepNext/>
              <w:tabs>
                <w:tab w:val="left" w:pos="-720"/>
                <w:tab w:val="left" w:pos="0"/>
                <w:tab w:val="left" w:pos="720"/>
              </w:tabs>
              <w:suppressAutoHyphens/>
            </w:pPr>
            <w:r w:rsidRPr="008E1FA7">
              <w:t>Rat</w:t>
            </w:r>
          </w:p>
        </w:tc>
        <w:tc>
          <w:tcPr>
            <w:tcW w:w="2830" w:type="dxa"/>
            <w:shd w:val="clear" w:color="auto" w:fill="auto"/>
          </w:tcPr>
          <w:p w14:paraId="693B4B2C" w14:textId="77777777" w:rsidR="00371363" w:rsidRPr="008E1FA7" w:rsidRDefault="00371363" w:rsidP="00371363">
            <w:pPr>
              <w:keepNext/>
              <w:tabs>
                <w:tab w:val="left" w:pos="-720"/>
                <w:tab w:val="left" w:pos="0"/>
                <w:tab w:val="left" w:pos="720"/>
              </w:tabs>
              <w:suppressAutoHyphens/>
            </w:pPr>
            <w:r w:rsidRPr="008E1FA7">
              <w:t>586</w:t>
            </w:r>
          </w:p>
        </w:tc>
        <w:tc>
          <w:tcPr>
            <w:tcW w:w="3010" w:type="dxa"/>
            <w:shd w:val="clear" w:color="auto" w:fill="auto"/>
          </w:tcPr>
          <w:p w14:paraId="22BFC967" w14:textId="77777777" w:rsidR="00371363" w:rsidRPr="008E1FA7" w:rsidRDefault="00371363" w:rsidP="00371363">
            <w:pPr>
              <w:keepNext/>
              <w:tabs>
                <w:tab w:val="left" w:pos="-720"/>
                <w:tab w:val="left" w:pos="0"/>
                <w:tab w:val="left" w:pos="720"/>
              </w:tabs>
              <w:suppressAutoHyphens/>
            </w:pPr>
            <w:r w:rsidRPr="008E1FA7">
              <w:t xml:space="preserve">Modérément dangereux classe II </w:t>
            </w:r>
          </w:p>
        </w:tc>
      </w:tr>
    </w:tbl>
    <w:p w14:paraId="7A86D5AD" w14:textId="77777777" w:rsidR="00371363" w:rsidRPr="008E1FA7" w:rsidRDefault="00371363" w:rsidP="00D2110C"/>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68EC80FD" w14:textId="77777777" w:rsidTr="00D2110C">
        <w:trPr>
          <w:jc w:val="right"/>
        </w:trPr>
        <w:tc>
          <w:tcPr>
            <w:tcW w:w="9498" w:type="dxa"/>
            <w:shd w:val="pct12" w:color="000000" w:fill="FFFFFF"/>
          </w:tcPr>
          <w:p w14:paraId="21C04A3B" w14:textId="77777777" w:rsidR="00371363" w:rsidRPr="008E1FA7" w:rsidRDefault="00371363" w:rsidP="00EA0EE3">
            <w:pPr>
              <w:pStyle w:val="CH3"/>
              <w:spacing w:before="120"/>
              <w:ind w:left="0" w:firstLine="0"/>
            </w:pPr>
            <w:r w:rsidRPr="008E1FA7">
              <w:rPr>
                <w:snapToGrid w:val="0"/>
              </w:rPr>
              <w:br w:type="page"/>
            </w:r>
            <w:r w:rsidRPr="008E1FA7">
              <w:t>7. Solutions de remplacement pour la gestion des ravageurs</w:t>
            </w:r>
          </w:p>
        </w:tc>
      </w:tr>
    </w:tbl>
    <w:p w14:paraId="541D55A8" w14:textId="77777777" w:rsidR="00371363" w:rsidRPr="008E1FA7" w:rsidRDefault="00371363" w:rsidP="00D2110C">
      <w:pPr>
        <w:pStyle w:val="Normal-pool"/>
        <w:spacing w:before="120" w:after="120"/>
        <w:rPr>
          <w:b/>
          <w:bCs/>
        </w:rPr>
      </w:pPr>
      <w:r w:rsidRPr="008E1FA7">
        <w:rPr>
          <w:b/>
          <w:bCs/>
        </w:rPr>
        <w:t>Généralités</w:t>
      </w:r>
    </w:p>
    <w:p w14:paraId="046BEF84" w14:textId="198BA6F3" w:rsidR="00371363" w:rsidRPr="008E1FA7" w:rsidRDefault="00371363" w:rsidP="00D2110C">
      <w:pPr>
        <w:pStyle w:val="Normal-pool"/>
        <w:spacing w:before="120" w:after="120"/>
      </w:pPr>
      <w:r w:rsidRPr="008E1FA7">
        <w:t>Il existe des solutions de remplacement, notamment non chimiques, selon les circonstances nationales et les</w:t>
      </w:r>
      <w:r w:rsidR="001503DA" w:rsidRPr="008E1FA7">
        <w:t> </w:t>
      </w:r>
      <w:r w:rsidRPr="008E1FA7">
        <w:t>conditions d</w:t>
      </w:r>
      <w:r w:rsidR="001503DA" w:rsidRPr="008E1FA7">
        <w:t>’</w:t>
      </w:r>
      <w:r w:rsidRPr="008E1FA7">
        <w:t>utilisation. Les pays devraient envisager de promouvoir, le cas échéant, la gestion intégrée des</w:t>
      </w:r>
      <w:r w:rsidR="001503DA" w:rsidRPr="008E1FA7">
        <w:t> </w:t>
      </w:r>
      <w:r w:rsidRPr="008E1FA7">
        <w:t>ravageurs comme moyen de réduire voire d</w:t>
      </w:r>
      <w:r w:rsidR="001503DA" w:rsidRPr="008E1FA7">
        <w:t>’</w:t>
      </w:r>
      <w:r w:rsidRPr="008E1FA7">
        <w:t>éliminer l</w:t>
      </w:r>
      <w:r w:rsidR="001503DA" w:rsidRPr="008E1FA7">
        <w:t>’</w:t>
      </w:r>
      <w:r w:rsidRPr="008E1FA7">
        <w:t xml:space="preserve">utilisation des pesticides dangereux. </w:t>
      </w:r>
    </w:p>
    <w:p w14:paraId="3BD05A7E" w14:textId="3B468074" w:rsidR="00371363" w:rsidRPr="008E1FA7" w:rsidRDefault="00371363" w:rsidP="00D2110C">
      <w:pPr>
        <w:pStyle w:val="Normal-pool"/>
        <w:spacing w:before="120" w:after="120"/>
      </w:pPr>
      <w:r w:rsidRPr="008E1FA7">
        <w:t>Des conseils peuvent être obtenus auprès des points focaux nationaux concernés par la gestion intégrée des ravageurs, la FAO et les centres de recherche</w:t>
      </w:r>
      <w:r w:rsidRPr="008E1FA7">
        <w:noBreakHyphen/>
        <w:t>développement agricoles. Des informations supplémentaires sur les solutions de remplacement de l</w:t>
      </w:r>
      <w:r w:rsidR="001503DA" w:rsidRPr="008E1FA7">
        <w:t>’</w:t>
      </w:r>
      <w:r w:rsidRPr="008E1FA7">
        <w:t xml:space="preserve">utilisation du fenthion 640 ULV sont disponibles sur le site de la Convention de Rotterdam, </w:t>
      </w:r>
      <w:hyperlink r:id="rId19" w:history="1">
        <w:r w:rsidRPr="008E1FA7">
          <w:t>www.pic.int</w:t>
        </w:r>
      </w:hyperlink>
      <w:r w:rsidRPr="008E1FA7">
        <w:t>.</w:t>
      </w:r>
    </w:p>
    <w:p w14:paraId="432C6ED0" w14:textId="2E7896A3" w:rsidR="00371363" w:rsidRPr="008E1FA7" w:rsidRDefault="00371363" w:rsidP="00D2110C">
      <w:pPr>
        <w:pStyle w:val="Normal-pool"/>
        <w:spacing w:before="120" w:after="120"/>
      </w:pPr>
      <w:r w:rsidRPr="008E1FA7">
        <w:t xml:space="preserve">Des informations en français sur les solutions de remplacement figurent dans le document </w:t>
      </w:r>
      <w:r w:rsidR="00E97DC0" w:rsidRPr="008E1FA7">
        <w:br/>
      </w:r>
      <w:r w:rsidRPr="008E1FA7">
        <w:t>UNEP-FAO-RC-CRC.9-4-Add.2, p. 159</w:t>
      </w:r>
      <w:r w:rsidR="00E97DC0" w:rsidRPr="008E1FA7">
        <w:t xml:space="preserve"> à </w:t>
      </w:r>
      <w:r w:rsidRPr="008E1FA7">
        <w:t>170 (</w:t>
      </w:r>
      <w:hyperlink r:id="rId20" w:history="1">
        <w:r w:rsidRPr="008E1FA7">
          <w:t>http://www.pic.int/TheConvention/ChemicalReviewCommittee/Meetingsanddocuments/CRC9/</w:t>
        </w:r>
      </w:hyperlink>
      <w:r w:rsidRPr="008E1FA7">
        <w:br/>
        <w:t>POPRC9Documents/</w:t>
      </w:r>
      <w:proofErr w:type="spellStart"/>
      <w:r w:rsidRPr="008E1FA7">
        <w:t>tabid</w:t>
      </w:r>
      <w:proofErr w:type="spellEnd"/>
      <w:r w:rsidRPr="008E1FA7">
        <w:t>/3291/</w:t>
      </w:r>
      <w:proofErr w:type="spellStart"/>
      <w:r w:rsidRPr="008E1FA7">
        <w:t>language</w:t>
      </w:r>
      <w:proofErr w:type="spellEnd"/>
      <w:r w:rsidRPr="008E1FA7">
        <w:t>/en-US/Default.aspx)</w:t>
      </w:r>
    </w:p>
    <w:p w14:paraId="1AA3EFA4" w14:textId="77777777" w:rsidR="00371363" w:rsidRPr="008E1FA7" w:rsidRDefault="00371363" w:rsidP="00D2110C">
      <w:pPr>
        <w:pStyle w:val="Normal-pool"/>
        <w:keepNext/>
        <w:spacing w:before="120" w:after="120"/>
        <w:rPr>
          <w:b/>
          <w:bCs/>
        </w:rPr>
      </w:pPr>
      <w:r w:rsidRPr="008E1FA7">
        <w:rPr>
          <w:b/>
          <w:bCs/>
        </w:rPr>
        <w:t>Tchad</w:t>
      </w:r>
    </w:p>
    <w:p w14:paraId="1E2D2465" w14:textId="4932E836" w:rsidR="00371363" w:rsidRPr="008E1FA7" w:rsidRDefault="00371363" w:rsidP="00D2110C">
      <w:pPr>
        <w:pStyle w:val="Normal-pool"/>
        <w:spacing w:before="120" w:after="120"/>
      </w:pPr>
      <w:r w:rsidRPr="008E1FA7">
        <w:t>Les solutions de remplacement suivantes, applicables aux oiseaux granivores, sont signalées : piégeage des oiseaux à l</w:t>
      </w:r>
      <w:r w:rsidR="001503DA" w:rsidRPr="008E1FA7">
        <w:t>’</w:t>
      </w:r>
      <w:r w:rsidRPr="008E1FA7">
        <w:t>aide de filets de capture japonais ou fabriqués localement, campagne d</w:t>
      </w:r>
      <w:r w:rsidR="001503DA" w:rsidRPr="008E1FA7">
        <w:t>’</w:t>
      </w:r>
      <w:r w:rsidRPr="008E1FA7">
        <w:t>enlèvement des nids, protection des cultures à l</w:t>
      </w:r>
      <w:r w:rsidR="001503DA" w:rsidRPr="008E1FA7">
        <w:t>’</w:t>
      </w:r>
      <w:r w:rsidRPr="008E1FA7">
        <w:t>aide de filets, surveillance des cultures et/ou dispositifs pour effrayer les oiseaux et les tenir éloignés des cultures.</w:t>
      </w:r>
    </w:p>
    <w:p w14:paraId="44DA0AE9" w14:textId="77777777" w:rsidR="00371363" w:rsidRPr="008E1FA7" w:rsidRDefault="00371363" w:rsidP="00371363">
      <w:pPr>
        <w:tabs>
          <w:tab w:val="left" w:pos="-720"/>
          <w:tab w:val="left" w:pos="0"/>
          <w:tab w:val="left" w:pos="720"/>
        </w:tabs>
        <w:suppressAutoHyphens/>
        <w:spacing w:after="240"/>
        <w:rPr>
          <w:sz w:val="4"/>
          <w:szCs w:val="4"/>
        </w:rPr>
      </w:pPr>
      <w:r w:rsidRPr="008E1FA7">
        <w:rPr>
          <w:sz w:val="10"/>
          <w:szCs w:val="10"/>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1216E9DC" w14:textId="77777777" w:rsidTr="00D2110C">
        <w:trPr>
          <w:jc w:val="right"/>
        </w:trPr>
        <w:tc>
          <w:tcPr>
            <w:tcW w:w="9426" w:type="dxa"/>
            <w:shd w:val="pct12" w:color="000000" w:fill="FFFFFF"/>
          </w:tcPr>
          <w:p w14:paraId="7BE16CC6" w14:textId="77777777" w:rsidR="00371363" w:rsidRPr="008E1FA7" w:rsidRDefault="00371363" w:rsidP="00371363">
            <w:pPr>
              <w:keepNext/>
              <w:spacing w:before="40" w:after="60"/>
              <w:outlineLvl w:val="0"/>
              <w:rPr>
                <w:b/>
                <w:bCs/>
                <w:kern w:val="28"/>
                <w:szCs w:val="24"/>
              </w:rPr>
            </w:pPr>
            <w:r w:rsidRPr="008E1FA7">
              <w:rPr>
                <w:b/>
                <w:bCs/>
                <w:snapToGrid w:val="0"/>
                <w:kern w:val="28"/>
                <w:szCs w:val="24"/>
              </w:rPr>
              <w:br w:type="page"/>
            </w:r>
            <w:r w:rsidRPr="008E1FA7">
              <w:rPr>
                <w:b/>
                <w:bCs/>
                <w:kern w:val="28"/>
                <w:szCs w:val="24"/>
              </w:rPr>
              <w:t>Annexes</w:t>
            </w:r>
          </w:p>
        </w:tc>
      </w:tr>
    </w:tbl>
    <w:p w14:paraId="14164F34" w14:textId="77777777" w:rsidR="00371363" w:rsidRPr="008E1FA7" w:rsidRDefault="00371363" w:rsidP="00371363">
      <w:pPr>
        <w:tabs>
          <w:tab w:val="left" w:pos="-720"/>
          <w:tab w:val="left" w:pos="0"/>
          <w:tab w:val="left" w:pos="720"/>
        </w:tabs>
        <w:suppressAutoHyphens/>
        <w:rPr>
          <w:sz w:val="10"/>
          <w:szCs w:val="10"/>
        </w:rPr>
      </w:pPr>
    </w:p>
    <w:tbl>
      <w:tblPr>
        <w:tblW w:w="5000" w:type="pct"/>
        <w:jc w:val="right"/>
        <w:tblLayout w:type="fixed"/>
        <w:tblLook w:val="0000" w:firstRow="0" w:lastRow="0" w:firstColumn="0" w:lastColumn="0" w:noHBand="0" w:noVBand="0"/>
      </w:tblPr>
      <w:tblGrid>
        <w:gridCol w:w="1179"/>
        <w:gridCol w:w="8317"/>
      </w:tblGrid>
      <w:tr w:rsidR="00371363" w:rsidRPr="008E1FA7" w14:paraId="00B97A5A" w14:textId="77777777" w:rsidTr="00D2110C">
        <w:trPr>
          <w:cantSplit/>
          <w:jc w:val="right"/>
        </w:trPr>
        <w:tc>
          <w:tcPr>
            <w:tcW w:w="1170" w:type="dxa"/>
            <w:shd w:val="clear" w:color="auto" w:fill="auto"/>
          </w:tcPr>
          <w:p w14:paraId="36E92CCC" w14:textId="77777777" w:rsidR="00371363" w:rsidRPr="008E1FA7" w:rsidRDefault="00371363" w:rsidP="00371363">
            <w:pPr>
              <w:spacing w:before="60" w:after="40"/>
            </w:pPr>
            <w:r w:rsidRPr="008E1FA7">
              <w:t>Annexe I</w:t>
            </w:r>
          </w:p>
        </w:tc>
        <w:tc>
          <w:tcPr>
            <w:tcW w:w="8256" w:type="dxa"/>
            <w:shd w:val="clear" w:color="auto" w:fill="auto"/>
          </w:tcPr>
          <w:p w14:paraId="2A685CB6" w14:textId="3B7261A7" w:rsidR="00371363" w:rsidRPr="008E1FA7" w:rsidRDefault="00371363" w:rsidP="00371363">
            <w:pPr>
              <w:spacing w:before="60" w:after="40"/>
              <w:rPr>
                <w:b/>
              </w:rPr>
            </w:pPr>
            <w:r w:rsidRPr="008E1FA7">
              <w:rPr>
                <w:b/>
              </w:rPr>
              <w:t>Justification de la recommandation du Comité d</w:t>
            </w:r>
            <w:r w:rsidR="001503DA" w:rsidRPr="008E1FA7">
              <w:rPr>
                <w:b/>
              </w:rPr>
              <w:t>’</w:t>
            </w:r>
            <w:r w:rsidRPr="008E1FA7">
              <w:rPr>
                <w:b/>
              </w:rPr>
              <w:t>étude des produits chimiques tendant à</w:t>
            </w:r>
            <w:r w:rsidR="00E97DC0" w:rsidRPr="008E1FA7">
              <w:rPr>
                <w:b/>
              </w:rPr>
              <w:t> </w:t>
            </w:r>
            <w:r w:rsidRPr="008E1FA7">
              <w:rPr>
                <w:b/>
              </w:rPr>
              <w:t>soumettre la formulation pesticide extrêmement dangereuse à la procédure PIC</w:t>
            </w:r>
          </w:p>
        </w:tc>
      </w:tr>
      <w:tr w:rsidR="00371363" w:rsidRPr="008E1FA7" w14:paraId="1F05CB34" w14:textId="77777777" w:rsidTr="00D2110C">
        <w:trPr>
          <w:cantSplit/>
          <w:jc w:val="right"/>
        </w:trPr>
        <w:tc>
          <w:tcPr>
            <w:tcW w:w="1170" w:type="dxa"/>
            <w:shd w:val="clear" w:color="auto" w:fill="auto"/>
          </w:tcPr>
          <w:p w14:paraId="66978611" w14:textId="77777777" w:rsidR="00371363" w:rsidRPr="008E1FA7" w:rsidRDefault="00371363" w:rsidP="00371363">
            <w:pPr>
              <w:spacing w:before="60" w:after="40"/>
            </w:pPr>
            <w:r w:rsidRPr="008E1FA7">
              <w:t>Annexe II</w:t>
            </w:r>
          </w:p>
        </w:tc>
        <w:tc>
          <w:tcPr>
            <w:tcW w:w="8256" w:type="dxa"/>
            <w:shd w:val="clear" w:color="auto" w:fill="auto"/>
          </w:tcPr>
          <w:p w14:paraId="5DFF1CEE" w14:textId="5BB5985E" w:rsidR="00371363" w:rsidRPr="008E1FA7" w:rsidRDefault="00371363" w:rsidP="00371363">
            <w:pPr>
              <w:spacing w:before="60" w:after="40"/>
              <w:rPr>
                <w:b/>
              </w:rPr>
            </w:pPr>
            <w:r w:rsidRPr="008E1FA7">
              <w:rPr>
                <w:b/>
              </w:rPr>
              <w:t>Informations sur l</w:t>
            </w:r>
            <w:r w:rsidR="001503DA" w:rsidRPr="008E1FA7">
              <w:rPr>
                <w:b/>
              </w:rPr>
              <w:t>’</w:t>
            </w:r>
            <w:r w:rsidRPr="008E1FA7">
              <w:rPr>
                <w:b/>
              </w:rPr>
              <w:t>incident signalé, tirées du rapport d</w:t>
            </w:r>
            <w:r w:rsidR="001503DA" w:rsidRPr="008E1FA7">
              <w:rPr>
                <w:b/>
              </w:rPr>
              <w:t>’</w:t>
            </w:r>
            <w:r w:rsidRPr="008E1FA7">
              <w:rPr>
                <w:b/>
              </w:rPr>
              <w:t>incident</w:t>
            </w:r>
          </w:p>
        </w:tc>
      </w:tr>
      <w:tr w:rsidR="00371363" w:rsidRPr="008E1FA7" w14:paraId="6E814DE5" w14:textId="77777777" w:rsidTr="00D2110C">
        <w:trPr>
          <w:cantSplit/>
          <w:jc w:val="right"/>
        </w:trPr>
        <w:tc>
          <w:tcPr>
            <w:tcW w:w="1170" w:type="dxa"/>
            <w:shd w:val="clear" w:color="auto" w:fill="auto"/>
          </w:tcPr>
          <w:p w14:paraId="3C513D38" w14:textId="77777777" w:rsidR="00371363" w:rsidRPr="008E1FA7" w:rsidRDefault="00371363" w:rsidP="00371363">
            <w:pPr>
              <w:spacing w:before="60" w:after="40"/>
            </w:pPr>
            <w:r w:rsidRPr="008E1FA7">
              <w:t>Annexe III</w:t>
            </w:r>
          </w:p>
        </w:tc>
        <w:tc>
          <w:tcPr>
            <w:tcW w:w="8256" w:type="dxa"/>
            <w:shd w:val="clear" w:color="auto" w:fill="auto"/>
          </w:tcPr>
          <w:p w14:paraId="13A65115" w14:textId="77777777" w:rsidR="00371363" w:rsidRPr="008E1FA7" w:rsidRDefault="00371363" w:rsidP="00371363">
            <w:pPr>
              <w:spacing w:before="60" w:after="40"/>
              <w:rPr>
                <w:b/>
              </w:rPr>
            </w:pPr>
            <w:r w:rsidRPr="008E1FA7">
              <w:rPr>
                <w:b/>
              </w:rPr>
              <w:t>Fiche de sécurité chimique sur le principe actif du pesticide</w:t>
            </w:r>
          </w:p>
        </w:tc>
      </w:tr>
      <w:tr w:rsidR="00371363" w:rsidRPr="008E1FA7" w14:paraId="60C00708" w14:textId="77777777" w:rsidTr="00D2110C">
        <w:trPr>
          <w:cantSplit/>
          <w:jc w:val="right"/>
        </w:trPr>
        <w:tc>
          <w:tcPr>
            <w:tcW w:w="1170" w:type="dxa"/>
            <w:shd w:val="clear" w:color="auto" w:fill="auto"/>
          </w:tcPr>
          <w:p w14:paraId="71963E07" w14:textId="77777777" w:rsidR="00371363" w:rsidRPr="008E1FA7" w:rsidRDefault="00371363" w:rsidP="00371363">
            <w:pPr>
              <w:spacing w:before="60" w:after="40"/>
            </w:pPr>
            <w:r w:rsidRPr="008E1FA7">
              <w:t>Annexe IV</w:t>
            </w:r>
          </w:p>
        </w:tc>
        <w:tc>
          <w:tcPr>
            <w:tcW w:w="8256" w:type="dxa"/>
            <w:shd w:val="clear" w:color="auto" w:fill="auto"/>
          </w:tcPr>
          <w:p w14:paraId="2BD68BDA" w14:textId="6E2AE79D" w:rsidR="00371363" w:rsidRPr="008E1FA7" w:rsidRDefault="00371363" w:rsidP="00371363">
            <w:pPr>
              <w:spacing w:before="60" w:after="40"/>
              <w:rPr>
                <w:b/>
                <w:bCs/>
              </w:rPr>
            </w:pPr>
            <w:r w:rsidRPr="008E1FA7">
              <w:rPr>
                <w:b/>
                <w:bCs/>
              </w:rPr>
              <w:t>Complément d</w:t>
            </w:r>
            <w:r w:rsidR="001503DA" w:rsidRPr="008E1FA7">
              <w:rPr>
                <w:b/>
                <w:bCs/>
              </w:rPr>
              <w:t>’</w:t>
            </w:r>
            <w:r w:rsidRPr="008E1FA7">
              <w:rPr>
                <w:b/>
                <w:bCs/>
              </w:rPr>
              <w:t>information sur le principe actif du pesticide</w:t>
            </w:r>
          </w:p>
        </w:tc>
      </w:tr>
      <w:tr w:rsidR="00371363" w:rsidRPr="008E1FA7" w14:paraId="006BDFE4" w14:textId="77777777" w:rsidTr="00D2110C">
        <w:trPr>
          <w:cantSplit/>
          <w:jc w:val="right"/>
        </w:trPr>
        <w:tc>
          <w:tcPr>
            <w:tcW w:w="1170" w:type="dxa"/>
            <w:shd w:val="clear" w:color="auto" w:fill="auto"/>
          </w:tcPr>
          <w:p w14:paraId="41DA99C5" w14:textId="77777777" w:rsidR="00371363" w:rsidRPr="008E1FA7" w:rsidRDefault="00371363" w:rsidP="00371363">
            <w:pPr>
              <w:spacing w:before="60" w:after="40"/>
            </w:pPr>
            <w:r w:rsidRPr="008E1FA7">
              <w:t>Annexe V</w:t>
            </w:r>
          </w:p>
        </w:tc>
        <w:tc>
          <w:tcPr>
            <w:tcW w:w="8256" w:type="dxa"/>
            <w:shd w:val="clear" w:color="auto" w:fill="auto"/>
          </w:tcPr>
          <w:p w14:paraId="7A49E890" w14:textId="77777777" w:rsidR="00371363" w:rsidRPr="008E1FA7" w:rsidRDefault="00371363" w:rsidP="00371363">
            <w:pPr>
              <w:spacing w:before="60" w:after="40"/>
              <w:rPr>
                <w:b/>
                <w:bCs/>
              </w:rPr>
            </w:pPr>
            <w:r w:rsidRPr="008E1FA7">
              <w:rPr>
                <w:b/>
                <w:bCs/>
              </w:rPr>
              <w:t>Références</w:t>
            </w:r>
          </w:p>
        </w:tc>
      </w:tr>
    </w:tbl>
    <w:p w14:paraId="4578DFCE" w14:textId="77777777" w:rsidR="00371363" w:rsidRPr="008E1FA7" w:rsidRDefault="00371363" w:rsidP="00371363">
      <w:pPr>
        <w:tabs>
          <w:tab w:val="left" w:pos="-720"/>
          <w:tab w:val="left" w:pos="0"/>
          <w:tab w:val="left" w:pos="720"/>
        </w:tabs>
        <w:suppressAutoHyphens/>
        <w:rPr>
          <w:sz w:val="10"/>
          <w:szCs w:val="10"/>
        </w:rPr>
      </w:pPr>
    </w:p>
    <w:p w14:paraId="492EC198" w14:textId="77777777" w:rsidR="00371363" w:rsidRPr="008E1FA7" w:rsidRDefault="00371363" w:rsidP="00371363">
      <w:pPr>
        <w:tabs>
          <w:tab w:val="left" w:pos="-720"/>
          <w:tab w:val="left" w:pos="0"/>
          <w:tab w:val="left" w:pos="720"/>
        </w:tabs>
        <w:suppressAutoHyphens/>
        <w:rPr>
          <w:sz w:val="10"/>
          <w:szCs w:val="10"/>
        </w:rPr>
      </w:pPr>
      <w:r w:rsidRPr="008E1FA7">
        <w:rPr>
          <w:sz w:val="10"/>
          <w:szCs w:val="10"/>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3C9A1A48" w14:textId="77777777" w:rsidTr="00D2110C">
        <w:trPr>
          <w:jc w:val="right"/>
        </w:trPr>
        <w:tc>
          <w:tcPr>
            <w:tcW w:w="9498" w:type="dxa"/>
            <w:shd w:val="pct12" w:color="000000" w:fill="FFFFFF"/>
          </w:tcPr>
          <w:p w14:paraId="21C5CEC5" w14:textId="67BF29FE" w:rsidR="00371363" w:rsidRPr="008E1FA7" w:rsidRDefault="00371363" w:rsidP="00513F56">
            <w:pPr>
              <w:pStyle w:val="CH2"/>
              <w:rPr>
                <w:bCs/>
                <w:kern w:val="28"/>
              </w:rPr>
            </w:pPr>
            <w:r w:rsidRPr="008E1FA7">
              <w:rPr>
                <w:bCs/>
                <w:kern w:val="28"/>
              </w:rPr>
              <w:t>Annexe I</w:t>
            </w:r>
            <w:r w:rsidRPr="008E1FA7">
              <w:rPr>
                <w:bCs/>
                <w:kern w:val="28"/>
              </w:rPr>
              <w:tab/>
            </w:r>
            <w:r w:rsidRPr="008E1FA7">
              <w:t>Justification de la recommandation du Comité d</w:t>
            </w:r>
            <w:r w:rsidR="001503DA" w:rsidRPr="008E1FA7">
              <w:t>’</w:t>
            </w:r>
            <w:r w:rsidRPr="008E1FA7">
              <w:t>étude des</w:t>
            </w:r>
            <w:r w:rsidR="004B4CEF" w:rsidRPr="008E1FA7">
              <w:t> </w:t>
            </w:r>
            <w:r w:rsidRPr="008E1FA7">
              <w:t>produits chimiques tendant à soumettre la formulation pesticide extrêmement dangereuse à la procédure PIC</w:t>
            </w:r>
          </w:p>
        </w:tc>
      </w:tr>
    </w:tbl>
    <w:p w14:paraId="7EEF1744" w14:textId="40551858" w:rsidR="00371363" w:rsidRPr="008E1FA7" w:rsidRDefault="00371363" w:rsidP="005B7AE2">
      <w:pPr>
        <w:pStyle w:val="CH3"/>
        <w:tabs>
          <w:tab w:val="clear" w:pos="1247"/>
        </w:tabs>
        <w:spacing w:before="120"/>
        <w:ind w:left="0" w:firstLine="0"/>
      </w:pPr>
      <w:r w:rsidRPr="008E1FA7">
        <w:t>Justification de la conclusion du Comité d</w:t>
      </w:r>
      <w:r w:rsidR="001503DA" w:rsidRPr="008E1FA7">
        <w:t>’</w:t>
      </w:r>
      <w:r w:rsidRPr="008E1FA7">
        <w:t>étude des produits chimiques que la proposition présentée par</w:t>
      </w:r>
      <w:r w:rsidR="005B7AE2" w:rsidRPr="008E1FA7">
        <w:t> </w:t>
      </w:r>
      <w:r w:rsidRPr="008E1FA7">
        <w:t>le</w:t>
      </w:r>
      <w:r w:rsidR="005B7AE2" w:rsidRPr="008E1FA7">
        <w:t> </w:t>
      </w:r>
      <w:r w:rsidRPr="008E1FA7">
        <w:t>Tchad d</w:t>
      </w:r>
      <w:r w:rsidR="001503DA" w:rsidRPr="008E1FA7">
        <w:t>’</w:t>
      </w:r>
      <w:r w:rsidRPr="008E1FA7">
        <w:t>inscrire le fenthion 640 ULV à l</w:t>
      </w:r>
      <w:r w:rsidR="001503DA" w:rsidRPr="008E1FA7">
        <w:t>’</w:t>
      </w:r>
      <w:r w:rsidRPr="008E1FA7">
        <w:t>Annexe III de la Convention de Rotterdam dans la catégorie des préparations pesticides extrêmement dangereuses satisfait aux critères énoncés dans la troisième partie de l</w:t>
      </w:r>
      <w:r w:rsidR="001503DA" w:rsidRPr="008E1FA7">
        <w:t>’</w:t>
      </w:r>
      <w:r w:rsidRPr="008E1FA7">
        <w:t xml:space="preserve">Annexe IV de la Convention </w:t>
      </w:r>
    </w:p>
    <w:p w14:paraId="355C871C" w14:textId="0F7FC095" w:rsidR="00371363" w:rsidRPr="008E1FA7" w:rsidRDefault="00371363" w:rsidP="00D2110C">
      <w:pPr>
        <w:pStyle w:val="Normal-pool"/>
        <w:tabs>
          <w:tab w:val="left" w:pos="709"/>
        </w:tabs>
        <w:spacing w:before="120" w:after="120"/>
        <w:rPr>
          <w:b/>
        </w:rPr>
      </w:pPr>
      <w:r w:rsidRPr="008E1FA7">
        <w:rPr>
          <w:b/>
        </w:rPr>
        <w:t>1.</w:t>
      </w:r>
      <w:r w:rsidR="00D2110C" w:rsidRPr="008E1FA7">
        <w:rPr>
          <w:b/>
        </w:rPr>
        <w:tab/>
      </w:r>
      <w:r w:rsidRPr="008E1FA7">
        <w:rPr>
          <w:b/>
        </w:rPr>
        <w:t>Portée de la proposition</w:t>
      </w:r>
    </w:p>
    <w:p w14:paraId="39B81D4E" w14:textId="4151D82A" w:rsidR="00371363" w:rsidRPr="008E1FA7" w:rsidRDefault="00371363" w:rsidP="00D2110C">
      <w:pPr>
        <w:pStyle w:val="Normal-pool"/>
        <w:spacing w:before="120" w:after="120"/>
      </w:pPr>
      <w:r w:rsidRPr="008E1FA7">
        <w:t>La proposition présentée par le Tchad portait sur la préparation fenthion 640 ULV (concentration de fenthion égale à 640 g/l). Il s</w:t>
      </w:r>
      <w:r w:rsidR="001503DA" w:rsidRPr="008E1FA7">
        <w:t>’</w:t>
      </w:r>
      <w:r w:rsidRPr="008E1FA7">
        <w:t>agit d</w:t>
      </w:r>
      <w:r w:rsidR="001503DA" w:rsidRPr="008E1FA7">
        <w:t>’</w:t>
      </w:r>
      <w:r w:rsidRPr="008E1FA7">
        <w:t>une préparation à ultra bas volume.</w:t>
      </w:r>
    </w:p>
    <w:p w14:paraId="674914E5" w14:textId="06B181CD" w:rsidR="00371363" w:rsidRPr="008E1FA7" w:rsidRDefault="00371363" w:rsidP="00D2110C">
      <w:pPr>
        <w:pStyle w:val="Normal-pool"/>
        <w:spacing w:before="120" w:after="120"/>
      </w:pPr>
      <w:r w:rsidRPr="008E1FA7">
        <w:t>La proposition et la documentation à l</w:t>
      </w:r>
      <w:r w:rsidR="001503DA" w:rsidRPr="008E1FA7">
        <w:t>’</w:t>
      </w:r>
      <w:r w:rsidRPr="008E1FA7">
        <w:t>appui ont été soumises au Comité d</w:t>
      </w:r>
      <w:r w:rsidR="001503DA" w:rsidRPr="008E1FA7">
        <w:t>’</w:t>
      </w:r>
      <w:r w:rsidRPr="008E1FA7">
        <w:t>étude des produits chimiques, pour examen, dans les documents</w:t>
      </w:r>
      <w:r w:rsidR="00D52BD2" w:rsidRPr="008E1FA7">
        <w:t> </w:t>
      </w:r>
      <w:r w:rsidRPr="008E1FA7">
        <w:t xml:space="preserve">UNEP/FAO/RC/CRC.9/4 et </w:t>
      </w:r>
      <w:proofErr w:type="spellStart"/>
      <w:r w:rsidRPr="008E1FA7">
        <w:t>Add</w:t>
      </w:r>
      <w:proofErr w:type="spellEnd"/>
      <w:r w:rsidRPr="008E1FA7">
        <w:t>. 1 et 2.</w:t>
      </w:r>
    </w:p>
    <w:p w14:paraId="79B3940B" w14:textId="279BA571" w:rsidR="00371363" w:rsidRPr="008E1FA7" w:rsidRDefault="00371363" w:rsidP="00D2110C">
      <w:pPr>
        <w:pStyle w:val="Normal-pool"/>
        <w:spacing w:before="120" w:after="120"/>
        <w:rPr>
          <w:color w:val="000000"/>
        </w:rPr>
      </w:pPr>
      <w:r w:rsidRPr="008E1FA7">
        <w:t>Le fenthion 640 ULV était utilisé comme avicide contre des oiseaux granivores (</w:t>
      </w:r>
      <w:r w:rsidRPr="008E1FA7">
        <w:rPr>
          <w:i/>
        </w:rPr>
        <w:t xml:space="preserve">Quelea </w:t>
      </w:r>
      <w:proofErr w:type="spellStart"/>
      <w:r w:rsidRPr="008E1FA7">
        <w:rPr>
          <w:i/>
        </w:rPr>
        <w:t>quelea</w:t>
      </w:r>
      <w:proofErr w:type="spellEnd"/>
      <w:r w:rsidRPr="008E1FA7">
        <w:t>) pour réduire les</w:t>
      </w:r>
      <w:r w:rsidR="001503DA" w:rsidRPr="008E1FA7">
        <w:t> </w:t>
      </w:r>
      <w:r w:rsidRPr="008E1FA7">
        <w:t>dégâts causés aux cultures céréalières. Le produit était appliqué au moyen de pulvérisateurs à dos motorisés à des</w:t>
      </w:r>
      <w:r w:rsidR="001503DA" w:rsidRPr="008E1FA7">
        <w:t> </w:t>
      </w:r>
      <w:r w:rsidRPr="008E1FA7">
        <w:t>doses comprises entre 1,8 et 3 l/ha en 2009, 2011 et 2012.</w:t>
      </w:r>
    </w:p>
    <w:p w14:paraId="794357B0" w14:textId="69A660A8" w:rsidR="00371363" w:rsidRPr="008E1FA7" w:rsidRDefault="00371363" w:rsidP="00D2110C">
      <w:pPr>
        <w:pStyle w:val="Normal-pool"/>
        <w:spacing w:before="120" w:after="120"/>
      </w:pPr>
      <w:r w:rsidRPr="008E1FA7">
        <w:t>La préparation est homologuée pour des utilisations dans le cadre de la lutte anti</w:t>
      </w:r>
      <w:r w:rsidRPr="008E1FA7">
        <w:noBreakHyphen/>
        <w:t>aviaire. La DPVC est la seule autorisée à s</w:t>
      </w:r>
      <w:r w:rsidR="001503DA" w:rsidRPr="008E1FA7">
        <w:t>’</w:t>
      </w:r>
      <w:r w:rsidRPr="008E1FA7">
        <w:t>en servir.</w:t>
      </w:r>
    </w:p>
    <w:p w14:paraId="2787F825" w14:textId="41AEB04B" w:rsidR="00371363" w:rsidRPr="008E1FA7" w:rsidRDefault="00371363" w:rsidP="00D2110C">
      <w:pPr>
        <w:pStyle w:val="Normal-pool"/>
        <w:spacing w:before="120" w:after="120"/>
        <w:rPr>
          <w:color w:val="000000"/>
        </w:rPr>
      </w:pPr>
      <w:r w:rsidRPr="008E1FA7">
        <w:rPr>
          <w:color w:val="000000"/>
        </w:rPr>
        <w:t xml:space="preserve">Après une première intervention sur ordre du Gouvernement effectuée en 2009 par sept équipes, le Ministère de </w:t>
      </w:r>
      <w:r w:rsidRPr="008E1FA7">
        <w:t>l</w:t>
      </w:r>
      <w:r w:rsidR="001503DA" w:rsidRPr="008E1FA7">
        <w:t>’</w:t>
      </w:r>
      <w:r w:rsidR="00A30A8D" w:rsidRPr="008E1FA7">
        <w:t>a</w:t>
      </w:r>
      <w:r w:rsidRPr="008E1FA7">
        <w:t>griculture</w:t>
      </w:r>
      <w:r w:rsidRPr="008E1FA7">
        <w:rPr>
          <w:color w:val="000000"/>
        </w:rPr>
        <w:t xml:space="preserve"> et de l</w:t>
      </w:r>
      <w:r w:rsidR="001503DA" w:rsidRPr="008E1FA7">
        <w:rPr>
          <w:color w:val="000000"/>
        </w:rPr>
        <w:t>’</w:t>
      </w:r>
      <w:r w:rsidRPr="008E1FA7">
        <w:rPr>
          <w:color w:val="000000"/>
        </w:rPr>
        <w:t>irrigation a organisé en 2011 et 2012 des missions faisant appel à quatre équipes de la DPVC, dont trois chargées du repérage et de la lutte et la quatrième des fournitures et de la surveillance.</w:t>
      </w:r>
    </w:p>
    <w:p w14:paraId="26476B00" w14:textId="7813FAE4" w:rsidR="00371363" w:rsidRPr="008E1FA7" w:rsidRDefault="00371363" w:rsidP="00D2110C">
      <w:pPr>
        <w:pStyle w:val="Normal-pool"/>
        <w:spacing w:before="120" w:after="120"/>
        <w:rPr>
          <w:color w:val="000000"/>
        </w:rPr>
      </w:pPr>
      <w:r w:rsidRPr="008E1FA7">
        <w:rPr>
          <w:color w:val="000000"/>
        </w:rPr>
        <w:t>Un incident est rapporté en détail. Au cours d</w:t>
      </w:r>
      <w:r w:rsidR="001503DA" w:rsidRPr="008E1FA7">
        <w:rPr>
          <w:color w:val="000000"/>
        </w:rPr>
        <w:t>’</w:t>
      </w:r>
      <w:r w:rsidRPr="008E1FA7">
        <w:rPr>
          <w:color w:val="000000"/>
        </w:rPr>
        <w:t>une mission de lutte anti</w:t>
      </w:r>
      <w:r w:rsidRPr="008E1FA7">
        <w:rPr>
          <w:color w:val="000000"/>
        </w:rPr>
        <w:noBreakHyphen/>
        <w:t>aviaire, un technicien âgé de 60 ans ayant, de longue date, des antécédents d</w:t>
      </w:r>
      <w:r w:rsidR="001503DA" w:rsidRPr="008E1FA7">
        <w:rPr>
          <w:color w:val="000000"/>
        </w:rPr>
        <w:t>’</w:t>
      </w:r>
      <w:r w:rsidRPr="008E1FA7">
        <w:rPr>
          <w:color w:val="000000"/>
        </w:rPr>
        <w:t xml:space="preserve">hypertension </w:t>
      </w:r>
      <w:r w:rsidRPr="008E1FA7">
        <w:t>(il souffrait d</w:t>
      </w:r>
      <w:r w:rsidR="001503DA" w:rsidRPr="008E1FA7">
        <w:t>’</w:t>
      </w:r>
      <w:r w:rsidRPr="008E1FA7">
        <w:t>hypertension mais n</w:t>
      </w:r>
      <w:r w:rsidR="001503DA" w:rsidRPr="008E1FA7">
        <w:t>’</w:t>
      </w:r>
      <w:r w:rsidRPr="008E1FA7">
        <w:t>en avait pas fait part à la DPVC avant le début de la mission)</w:t>
      </w:r>
      <w:r w:rsidRPr="008E1FA7">
        <w:rPr>
          <w:color w:val="000000"/>
        </w:rPr>
        <w:t xml:space="preserve"> a été intoxiqué sur un site de perchage situé à 200 km de N</w:t>
      </w:r>
      <w:r w:rsidR="001503DA" w:rsidRPr="008E1FA7">
        <w:rPr>
          <w:color w:val="000000"/>
        </w:rPr>
        <w:t>’</w:t>
      </w:r>
      <w:r w:rsidRPr="008E1FA7">
        <w:rPr>
          <w:color w:val="000000"/>
        </w:rPr>
        <w:t>Djamena (</w:t>
      </w:r>
      <w:proofErr w:type="spellStart"/>
      <w:r w:rsidRPr="008E1FA7">
        <w:rPr>
          <w:color w:val="000000"/>
        </w:rPr>
        <w:t>Bokoro</w:t>
      </w:r>
      <w:proofErr w:type="spellEnd"/>
      <w:r w:rsidRPr="008E1FA7">
        <w:rPr>
          <w:color w:val="000000"/>
        </w:rPr>
        <w:t>) le 17 juin 2011. Le technicien avait participé au remplissage du pulvérisateur ainsi qu</w:t>
      </w:r>
      <w:r w:rsidR="001503DA" w:rsidRPr="008E1FA7">
        <w:rPr>
          <w:color w:val="000000"/>
        </w:rPr>
        <w:t>’</w:t>
      </w:r>
      <w:r w:rsidRPr="008E1FA7">
        <w:rPr>
          <w:color w:val="000000"/>
        </w:rPr>
        <w:t>à l</w:t>
      </w:r>
      <w:r w:rsidR="001503DA" w:rsidRPr="008E1FA7">
        <w:rPr>
          <w:color w:val="000000"/>
        </w:rPr>
        <w:t>’</w:t>
      </w:r>
      <w:r w:rsidRPr="008E1FA7">
        <w:rPr>
          <w:color w:val="000000"/>
        </w:rPr>
        <w:t>application du pesticide</w:t>
      </w:r>
      <w:r w:rsidRPr="008E1FA7">
        <w:t>, revêtu d</w:t>
      </w:r>
      <w:r w:rsidR="001503DA" w:rsidRPr="008E1FA7">
        <w:t>’</w:t>
      </w:r>
      <w:r w:rsidRPr="008E1FA7">
        <w:t xml:space="preserve">équipements de protection comprenant un chapeau, des lunettes, un masque, une combinaison en coton, des gants et des bottes sous un pantalon. </w:t>
      </w:r>
      <w:r w:rsidRPr="008E1FA7">
        <w:rPr>
          <w:color w:val="000000"/>
        </w:rPr>
        <w:t>Les effets avaient été observés une heure après l</w:t>
      </w:r>
      <w:r w:rsidR="001503DA" w:rsidRPr="008E1FA7">
        <w:rPr>
          <w:color w:val="000000"/>
        </w:rPr>
        <w:t>’</w:t>
      </w:r>
      <w:r w:rsidRPr="008E1FA7">
        <w:rPr>
          <w:color w:val="000000"/>
        </w:rPr>
        <w:t>application. Le sujet intoxiqué présentait les symptômes suivants : vomissements, hypersalivation et titubation. Il avait été immédiatement conduit à l</w:t>
      </w:r>
      <w:r w:rsidR="001503DA" w:rsidRPr="008E1FA7">
        <w:rPr>
          <w:color w:val="000000"/>
        </w:rPr>
        <w:t>’</w:t>
      </w:r>
      <w:r w:rsidRPr="008E1FA7">
        <w:rPr>
          <w:color w:val="000000"/>
        </w:rPr>
        <w:t xml:space="preserve">hôpital de </w:t>
      </w:r>
      <w:proofErr w:type="spellStart"/>
      <w:r w:rsidRPr="008E1FA7">
        <w:rPr>
          <w:color w:val="000000"/>
        </w:rPr>
        <w:t>Bokoro</w:t>
      </w:r>
      <w:proofErr w:type="spellEnd"/>
      <w:r w:rsidRPr="008E1FA7">
        <w:rPr>
          <w:color w:val="000000"/>
        </w:rPr>
        <w:t>, puis transféré au service des urgences de l</w:t>
      </w:r>
      <w:r w:rsidR="001503DA" w:rsidRPr="008E1FA7">
        <w:rPr>
          <w:color w:val="000000"/>
        </w:rPr>
        <w:t>’</w:t>
      </w:r>
      <w:r w:rsidRPr="008E1FA7">
        <w:rPr>
          <w:color w:val="000000"/>
        </w:rPr>
        <w:t>hôpital de N</w:t>
      </w:r>
      <w:r w:rsidR="001503DA" w:rsidRPr="008E1FA7">
        <w:rPr>
          <w:color w:val="000000"/>
        </w:rPr>
        <w:t>’</w:t>
      </w:r>
      <w:r w:rsidRPr="008E1FA7">
        <w:rPr>
          <w:color w:val="000000"/>
        </w:rPr>
        <w:t>Djamena, où il avait reçu des soins supplémentaires. Il avait été autorisé à quitter l</w:t>
      </w:r>
      <w:r w:rsidR="001503DA" w:rsidRPr="008E1FA7">
        <w:rPr>
          <w:color w:val="000000"/>
        </w:rPr>
        <w:t>’</w:t>
      </w:r>
      <w:r w:rsidRPr="008E1FA7">
        <w:rPr>
          <w:color w:val="000000"/>
        </w:rPr>
        <w:t>hôpital le jour même, sur avis médical, pour recevoir des soins à domicile. Malheureusement, malgré les soins à domicile, il avait rechuté quatre jours après et était décédé.</w:t>
      </w:r>
    </w:p>
    <w:p w14:paraId="1CE0A463" w14:textId="795779BB" w:rsidR="00371363" w:rsidRPr="008E1FA7" w:rsidRDefault="00371363" w:rsidP="00D2110C">
      <w:pPr>
        <w:pStyle w:val="Normal-pool"/>
        <w:spacing w:before="120" w:after="120"/>
        <w:rPr>
          <w:color w:val="000000"/>
        </w:rPr>
      </w:pPr>
      <w:r w:rsidRPr="008E1FA7">
        <w:rPr>
          <w:color w:val="000000"/>
        </w:rPr>
        <w:t>Un deuxième cas d</w:t>
      </w:r>
      <w:r w:rsidR="001503DA" w:rsidRPr="008E1FA7">
        <w:rPr>
          <w:color w:val="000000"/>
        </w:rPr>
        <w:t>’</w:t>
      </w:r>
      <w:r w:rsidRPr="008E1FA7">
        <w:rPr>
          <w:color w:val="000000"/>
        </w:rPr>
        <w:t>intoxication mortelle d</w:t>
      </w:r>
      <w:r w:rsidR="001503DA" w:rsidRPr="008E1FA7">
        <w:rPr>
          <w:color w:val="000000"/>
        </w:rPr>
        <w:t>’</w:t>
      </w:r>
      <w:r w:rsidRPr="008E1FA7">
        <w:rPr>
          <w:color w:val="000000"/>
        </w:rPr>
        <w:t>un opérateur suite à la manipulation et à l</w:t>
      </w:r>
      <w:r w:rsidR="001503DA" w:rsidRPr="008E1FA7">
        <w:rPr>
          <w:color w:val="000000"/>
        </w:rPr>
        <w:t>’</w:t>
      </w:r>
      <w:r w:rsidRPr="008E1FA7">
        <w:rPr>
          <w:color w:val="000000"/>
        </w:rPr>
        <w:t xml:space="preserve">application terrestre de fenthion </w:t>
      </w:r>
      <w:r w:rsidRPr="008E1FA7">
        <w:t>640</w:t>
      </w:r>
      <w:r w:rsidRPr="008E1FA7">
        <w:rPr>
          <w:color w:val="000000"/>
        </w:rPr>
        <w:t> ULV, survenu en 2009, est mentionné dans le document</w:t>
      </w:r>
      <w:r w:rsidR="00D52BD2" w:rsidRPr="008E1FA7">
        <w:rPr>
          <w:color w:val="000000"/>
        </w:rPr>
        <w:t> </w:t>
      </w:r>
      <w:r w:rsidRPr="008E1FA7">
        <w:rPr>
          <w:color w:val="000000"/>
        </w:rPr>
        <w:t>UNEP/FAO/RC/CRC.9/4/Add.1. En outre, un opérateur était resté dans le coma pendant une semaine dans les mêmes circonstances. Cependant, ces cas n</w:t>
      </w:r>
      <w:r w:rsidR="001503DA" w:rsidRPr="008E1FA7">
        <w:rPr>
          <w:color w:val="000000"/>
        </w:rPr>
        <w:t>’</w:t>
      </w:r>
      <w:r w:rsidRPr="008E1FA7">
        <w:rPr>
          <w:color w:val="000000"/>
        </w:rPr>
        <w:t>étaient pas inclus dans la déclaration d</w:t>
      </w:r>
      <w:r w:rsidR="001503DA" w:rsidRPr="008E1FA7">
        <w:rPr>
          <w:color w:val="000000"/>
        </w:rPr>
        <w:t>’</w:t>
      </w:r>
      <w:r w:rsidRPr="008E1FA7">
        <w:rPr>
          <w:color w:val="000000"/>
        </w:rPr>
        <w:t xml:space="preserve">incident relatif aux pesticides figurant dans la proposition. </w:t>
      </w:r>
    </w:p>
    <w:p w14:paraId="710F2515" w14:textId="7F1EAF31" w:rsidR="00371363" w:rsidRPr="008E1FA7" w:rsidRDefault="00371363" w:rsidP="00D2110C">
      <w:pPr>
        <w:pStyle w:val="Normal-pool"/>
        <w:spacing w:before="120" w:after="120"/>
        <w:rPr>
          <w:color w:val="000000"/>
        </w:rPr>
      </w:pPr>
      <w:r w:rsidRPr="008E1FA7">
        <w:rPr>
          <w:color w:val="000000"/>
        </w:rPr>
        <w:t>La documentation demandée dans la première partie de l</w:t>
      </w:r>
      <w:r w:rsidR="001503DA" w:rsidRPr="008E1FA7">
        <w:rPr>
          <w:color w:val="000000"/>
        </w:rPr>
        <w:t>’</w:t>
      </w:r>
      <w:r w:rsidRPr="008E1FA7">
        <w:rPr>
          <w:color w:val="000000"/>
        </w:rPr>
        <w:t>Annexe IV de la Convention était présentée par le Tchad dans sa proposition et publiée dans la Circulaire PIC XXXVI de décembre 2012.</w:t>
      </w:r>
    </w:p>
    <w:p w14:paraId="6D0E7C87" w14:textId="5B5CE868" w:rsidR="00371363" w:rsidRPr="008E1FA7" w:rsidRDefault="00371363" w:rsidP="00D2110C">
      <w:pPr>
        <w:pStyle w:val="Normal-pool"/>
        <w:spacing w:before="120" w:after="120"/>
        <w:rPr>
          <w:color w:val="000000"/>
        </w:rPr>
      </w:pPr>
      <w:r w:rsidRPr="008E1FA7">
        <w:rPr>
          <w:color w:val="000000"/>
        </w:rPr>
        <w:t>Les informations rassemblées par le Secrétariat en application des dispositions de la deuxième partie de l</w:t>
      </w:r>
      <w:r w:rsidR="001503DA" w:rsidRPr="008E1FA7">
        <w:rPr>
          <w:color w:val="000000"/>
        </w:rPr>
        <w:t>’</w:t>
      </w:r>
      <w:r w:rsidRPr="008E1FA7">
        <w:rPr>
          <w:color w:val="000000"/>
        </w:rPr>
        <w:t xml:space="preserve">Annexe IV de la </w:t>
      </w:r>
      <w:r w:rsidRPr="008E1FA7">
        <w:t>Convention</w:t>
      </w:r>
      <w:r w:rsidRPr="008E1FA7">
        <w:rPr>
          <w:color w:val="000000"/>
        </w:rPr>
        <w:t xml:space="preserve"> ont été soumises par les Parties et les observateurs, et transmises au Comité dans le</w:t>
      </w:r>
      <w:r w:rsidR="00F40C92" w:rsidRPr="008E1FA7">
        <w:rPr>
          <w:color w:val="000000"/>
        </w:rPr>
        <w:t> </w:t>
      </w:r>
      <w:r w:rsidRPr="008E1FA7">
        <w:rPr>
          <w:color w:val="000000"/>
        </w:rPr>
        <w:t>document</w:t>
      </w:r>
      <w:r w:rsidR="00F40C92" w:rsidRPr="008E1FA7">
        <w:rPr>
          <w:color w:val="000000"/>
        </w:rPr>
        <w:t> </w:t>
      </w:r>
      <w:r w:rsidRPr="008E1FA7">
        <w:rPr>
          <w:color w:val="000000"/>
        </w:rPr>
        <w:t>UNEP/FAO/RC/CRC.9/4/Add.2.</w:t>
      </w:r>
    </w:p>
    <w:p w14:paraId="5FCC4871" w14:textId="5B11E334" w:rsidR="00371363" w:rsidRPr="008E1FA7" w:rsidRDefault="00371363" w:rsidP="00D2110C">
      <w:pPr>
        <w:pStyle w:val="Normal-pool"/>
        <w:tabs>
          <w:tab w:val="left" w:pos="709"/>
        </w:tabs>
        <w:spacing w:before="120" w:after="120"/>
        <w:rPr>
          <w:b/>
        </w:rPr>
      </w:pPr>
      <w:r w:rsidRPr="008E1FA7">
        <w:rPr>
          <w:b/>
        </w:rPr>
        <w:t>2.</w:t>
      </w:r>
      <w:r w:rsidRPr="008E1FA7">
        <w:rPr>
          <w:b/>
        </w:rPr>
        <w:tab/>
        <w:t>Critère énoncé à l</w:t>
      </w:r>
      <w:r w:rsidR="001503DA" w:rsidRPr="008E1FA7">
        <w:rPr>
          <w:b/>
        </w:rPr>
        <w:t>’</w:t>
      </w:r>
      <w:r w:rsidRPr="008E1FA7">
        <w:rPr>
          <w:b/>
        </w:rPr>
        <w:t>alinéa a) de la troisième partie de l</w:t>
      </w:r>
      <w:r w:rsidR="001503DA" w:rsidRPr="008E1FA7">
        <w:rPr>
          <w:b/>
        </w:rPr>
        <w:t>’</w:t>
      </w:r>
      <w:r w:rsidRPr="008E1FA7">
        <w:rPr>
          <w:b/>
        </w:rPr>
        <w:t>Annexe IV</w:t>
      </w:r>
    </w:p>
    <w:p w14:paraId="3B040B91" w14:textId="18A5DB01" w:rsidR="00371363" w:rsidRPr="008E1FA7" w:rsidRDefault="00371363" w:rsidP="00D2110C">
      <w:pPr>
        <w:pStyle w:val="Normal-pool"/>
        <w:tabs>
          <w:tab w:val="left" w:pos="709"/>
        </w:tabs>
        <w:spacing w:before="120" w:after="120"/>
        <w:rPr>
          <w:i/>
        </w:rPr>
      </w:pPr>
      <w:r w:rsidRPr="008E1FA7">
        <w:rPr>
          <w:i/>
        </w:rPr>
        <w:tab/>
        <w:t>Le Comité d</w:t>
      </w:r>
      <w:r w:rsidR="001503DA" w:rsidRPr="008E1FA7">
        <w:rPr>
          <w:i/>
        </w:rPr>
        <w:t>’</w:t>
      </w:r>
      <w:r w:rsidRPr="008E1FA7">
        <w:rPr>
          <w:i/>
        </w:rPr>
        <w:t>étude des produits chimiques, lorsqu</w:t>
      </w:r>
      <w:r w:rsidR="001503DA" w:rsidRPr="008E1FA7">
        <w:rPr>
          <w:i/>
        </w:rPr>
        <w:t>’</w:t>
      </w:r>
      <w:r w:rsidRPr="008E1FA7">
        <w:rPr>
          <w:i/>
        </w:rPr>
        <w:t>il examine les propositions qui lui sont communiquées par</w:t>
      </w:r>
      <w:r w:rsidR="00F40C92" w:rsidRPr="008E1FA7">
        <w:rPr>
          <w:i/>
        </w:rPr>
        <w:t> </w:t>
      </w:r>
      <w:r w:rsidRPr="008E1FA7">
        <w:rPr>
          <w:i/>
        </w:rPr>
        <w:t>le Secrétariat, en application du paragraphe 5 de l</w:t>
      </w:r>
      <w:r w:rsidR="001503DA" w:rsidRPr="008E1FA7">
        <w:rPr>
          <w:i/>
        </w:rPr>
        <w:t>’</w:t>
      </w:r>
      <w:r w:rsidRPr="008E1FA7">
        <w:rPr>
          <w:i/>
        </w:rPr>
        <w:t>article 6, tient compte :</w:t>
      </w:r>
    </w:p>
    <w:p w14:paraId="253C7E76" w14:textId="35560319" w:rsidR="00371363" w:rsidRPr="008E1FA7" w:rsidRDefault="00371363" w:rsidP="00D2110C">
      <w:pPr>
        <w:pStyle w:val="Normal-pool"/>
        <w:tabs>
          <w:tab w:val="left" w:pos="709"/>
        </w:tabs>
        <w:spacing w:before="120" w:after="120"/>
        <w:rPr>
          <w:i/>
        </w:rPr>
      </w:pPr>
      <w:r w:rsidRPr="008E1FA7">
        <w:rPr>
          <w:i/>
        </w:rPr>
        <w:tab/>
        <w:t>a)</w:t>
      </w:r>
      <w:r w:rsidRPr="008E1FA7">
        <w:rPr>
          <w:i/>
        </w:rPr>
        <w:tab/>
        <w:t>De la fiabilité des renseignements prouvant que l</w:t>
      </w:r>
      <w:r w:rsidR="001503DA" w:rsidRPr="008E1FA7">
        <w:rPr>
          <w:i/>
        </w:rPr>
        <w:t>’</w:t>
      </w:r>
      <w:r w:rsidRPr="008E1FA7">
        <w:rPr>
          <w:i/>
        </w:rPr>
        <w:t>emploi de la formulation conformément aux</w:t>
      </w:r>
      <w:r w:rsidR="00F40C92" w:rsidRPr="008E1FA7">
        <w:rPr>
          <w:i/>
        </w:rPr>
        <w:t> </w:t>
      </w:r>
      <w:r w:rsidRPr="008E1FA7">
        <w:rPr>
          <w:i/>
        </w:rPr>
        <w:t>pratiques courantes ou attestées dans la Partie présentant la proposition a causé les incidents signalés</w:t>
      </w:r>
      <w:r w:rsidR="00A30A8D" w:rsidRPr="008E1FA7">
        <w:rPr>
          <w:i/>
        </w:rPr>
        <w:t> ;</w:t>
      </w:r>
    </w:p>
    <w:p w14:paraId="1CCC44F8" w14:textId="2BE5E808" w:rsidR="00371363" w:rsidRPr="008E1FA7" w:rsidRDefault="00371363" w:rsidP="00D2110C">
      <w:pPr>
        <w:pStyle w:val="Normal-pool"/>
        <w:spacing w:before="120" w:after="120"/>
      </w:pPr>
      <w:r w:rsidRPr="008E1FA7">
        <w:t>Au Tchad, le fenthion 640 ULV était apparemment utilisé sur le terrain près des cultures céréalières et appliqué au moyen de pulvérisateurs à dos motorisés sur les sites de perchage, à des doses de 1,8 à l/ha. L</w:t>
      </w:r>
      <w:r w:rsidR="001503DA" w:rsidRPr="008E1FA7">
        <w:t>’</w:t>
      </w:r>
      <w:r w:rsidRPr="008E1FA7">
        <w:t xml:space="preserve">étiquette du produit indique, entre autres informations, une toxicité élevée par inhalation et par ingestion prolongée. </w:t>
      </w:r>
    </w:p>
    <w:p w14:paraId="637E983C" w14:textId="71F7AD37" w:rsidR="00371363" w:rsidRPr="008E1FA7" w:rsidRDefault="00371363" w:rsidP="00D2110C">
      <w:pPr>
        <w:pStyle w:val="Normal-pool"/>
        <w:spacing w:before="120" w:after="120"/>
      </w:pPr>
      <w:r w:rsidRPr="008E1FA7">
        <w:t>L</w:t>
      </w:r>
      <w:r w:rsidR="001503DA" w:rsidRPr="008E1FA7">
        <w:t>’</w:t>
      </w:r>
      <w:r w:rsidRPr="008E1FA7">
        <w:t>application, qui se faisait sur ordre du ministère de l</w:t>
      </w:r>
      <w:r w:rsidR="001503DA" w:rsidRPr="008E1FA7">
        <w:t>’</w:t>
      </w:r>
      <w:r w:rsidRPr="008E1FA7">
        <w:t>Agriculture et de l</w:t>
      </w:r>
      <w:r w:rsidR="001503DA" w:rsidRPr="008E1FA7">
        <w:t>’</w:t>
      </w:r>
      <w:r w:rsidRPr="008E1FA7">
        <w:t>irrigation, était assurée par la DPVC, qui</w:t>
      </w:r>
      <w:r w:rsidR="00F40C92" w:rsidRPr="008E1FA7">
        <w:t> </w:t>
      </w:r>
      <w:r w:rsidRPr="008E1FA7">
        <w:t>a</w:t>
      </w:r>
      <w:r w:rsidR="00F40C92" w:rsidRPr="008E1FA7">
        <w:t> </w:t>
      </w:r>
      <w:r w:rsidRPr="008E1FA7">
        <w:t>mis en place des équipes de lutte anti</w:t>
      </w:r>
      <w:r w:rsidRPr="008E1FA7">
        <w:noBreakHyphen/>
        <w:t xml:space="preserve">aviaire en 2009, 2011 et 2012. </w:t>
      </w:r>
    </w:p>
    <w:p w14:paraId="0AA33434" w14:textId="567F1BF4" w:rsidR="00371363" w:rsidRPr="008E1FA7" w:rsidRDefault="00371363" w:rsidP="00A30A8D">
      <w:pPr>
        <w:pStyle w:val="Normal-pool"/>
        <w:keepNext/>
        <w:keepLines/>
        <w:spacing w:before="120" w:after="120"/>
        <w:rPr>
          <w:color w:val="000000"/>
        </w:rPr>
      </w:pPr>
      <w:r w:rsidRPr="008E1FA7">
        <w:t>Un incident d</w:t>
      </w:r>
      <w:r w:rsidR="001503DA" w:rsidRPr="008E1FA7">
        <w:t>’</w:t>
      </w:r>
      <w:r w:rsidRPr="008E1FA7">
        <w:t>intoxication mortelle d</w:t>
      </w:r>
      <w:r w:rsidR="001503DA" w:rsidRPr="008E1FA7">
        <w:t>’</w:t>
      </w:r>
      <w:r w:rsidRPr="008E1FA7">
        <w:t>un technicien âgé de 60 ans ayant participé au mélange, au chargement et à l</w:t>
      </w:r>
      <w:r w:rsidR="001503DA" w:rsidRPr="008E1FA7">
        <w:t>’</w:t>
      </w:r>
      <w:r w:rsidRPr="008E1FA7">
        <w:t>application nocturne du produit sur des nids au moyen d</w:t>
      </w:r>
      <w:r w:rsidR="001503DA" w:rsidRPr="008E1FA7">
        <w:t>’</w:t>
      </w:r>
      <w:r w:rsidRPr="008E1FA7">
        <w:t>un pulvérisateur à dos motorisé a été rapporté. Il portait des</w:t>
      </w:r>
      <w:r w:rsidR="00F40C92" w:rsidRPr="008E1FA7">
        <w:t> </w:t>
      </w:r>
      <w:r w:rsidRPr="008E1FA7">
        <w:t>vêtements de protection pendant toute la durée de l</w:t>
      </w:r>
      <w:r w:rsidR="001503DA" w:rsidRPr="008E1FA7">
        <w:t>’</w:t>
      </w:r>
      <w:r w:rsidRPr="008E1FA7">
        <w:t>opération, à savoir un attirail comprenant un chapeau, des</w:t>
      </w:r>
      <w:r w:rsidR="00F40C92" w:rsidRPr="008E1FA7">
        <w:t> </w:t>
      </w:r>
      <w:r w:rsidRPr="008E1FA7">
        <w:t xml:space="preserve">lunettes, un masque, une combinaison en coton, des gants et des bottes sous un pantalon. </w:t>
      </w:r>
    </w:p>
    <w:p w14:paraId="321672C7" w14:textId="3A3BD651" w:rsidR="00371363" w:rsidRPr="008E1FA7" w:rsidRDefault="00371363" w:rsidP="00D2110C">
      <w:pPr>
        <w:pStyle w:val="Normal-pool"/>
        <w:spacing w:before="120" w:after="120"/>
        <w:rPr>
          <w:color w:val="000000"/>
        </w:rPr>
      </w:pPr>
      <w:r w:rsidRPr="008E1FA7">
        <w:rPr>
          <w:color w:val="000000"/>
        </w:rPr>
        <w:t>En dépit d</w:t>
      </w:r>
      <w:r w:rsidR="001503DA" w:rsidRPr="008E1FA7">
        <w:rPr>
          <w:color w:val="000000"/>
        </w:rPr>
        <w:t>’</w:t>
      </w:r>
      <w:r w:rsidRPr="008E1FA7">
        <w:rPr>
          <w:color w:val="000000"/>
        </w:rPr>
        <w:t>incertitudes sur la relation de cause à effet entre le décès de l</w:t>
      </w:r>
      <w:r w:rsidR="001503DA" w:rsidRPr="008E1FA7">
        <w:rPr>
          <w:color w:val="000000"/>
        </w:rPr>
        <w:t>’</w:t>
      </w:r>
      <w:r w:rsidRPr="008E1FA7">
        <w:rPr>
          <w:color w:val="000000"/>
        </w:rPr>
        <w:t>opérateur et l</w:t>
      </w:r>
      <w:r w:rsidR="001503DA" w:rsidRPr="008E1FA7">
        <w:rPr>
          <w:color w:val="000000"/>
        </w:rPr>
        <w:t>’</w:t>
      </w:r>
      <w:r w:rsidRPr="008E1FA7">
        <w:rPr>
          <w:color w:val="000000"/>
        </w:rPr>
        <w:t>utilisation de fenthion 640 ULV, compte tenu de l</w:t>
      </w:r>
      <w:r w:rsidR="001503DA" w:rsidRPr="008E1FA7">
        <w:rPr>
          <w:color w:val="000000"/>
        </w:rPr>
        <w:t>’</w:t>
      </w:r>
      <w:r w:rsidRPr="008E1FA7">
        <w:rPr>
          <w:color w:val="000000"/>
        </w:rPr>
        <w:t>existence d</w:t>
      </w:r>
      <w:r w:rsidR="001503DA" w:rsidRPr="008E1FA7">
        <w:rPr>
          <w:color w:val="000000"/>
        </w:rPr>
        <w:t>’</w:t>
      </w:r>
      <w:r w:rsidRPr="008E1FA7">
        <w:rPr>
          <w:color w:val="000000"/>
        </w:rPr>
        <w:t>antécédents d</w:t>
      </w:r>
      <w:r w:rsidR="001503DA" w:rsidRPr="008E1FA7">
        <w:rPr>
          <w:color w:val="000000"/>
        </w:rPr>
        <w:t>’</w:t>
      </w:r>
      <w:r w:rsidRPr="008E1FA7">
        <w:rPr>
          <w:color w:val="000000"/>
        </w:rPr>
        <w:t>hypertension, les symptômes de l</w:t>
      </w:r>
      <w:r w:rsidR="001503DA" w:rsidRPr="008E1FA7">
        <w:rPr>
          <w:color w:val="000000"/>
        </w:rPr>
        <w:t>’</w:t>
      </w:r>
      <w:r w:rsidRPr="008E1FA7">
        <w:rPr>
          <w:color w:val="000000"/>
        </w:rPr>
        <w:t>opérateur peuvent manifestement être reliés à une intoxication suite à cette utilisation. En outre, on note que les effets nocifs d</w:t>
      </w:r>
      <w:r w:rsidR="001503DA" w:rsidRPr="008E1FA7">
        <w:rPr>
          <w:color w:val="000000"/>
        </w:rPr>
        <w:t>’</w:t>
      </w:r>
      <w:r w:rsidRPr="008E1FA7">
        <w:rPr>
          <w:color w:val="000000"/>
        </w:rPr>
        <w:t>une</w:t>
      </w:r>
      <w:r w:rsidR="00F40C92" w:rsidRPr="008E1FA7">
        <w:rPr>
          <w:color w:val="000000"/>
        </w:rPr>
        <w:t> </w:t>
      </w:r>
      <w:r w:rsidRPr="008E1FA7">
        <w:rPr>
          <w:color w:val="000000"/>
        </w:rPr>
        <w:t xml:space="preserve">intoxication par des composés organophosphorés peuvent généralement être aigus, intermédiaires ou retardés. </w:t>
      </w:r>
    </w:p>
    <w:p w14:paraId="223E0580" w14:textId="39E2A3AB" w:rsidR="00371363" w:rsidRPr="008E1FA7" w:rsidRDefault="00371363" w:rsidP="00D2110C">
      <w:pPr>
        <w:pStyle w:val="Normal-pool"/>
        <w:spacing w:before="120" w:after="120"/>
      </w:pPr>
      <w:r w:rsidRPr="008E1FA7">
        <w:rPr>
          <w:color w:val="000000"/>
        </w:rPr>
        <w:t>Le Comité a conclu que les renseignements prouvant que l</w:t>
      </w:r>
      <w:r w:rsidR="001503DA" w:rsidRPr="008E1FA7">
        <w:rPr>
          <w:color w:val="000000"/>
        </w:rPr>
        <w:t>’</w:t>
      </w:r>
      <w:r w:rsidRPr="008E1FA7">
        <w:rPr>
          <w:color w:val="000000"/>
        </w:rPr>
        <w:t>utilisation de fenthion 640 ULV conformément aux</w:t>
      </w:r>
      <w:r w:rsidR="00F40C92" w:rsidRPr="008E1FA7">
        <w:rPr>
          <w:color w:val="000000"/>
        </w:rPr>
        <w:t> </w:t>
      </w:r>
      <w:r w:rsidRPr="008E1FA7">
        <w:rPr>
          <w:color w:val="000000"/>
        </w:rPr>
        <w:t>pratiques courantes et reconnues au Tchad avait causé l</w:t>
      </w:r>
      <w:r w:rsidR="001503DA" w:rsidRPr="008E1FA7">
        <w:rPr>
          <w:color w:val="000000"/>
        </w:rPr>
        <w:t>’</w:t>
      </w:r>
      <w:r w:rsidRPr="008E1FA7">
        <w:rPr>
          <w:color w:val="000000"/>
        </w:rPr>
        <w:t>incident signalé étaient fiables.</w:t>
      </w:r>
      <w:r w:rsidRPr="008E1FA7">
        <w:t xml:space="preserve"> </w:t>
      </w:r>
    </w:p>
    <w:p w14:paraId="4065C4BC" w14:textId="77777777" w:rsidR="00371363" w:rsidRPr="008E1FA7" w:rsidRDefault="00371363" w:rsidP="00D2110C">
      <w:pPr>
        <w:pStyle w:val="Normal-pool"/>
        <w:spacing w:before="120" w:after="120"/>
        <w:rPr>
          <w:color w:val="000000"/>
        </w:rPr>
      </w:pPr>
      <w:r w:rsidRPr="008E1FA7">
        <w:t>Le Comité a conclu que ce critère était rempli.</w:t>
      </w:r>
    </w:p>
    <w:p w14:paraId="1B3933D8" w14:textId="1EC495F9" w:rsidR="00371363" w:rsidRPr="008E1FA7" w:rsidRDefault="00371363" w:rsidP="00D2110C">
      <w:pPr>
        <w:pStyle w:val="Normal-pool"/>
        <w:tabs>
          <w:tab w:val="left" w:pos="709"/>
        </w:tabs>
        <w:spacing w:before="120" w:after="120"/>
        <w:rPr>
          <w:b/>
        </w:rPr>
      </w:pPr>
      <w:r w:rsidRPr="008E1FA7">
        <w:rPr>
          <w:b/>
        </w:rPr>
        <w:t>3.</w:t>
      </w:r>
      <w:r w:rsidRPr="008E1FA7">
        <w:rPr>
          <w:b/>
        </w:rPr>
        <w:tab/>
        <w:t>Critère énoncé à l</w:t>
      </w:r>
      <w:r w:rsidR="001503DA" w:rsidRPr="008E1FA7">
        <w:rPr>
          <w:b/>
        </w:rPr>
        <w:t>’</w:t>
      </w:r>
      <w:r w:rsidRPr="008E1FA7">
        <w:rPr>
          <w:b/>
        </w:rPr>
        <w:t>alinéa b) de la troisième partie de l</w:t>
      </w:r>
      <w:r w:rsidR="001503DA" w:rsidRPr="008E1FA7">
        <w:rPr>
          <w:b/>
        </w:rPr>
        <w:t>’</w:t>
      </w:r>
      <w:r w:rsidRPr="008E1FA7">
        <w:rPr>
          <w:b/>
        </w:rPr>
        <w:t>Annexe IV</w:t>
      </w:r>
    </w:p>
    <w:p w14:paraId="7C86AD3F" w14:textId="5A33969C" w:rsidR="00371363" w:rsidRPr="008E1FA7" w:rsidRDefault="00371363" w:rsidP="00D2110C">
      <w:pPr>
        <w:pStyle w:val="Normal-pool"/>
        <w:tabs>
          <w:tab w:val="left" w:pos="709"/>
        </w:tabs>
        <w:spacing w:before="120" w:after="120"/>
        <w:rPr>
          <w:i/>
        </w:rPr>
      </w:pPr>
      <w:r w:rsidRPr="008E1FA7">
        <w:rPr>
          <w:i/>
        </w:rPr>
        <w:tab/>
        <w:t>Du risque d</w:t>
      </w:r>
      <w:r w:rsidR="001503DA" w:rsidRPr="008E1FA7">
        <w:rPr>
          <w:i/>
        </w:rPr>
        <w:t>’</w:t>
      </w:r>
      <w:r w:rsidRPr="008E1FA7">
        <w:rPr>
          <w:i/>
        </w:rPr>
        <w:t>incidents de ce type dans d</w:t>
      </w:r>
      <w:r w:rsidR="001503DA" w:rsidRPr="008E1FA7">
        <w:rPr>
          <w:i/>
        </w:rPr>
        <w:t>’</w:t>
      </w:r>
      <w:r w:rsidRPr="008E1FA7">
        <w:rPr>
          <w:i/>
        </w:rPr>
        <w:t>autres États où le climat, les conditions et les modes d</w:t>
      </w:r>
      <w:r w:rsidR="001503DA" w:rsidRPr="008E1FA7">
        <w:rPr>
          <w:i/>
        </w:rPr>
        <w:t>’</w:t>
      </w:r>
      <w:r w:rsidRPr="008E1FA7">
        <w:rPr>
          <w:i/>
        </w:rPr>
        <w:t>emploi de la</w:t>
      </w:r>
      <w:r w:rsidR="00F40C92" w:rsidRPr="008E1FA7">
        <w:rPr>
          <w:i/>
        </w:rPr>
        <w:t> </w:t>
      </w:r>
      <w:r w:rsidRPr="008E1FA7">
        <w:rPr>
          <w:i/>
        </w:rPr>
        <w:t>formulation sont analogues</w:t>
      </w:r>
      <w:r w:rsidR="00A30A8D" w:rsidRPr="008E1FA7">
        <w:rPr>
          <w:i/>
        </w:rPr>
        <w:t> ;</w:t>
      </w:r>
    </w:p>
    <w:p w14:paraId="55B14A8A" w14:textId="190FA237" w:rsidR="00371363" w:rsidRPr="008E1FA7" w:rsidRDefault="00371363" w:rsidP="00083016">
      <w:pPr>
        <w:pStyle w:val="Normal-pool"/>
        <w:tabs>
          <w:tab w:val="left" w:pos="709"/>
        </w:tabs>
        <w:spacing w:before="120" w:after="120"/>
      </w:pPr>
      <w:r w:rsidRPr="008E1FA7">
        <w:t>Les documents soumis au Comité (UNEP/FAO/RC/CRC.9/4/Add.2) démontraient que les conditions propres au Tchad, décrites ci</w:t>
      </w:r>
      <w:r w:rsidRPr="008E1FA7">
        <w:noBreakHyphen/>
        <w:t>dessus, sont similaires à celles que l</w:t>
      </w:r>
      <w:r w:rsidR="001503DA" w:rsidRPr="008E1FA7">
        <w:t>’</w:t>
      </w:r>
      <w:r w:rsidRPr="008E1FA7">
        <w:t>on rencontre dans d</w:t>
      </w:r>
      <w:r w:rsidR="001503DA" w:rsidRPr="008E1FA7">
        <w:t>’</w:t>
      </w:r>
      <w:r w:rsidRPr="008E1FA7">
        <w:t>autres États africains. La Gambie indique que le produit a été utilisé dans les années 1980 dans le cadre de la lutte anti</w:t>
      </w:r>
      <w:r w:rsidRPr="008E1FA7">
        <w:noBreakHyphen/>
        <w:t>aviaire (UNEP/FAO/RC/CRC.9/4/Add.2). Le produit est employé pour lutter contre des oiseaux granivores au Niger et a été utilisé pour ce but pendant plus de 20 ans en Mauritanie (UNEP/FAO/RC/CRC.9/4/Add.2). Des cas d</w:t>
      </w:r>
      <w:r w:rsidR="001503DA" w:rsidRPr="008E1FA7">
        <w:t>’</w:t>
      </w:r>
      <w:r w:rsidRPr="008E1FA7">
        <w:t>intoxication causés par les traitements avicides sont rapportés dans une thèse de master mauritanienne (UNEP/FAO/RC/CRC.9/4/Add.2).</w:t>
      </w:r>
    </w:p>
    <w:p w14:paraId="518D0F25" w14:textId="77777777" w:rsidR="00371363" w:rsidRPr="008E1FA7" w:rsidRDefault="00371363" w:rsidP="00083016">
      <w:pPr>
        <w:pStyle w:val="Normal-pool"/>
        <w:spacing w:before="120" w:after="120"/>
        <w:rPr>
          <w:bCs/>
        </w:rPr>
      </w:pPr>
      <w:r w:rsidRPr="008E1FA7">
        <w:rPr>
          <w:bCs/>
        </w:rPr>
        <w:t>Diverses préparations de fenthion sont utilisées comme insecticides dans plusieurs pays (par exemple, Australie, Madagascar, Maroc et Nouvelle</w:t>
      </w:r>
      <w:r w:rsidRPr="008E1FA7">
        <w:rPr>
          <w:bCs/>
        </w:rPr>
        <w:noBreakHyphen/>
        <w:t>Zélande).</w:t>
      </w:r>
    </w:p>
    <w:p w14:paraId="0C5268E5" w14:textId="475E14C3" w:rsidR="00371363" w:rsidRPr="008E1FA7" w:rsidRDefault="00371363" w:rsidP="00083016">
      <w:pPr>
        <w:pStyle w:val="Normal-pool"/>
        <w:spacing w:before="120" w:after="120"/>
        <w:rPr>
          <w:bCs/>
          <w:color w:val="000000"/>
        </w:rPr>
      </w:pPr>
      <w:r w:rsidRPr="008E1FA7">
        <w:rPr>
          <w:bCs/>
          <w:color w:val="000000"/>
        </w:rPr>
        <w:t>On signale un cas d</w:t>
      </w:r>
      <w:r w:rsidR="001503DA" w:rsidRPr="008E1FA7">
        <w:rPr>
          <w:bCs/>
          <w:color w:val="000000"/>
        </w:rPr>
        <w:t>’</w:t>
      </w:r>
      <w:r w:rsidRPr="008E1FA7">
        <w:rPr>
          <w:bCs/>
          <w:color w:val="000000"/>
        </w:rPr>
        <w:t>intoxication par une autre préparation de fenthion dans une tentative de suicide en Norvège (UNEP/FAO/RC/CRC.9/4/Add.2). La FAO fait état d</w:t>
      </w:r>
      <w:r w:rsidR="001503DA" w:rsidRPr="008E1FA7">
        <w:rPr>
          <w:bCs/>
          <w:color w:val="000000"/>
        </w:rPr>
        <w:t>’</w:t>
      </w:r>
      <w:r w:rsidRPr="008E1FA7">
        <w:rPr>
          <w:bCs/>
          <w:color w:val="000000"/>
        </w:rPr>
        <w:t>incidents d</w:t>
      </w:r>
      <w:r w:rsidR="001503DA" w:rsidRPr="008E1FA7">
        <w:rPr>
          <w:bCs/>
          <w:color w:val="000000"/>
        </w:rPr>
        <w:t>’</w:t>
      </w:r>
      <w:r w:rsidRPr="008E1FA7">
        <w:rPr>
          <w:bCs/>
          <w:color w:val="000000"/>
        </w:rPr>
        <w:t>intoxication résultant de l</w:t>
      </w:r>
      <w:r w:rsidR="001503DA" w:rsidRPr="008E1FA7">
        <w:rPr>
          <w:bCs/>
          <w:color w:val="000000"/>
        </w:rPr>
        <w:t>’</w:t>
      </w:r>
      <w:r w:rsidRPr="008E1FA7">
        <w:rPr>
          <w:bCs/>
          <w:color w:val="000000"/>
        </w:rPr>
        <w:t>utilisation de fenthion dans le cadre de la lutte anti</w:t>
      </w:r>
      <w:r w:rsidRPr="008E1FA7">
        <w:rPr>
          <w:bCs/>
          <w:color w:val="000000"/>
        </w:rPr>
        <w:noBreakHyphen/>
        <w:t>moustiques (UNEP/FAO/RC/CRC.9/4/Add.2).</w:t>
      </w:r>
    </w:p>
    <w:p w14:paraId="132BB854" w14:textId="77777777" w:rsidR="00371363" w:rsidRPr="008E1FA7" w:rsidRDefault="00371363" w:rsidP="00083016">
      <w:pPr>
        <w:pStyle w:val="Normal-pool"/>
        <w:spacing w:before="120" w:after="120"/>
      </w:pPr>
      <w:r w:rsidRPr="008E1FA7">
        <w:t>Compte tenu des informations disponibles, le Comité a conclu que ce critère était rempli.</w:t>
      </w:r>
    </w:p>
    <w:p w14:paraId="0F4B27FD" w14:textId="4502F31E" w:rsidR="00371363" w:rsidRPr="008E1FA7" w:rsidRDefault="00371363" w:rsidP="00083016">
      <w:pPr>
        <w:pStyle w:val="Normal-pool"/>
        <w:tabs>
          <w:tab w:val="left" w:pos="709"/>
        </w:tabs>
        <w:spacing w:before="120" w:after="120"/>
        <w:rPr>
          <w:b/>
        </w:rPr>
      </w:pPr>
      <w:r w:rsidRPr="008E1FA7">
        <w:rPr>
          <w:b/>
        </w:rPr>
        <w:t>4.</w:t>
      </w:r>
      <w:r w:rsidRPr="008E1FA7">
        <w:rPr>
          <w:b/>
        </w:rPr>
        <w:tab/>
        <w:t>Critère énoncé à l</w:t>
      </w:r>
      <w:r w:rsidR="001503DA" w:rsidRPr="008E1FA7">
        <w:rPr>
          <w:b/>
        </w:rPr>
        <w:t>’</w:t>
      </w:r>
      <w:r w:rsidRPr="008E1FA7">
        <w:rPr>
          <w:b/>
        </w:rPr>
        <w:t>alinéa c) de la troisième partie de l</w:t>
      </w:r>
      <w:r w:rsidR="001503DA" w:rsidRPr="008E1FA7">
        <w:rPr>
          <w:b/>
        </w:rPr>
        <w:t>’</w:t>
      </w:r>
      <w:r w:rsidRPr="008E1FA7">
        <w:rPr>
          <w:b/>
        </w:rPr>
        <w:t>Annexe IV</w:t>
      </w:r>
    </w:p>
    <w:p w14:paraId="5149D499" w14:textId="7EE319C1" w:rsidR="00371363" w:rsidRPr="008E1FA7" w:rsidRDefault="00371363" w:rsidP="00083016">
      <w:pPr>
        <w:pStyle w:val="Normal-pool"/>
        <w:tabs>
          <w:tab w:val="left" w:pos="709"/>
        </w:tabs>
        <w:spacing w:before="120" w:after="120"/>
        <w:rPr>
          <w:i/>
        </w:rPr>
      </w:pPr>
      <w:r w:rsidRPr="008E1FA7">
        <w:rPr>
          <w:i/>
        </w:rPr>
        <w:tab/>
        <w:t>De l</w:t>
      </w:r>
      <w:r w:rsidR="001503DA" w:rsidRPr="008E1FA7">
        <w:rPr>
          <w:i/>
        </w:rPr>
        <w:t>’</w:t>
      </w:r>
      <w:r w:rsidRPr="008E1FA7">
        <w:rPr>
          <w:i/>
        </w:rPr>
        <w:t>existence de restrictions concernant la manipulation ou l</w:t>
      </w:r>
      <w:r w:rsidR="001503DA" w:rsidRPr="008E1FA7">
        <w:rPr>
          <w:i/>
        </w:rPr>
        <w:t>’</w:t>
      </w:r>
      <w:r w:rsidRPr="008E1FA7">
        <w:rPr>
          <w:i/>
        </w:rPr>
        <w:t>application de la formulation qui supposent l</w:t>
      </w:r>
      <w:r w:rsidR="001503DA" w:rsidRPr="008E1FA7">
        <w:rPr>
          <w:i/>
        </w:rPr>
        <w:t>’</w:t>
      </w:r>
      <w:r w:rsidRPr="008E1FA7">
        <w:rPr>
          <w:i/>
        </w:rPr>
        <w:t>emploi de technologies ou de techniques qui ne sont peut</w:t>
      </w:r>
      <w:r w:rsidRPr="008E1FA7">
        <w:rPr>
          <w:i/>
        </w:rPr>
        <w:noBreakHyphen/>
        <w:t>être correctement ou largement appliquées dans les États n</w:t>
      </w:r>
      <w:r w:rsidR="001503DA" w:rsidRPr="008E1FA7">
        <w:rPr>
          <w:i/>
        </w:rPr>
        <w:t>’</w:t>
      </w:r>
      <w:r w:rsidRPr="008E1FA7">
        <w:rPr>
          <w:i/>
        </w:rPr>
        <w:t>ayant pas les infrastructures voulues</w:t>
      </w:r>
      <w:r w:rsidR="00083016" w:rsidRPr="008E1FA7">
        <w:rPr>
          <w:i/>
        </w:rPr>
        <w:t> </w:t>
      </w:r>
      <w:r w:rsidRPr="008E1FA7">
        <w:rPr>
          <w:i/>
        </w:rPr>
        <w:t>;</w:t>
      </w:r>
    </w:p>
    <w:p w14:paraId="186DDA8F" w14:textId="7C04F269" w:rsidR="00371363" w:rsidRPr="008E1FA7" w:rsidRDefault="00371363" w:rsidP="00083016">
      <w:pPr>
        <w:pStyle w:val="Normal-pool"/>
        <w:spacing w:before="120" w:after="120"/>
        <w:rPr>
          <w:color w:val="000000"/>
        </w:rPr>
      </w:pPr>
      <w:r w:rsidRPr="008E1FA7">
        <w:rPr>
          <w:color w:val="000000"/>
        </w:rPr>
        <w:t>Au Tchad, l</w:t>
      </w:r>
      <w:r w:rsidR="001503DA" w:rsidRPr="008E1FA7">
        <w:rPr>
          <w:color w:val="000000"/>
        </w:rPr>
        <w:t>’</w:t>
      </w:r>
      <w:r w:rsidRPr="008E1FA7">
        <w:rPr>
          <w:color w:val="000000"/>
        </w:rPr>
        <w:t>autorisation d</w:t>
      </w:r>
      <w:r w:rsidR="001503DA" w:rsidRPr="008E1FA7">
        <w:rPr>
          <w:color w:val="000000"/>
        </w:rPr>
        <w:t>’</w:t>
      </w:r>
      <w:r w:rsidRPr="008E1FA7">
        <w:rPr>
          <w:color w:val="000000"/>
        </w:rPr>
        <w:t xml:space="preserve">appliquer le fenthion 640 ULV est strictement limitée </w:t>
      </w:r>
      <w:r w:rsidRPr="008E1FA7">
        <w:t>aux spécialistes de la lutte anti</w:t>
      </w:r>
      <w:r w:rsidRPr="008E1FA7">
        <w:noBreakHyphen/>
        <w:t xml:space="preserve">aviaire (agents du Service de la protection des végétaux équipés de pulvérisateurs </w:t>
      </w:r>
      <w:r w:rsidRPr="008E1FA7">
        <w:rPr>
          <w:color w:val="000000"/>
        </w:rPr>
        <w:t xml:space="preserve">à dos motorisés </w:t>
      </w:r>
      <w:r w:rsidRPr="008E1FA7">
        <w:t>ou techniciens des entreprises spécialisées dans l</w:t>
      </w:r>
      <w:r w:rsidR="001503DA" w:rsidRPr="008E1FA7">
        <w:t>’</w:t>
      </w:r>
      <w:r w:rsidRPr="008E1FA7">
        <w:t>application aérienne).</w:t>
      </w:r>
    </w:p>
    <w:p w14:paraId="496665C8" w14:textId="2BC3F70B" w:rsidR="00371363" w:rsidRPr="008E1FA7" w:rsidRDefault="00371363" w:rsidP="00083016">
      <w:pPr>
        <w:pStyle w:val="Normal-pool"/>
        <w:spacing w:before="120" w:after="120"/>
        <w:rPr>
          <w:color w:val="000000"/>
        </w:rPr>
      </w:pPr>
      <w:r w:rsidRPr="008E1FA7">
        <w:rPr>
          <w:color w:val="000000"/>
        </w:rPr>
        <w:t>Des renseignements sur la réglementation stricte de la manipulation ou de l</w:t>
      </w:r>
      <w:r w:rsidR="001503DA" w:rsidRPr="008E1FA7">
        <w:rPr>
          <w:color w:val="000000"/>
        </w:rPr>
        <w:t>’</w:t>
      </w:r>
      <w:r w:rsidRPr="008E1FA7">
        <w:rPr>
          <w:color w:val="000000"/>
        </w:rPr>
        <w:t>application des produits contenant du fenthion ont été fournis par plusieurs Parties, à savoir l</w:t>
      </w:r>
      <w:r w:rsidR="001503DA" w:rsidRPr="008E1FA7">
        <w:rPr>
          <w:color w:val="000000"/>
        </w:rPr>
        <w:t>’</w:t>
      </w:r>
      <w:r w:rsidRPr="008E1FA7">
        <w:rPr>
          <w:color w:val="000000"/>
        </w:rPr>
        <w:t>Australie, l</w:t>
      </w:r>
      <w:r w:rsidR="001503DA" w:rsidRPr="008E1FA7">
        <w:rPr>
          <w:color w:val="000000"/>
        </w:rPr>
        <w:t>’</w:t>
      </w:r>
      <w:r w:rsidRPr="008E1FA7">
        <w:rPr>
          <w:color w:val="000000"/>
        </w:rPr>
        <w:t>Union européenne et la Norvège. Notamment, le</w:t>
      </w:r>
      <w:r w:rsidR="00F40C92" w:rsidRPr="008E1FA7">
        <w:rPr>
          <w:color w:val="000000"/>
        </w:rPr>
        <w:t> </w:t>
      </w:r>
      <w:r w:rsidRPr="008E1FA7">
        <w:rPr>
          <w:color w:val="000000"/>
        </w:rPr>
        <w:t>port d</w:t>
      </w:r>
      <w:r w:rsidR="001503DA" w:rsidRPr="008E1FA7">
        <w:rPr>
          <w:color w:val="000000"/>
        </w:rPr>
        <w:t>’</w:t>
      </w:r>
      <w:r w:rsidRPr="008E1FA7">
        <w:rPr>
          <w:color w:val="000000"/>
        </w:rPr>
        <w:t>équipements de protection individuelle est obligatoire.</w:t>
      </w:r>
    </w:p>
    <w:p w14:paraId="785B8E95" w14:textId="77777777" w:rsidR="00371363" w:rsidRPr="008E1FA7" w:rsidRDefault="00371363" w:rsidP="00083016">
      <w:pPr>
        <w:pStyle w:val="Normal-pool"/>
        <w:spacing w:before="120" w:after="120"/>
      </w:pPr>
      <w:r w:rsidRPr="008E1FA7">
        <w:t>Compte tenu des informations disponibles, le Comité a conclu que ce critère était rempli.</w:t>
      </w:r>
    </w:p>
    <w:p w14:paraId="3D39C68F" w14:textId="5DA6FADF" w:rsidR="00371363" w:rsidRPr="008E1FA7" w:rsidRDefault="00371363" w:rsidP="00083016">
      <w:pPr>
        <w:pStyle w:val="Normal-pool"/>
        <w:tabs>
          <w:tab w:val="left" w:pos="709"/>
        </w:tabs>
        <w:spacing w:before="120" w:after="120"/>
        <w:rPr>
          <w:b/>
        </w:rPr>
      </w:pPr>
      <w:r w:rsidRPr="008E1FA7">
        <w:rPr>
          <w:b/>
        </w:rPr>
        <w:t>5.</w:t>
      </w:r>
      <w:r w:rsidRPr="008E1FA7">
        <w:rPr>
          <w:b/>
        </w:rPr>
        <w:tab/>
        <w:t>Critère énoncé à l</w:t>
      </w:r>
      <w:r w:rsidR="001503DA" w:rsidRPr="008E1FA7">
        <w:rPr>
          <w:b/>
        </w:rPr>
        <w:t>’</w:t>
      </w:r>
      <w:r w:rsidRPr="008E1FA7">
        <w:rPr>
          <w:b/>
        </w:rPr>
        <w:t>alinéa d) de la troisième partie de l</w:t>
      </w:r>
      <w:r w:rsidR="001503DA" w:rsidRPr="008E1FA7">
        <w:rPr>
          <w:b/>
        </w:rPr>
        <w:t>’</w:t>
      </w:r>
      <w:r w:rsidRPr="008E1FA7">
        <w:rPr>
          <w:b/>
        </w:rPr>
        <w:t>Annexe IV</w:t>
      </w:r>
    </w:p>
    <w:p w14:paraId="6C8322E7" w14:textId="171F662A" w:rsidR="00371363" w:rsidRPr="008E1FA7" w:rsidRDefault="00371363" w:rsidP="00083016">
      <w:pPr>
        <w:pStyle w:val="Normal-pool"/>
        <w:tabs>
          <w:tab w:val="left" w:pos="709"/>
        </w:tabs>
        <w:spacing w:before="120" w:after="120"/>
        <w:rPr>
          <w:i/>
        </w:rPr>
      </w:pPr>
      <w:r w:rsidRPr="008E1FA7">
        <w:rPr>
          <w:i/>
        </w:rPr>
        <w:tab/>
        <w:t>De l</w:t>
      </w:r>
      <w:r w:rsidR="001503DA" w:rsidRPr="008E1FA7">
        <w:rPr>
          <w:i/>
        </w:rPr>
        <w:t>’</w:t>
      </w:r>
      <w:r w:rsidRPr="008E1FA7">
        <w:rPr>
          <w:i/>
        </w:rPr>
        <w:t>importance des effets signalés par rapport à la quantité de produit utilisé</w:t>
      </w:r>
      <w:r w:rsidR="00A30A8D" w:rsidRPr="008E1FA7">
        <w:rPr>
          <w:i/>
        </w:rPr>
        <w:t> ;</w:t>
      </w:r>
    </w:p>
    <w:p w14:paraId="7DDEF8A4" w14:textId="65D41FD5" w:rsidR="00371363" w:rsidRPr="008E1FA7" w:rsidRDefault="00371363" w:rsidP="00083016">
      <w:pPr>
        <w:pStyle w:val="Normal-pool"/>
        <w:spacing w:before="120" w:after="120"/>
      </w:pPr>
      <w:r w:rsidRPr="008E1FA7">
        <w:t>Au Tchad, le fenthion 640 ULV était apparemment utilisé dans les champs, près de cultures céréalières. En 2009, 2011 et 2012, il a été appliqué sur des sites de perchage au moyen de pulvérisateurs à dos motorisés. Les quantités suivantes avaient été employées : en 2009, 112 litres avaient été pulvérisés une heure par jour pendant 10 jours par six</w:t>
      </w:r>
      <w:r w:rsidR="00F40C92" w:rsidRPr="008E1FA7">
        <w:t> </w:t>
      </w:r>
      <w:r w:rsidRPr="008E1FA7">
        <w:t>équipes terrestres sur 45 sites de perchage (59 ha), à une dose de 1,8 l/ha; en 2011, 105,5 litres avaient été pulvérisés une heure par jour pendant 30 jours par six équipes terrestres sur 16 sites de perchage (54,7 ha) à une dose de 1,9 l/ha; en 2012, 275 litres avaient été pulvérisés une heure par jour pendant 30 jours sur 25 sites de perchage (53 ha) par trois équipes terrestres, à une dose de 3 l/ha.</w:t>
      </w:r>
    </w:p>
    <w:p w14:paraId="6DF5AE2D" w14:textId="504DCF46" w:rsidR="00371363" w:rsidRPr="008E1FA7" w:rsidRDefault="00371363" w:rsidP="00083016">
      <w:pPr>
        <w:pStyle w:val="Normal-pool"/>
        <w:spacing w:before="120" w:after="120"/>
      </w:pPr>
      <w:r w:rsidRPr="008E1FA7">
        <w:t>En 2011, la mission avait duré quarante</w:t>
      </w:r>
      <w:r w:rsidRPr="008E1FA7">
        <w:noBreakHyphen/>
        <w:t>cinq (45) jours pour les équipes chargées du repérage et de la lutte et quinze</w:t>
      </w:r>
      <w:r w:rsidR="00F40C92" w:rsidRPr="008E1FA7">
        <w:t> </w:t>
      </w:r>
      <w:r w:rsidRPr="008E1FA7">
        <w:t xml:space="preserve">(15) jours pour celles chargées des fournitures et de la surveillance, entre le 6 juin et le 21 juillet 2011. </w:t>
      </w:r>
    </w:p>
    <w:p w14:paraId="0527E545" w14:textId="77777777" w:rsidR="00371363" w:rsidRPr="008E1FA7" w:rsidRDefault="00371363" w:rsidP="00083016">
      <w:pPr>
        <w:pStyle w:val="Normal-pool"/>
        <w:spacing w:before="120" w:after="120"/>
      </w:pPr>
      <w:r w:rsidRPr="008E1FA7">
        <w:t>Compte tenu des informations disponibles, le Comité a conclu que ce critère était rempli.</w:t>
      </w:r>
    </w:p>
    <w:p w14:paraId="6693315A" w14:textId="3F6F1A07" w:rsidR="00371363" w:rsidRPr="008E1FA7" w:rsidRDefault="00371363" w:rsidP="007754B1">
      <w:pPr>
        <w:pStyle w:val="Normal-pool"/>
        <w:keepNext/>
        <w:keepLines/>
        <w:tabs>
          <w:tab w:val="left" w:pos="709"/>
        </w:tabs>
        <w:spacing w:before="120" w:after="120"/>
        <w:rPr>
          <w:b/>
        </w:rPr>
      </w:pPr>
      <w:r w:rsidRPr="008E1FA7">
        <w:rPr>
          <w:b/>
        </w:rPr>
        <w:t>6.</w:t>
      </w:r>
      <w:r w:rsidRPr="008E1FA7">
        <w:rPr>
          <w:b/>
        </w:rPr>
        <w:tab/>
        <w:t>Critère énoncé à l</w:t>
      </w:r>
      <w:r w:rsidR="001503DA" w:rsidRPr="008E1FA7">
        <w:rPr>
          <w:b/>
        </w:rPr>
        <w:t>’</w:t>
      </w:r>
      <w:r w:rsidRPr="008E1FA7">
        <w:rPr>
          <w:b/>
        </w:rPr>
        <w:t>alinéa e) de la troisième partie de l</w:t>
      </w:r>
      <w:r w:rsidR="001503DA" w:rsidRPr="008E1FA7">
        <w:rPr>
          <w:b/>
        </w:rPr>
        <w:t>’</w:t>
      </w:r>
      <w:r w:rsidRPr="008E1FA7">
        <w:rPr>
          <w:b/>
        </w:rPr>
        <w:t>Annexe IV</w:t>
      </w:r>
    </w:p>
    <w:p w14:paraId="37D926C2" w14:textId="57EADBCF" w:rsidR="00371363" w:rsidRPr="008E1FA7" w:rsidRDefault="00371363" w:rsidP="007754B1">
      <w:pPr>
        <w:pStyle w:val="Normal-pool"/>
        <w:keepNext/>
        <w:keepLines/>
        <w:tabs>
          <w:tab w:val="left" w:pos="709"/>
        </w:tabs>
        <w:spacing w:before="120" w:after="120"/>
        <w:rPr>
          <w:i/>
        </w:rPr>
      </w:pPr>
      <w:r w:rsidRPr="008E1FA7">
        <w:rPr>
          <w:i/>
        </w:rPr>
        <w:tab/>
        <w:t>Du fait qu</w:t>
      </w:r>
      <w:r w:rsidR="001503DA" w:rsidRPr="008E1FA7">
        <w:rPr>
          <w:i/>
        </w:rPr>
        <w:t>’</w:t>
      </w:r>
      <w:r w:rsidRPr="008E1FA7">
        <w:rPr>
          <w:i/>
        </w:rPr>
        <w:t>un abus intentionnel ne constitue pas en soi une raison suffisante pour inscrire une préparation à</w:t>
      </w:r>
      <w:r w:rsidR="00F40C92" w:rsidRPr="008E1FA7">
        <w:rPr>
          <w:i/>
        </w:rPr>
        <w:t> </w:t>
      </w:r>
      <w:r w:rsidRPr="008E1FA7">
        <w:rPr>
          <w:i/>
        </w:rPr>
        <w:t>l</w:t>
      </w:r>
      <w:r w:rsidR="001503DA" w:rsidRPr="008E1FA7">
        <w:rPr>
          <w:i/>
        </w:rPr>
        <w:t>’</w:t>
      </w:r>
      <w:r w:rsidRPr="008E1FA7">
        <w:rPr>
          <w:i/>
        </w:rPr>
        <w:t>Annexe III.</w:t>
      </w:r>
    </w:p>
    <w:p w14:paraId="20B0AAE2" w14:textId="6E1EF1C8" w:rsidR="00371363" w:rsidRPr="008E1FA7" w:rsidRDefault="00371363" w:rsidP="007754B1">
      <w:pPr>
        <w:pStyle w:val="Normal-pool"/>
        <w:keepNext/>
        <w:keepLines/>
        <w:spacing w:before="120" w:after="120"/>
      </w:pPr>
      <w:r w:rsidRPr="008E1FA7">
        <w:t>Rien n</w:t>
      </w:r>
      <w:r w:rsidR="001503DA" w:rsidRPr="008E1FA7">
        <w:t>’</w:t>
      </w:r>
      <w:r w:rsidRPr="008E1FA7">
        <w:t>indiquait que la proposition avait été motivée par un abus intentionnel.</w:t>
      </w:r>
    </w:p>
    <w:p w14:paraId="349861BD" w14:textId="77777777" w:rsidR="00371363" w:rsidRPr="008E1FA7" w:rsidRDefault="00371363" w:rsidP="00083016">
      <w:pPr>
        <w:pStyle w:val="Normal-pool"/>
        <w:spacing w:before="120" w:after="120"/>
      </w:pPr>
      <w:r w:rsidRPr="008E1FA7">
        <w:t>Compte tenu des informations disponibles, le Comité a conclu que ce critère était rempli.</w:t>
      </w:r>
    </w:p>
    <w:p w14:paraId="54EA6DFE" w14:textId="4E0C8A03" w:rsidR="00371363" w:rsidRPr="008E1FA7" w:rsidRDefault="00371363" w:rsidP="00083016">
      <w:pPr>
        <w:pStyle w:val="Normal-pool"/>
        <w:spacing w:before="120" w:after="120"/>
      </w:pPr>
      <w:r w:rsidRPr="008E1FA7">
        <w:t>Le Comité a conclu, à sa neuvième réunion, que la proposition présentée par le Tchad d</w:t>
      </w:r>
      <w:r w:rsidR="001503DA" w:rsidRPr="008E1FA7">
        <w:t>’</w:t>
      </w:r>
      <w:r w:rsidRPr="008E1FA7">
        <w:t>inscrire le fenthion 640 ULV (concentration de fenthion égale à 640 g/l) à l</w:t>
      </w:r>
      <w:r w:rsidR="001503DA" w:rsidRPr="008E1FA7">
        <w:t>’</w:t>
      </w:r>
      <w:r w:rsidRPr="008E1FA7">
        <w:t>Annexe III de la Convention dans la catégorie des préparations pesticides extrêmement dangereuses fournissait tous les renseignements demandés dans la première partie de l</w:t>
      </w:r>
      <w:r w:rsidR="001503DA" w:rsidRPr="008E1FA7">
        <w:t>’</w:t>
      </w:r>
      <w:r w:rsidRPr="008E1FA7">
        <w:t>Annexe IV et satisfaisait à tous les critères énoncés dans la troisième partie de l</w:t>
      </w:r>
      <w:r w:rsidR="001503DA" w:rsidRPr="008E1FA7">
        <w:t>’</w:t>
      </w:r>
      <w:r w:rsidRPr="008E1FA7">
        <w:t>Annexe IV à la Convention, compte tenu des informations rassemblées par le Secrétariat en application des dispositions de la deuxième partie de l</w:t>
      </w:r>
      <w:r w:rsidR="001503DA" w:rsidRPr="008E1FA7">
        <w:t>’</w:t>
      </w:r>
      <w:r w:rsidRPr="008E1FA7">
        <w:t>Annexe IV.</w:t>
      </w:r>
    </w:p>
    <w:p w14:paraId="408A9D6A" w14:textId="4E124545" w:rsidR="00371363" w:rsidRPr="008E1FA7" w:rsidRDefault="00371363" w:rsidP="00083016">
      <w:pPr>
        <w:pStyle w:val="Normal-pool"/>
        <w:spacing w:before="120" w:after="120"/>
      </w:pPr>
      <w:r w:rsidRPr="008E1FA7">
        <w:t>Par conséquent, le Comité recommande d</w:t>
      </w:r>
      <w:r w:rsidR="001503DA" w:rsidRPr="008E1FA7">
        <w:t>’</w:t>
      </w:r>
      <w:r w:rsidRPr="008E1FA7">
        <w:t>inscrire le fenthion 640 ULV (640 g/l de fenthion, n° CAS 55</w:t>
      </w:r>
      <w:r w:rsidRPr="008E1FA7">
        <w:noBreakHyphen/>
        <w:t>38</w:t>
      </w:r>
      <w:r w:rsidRPr="008E1FA7">
        <w:noBreakHyphen/>
        <w:t>9) à l</w:t>
      </w:r>
      <w:r w:rsidR="001503DA" w:rsidRPr="008E1FA7">
        <w:t>’</w:t>
      </w:r>
      <w:r w:rsidRPr="008E1FA7">
        <w:t xml:space="preserve">Annexe III de la Convention de Rotterdam dans la catégorie des préparations pesticides extrêmement dangereuses. </w:t>
      </w:r>
    </w:p>
    <w:p w14:paraId="20C5B3D1" w14:textId="77777777" w:rsidR="00371363" w:rsidRPr="008E1FA7" w:rsidRDefault="00371363" w:rsidP="00371363">
      <w:pPr>
        <w:spacing w:after="120"/>
        <w:ind w:firstLine="720"/>
        <w:rPr>
          <w:i/>
          <w:sz w:val="4"/>
          <w:szCs w:val="4"/>
        </w:rPr>
      </w:pPr>
      <w:r w:rsidRPr="008E1FA7">
        <w:rPr>
          <w:i/>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41D96A56" w14:textId="77777777" w:rsidTr="00083016">
        <w:trPr>
          <w:cantSplit/>
          <w:jc w:val="right"/>
        </w:trPr>
        <w:tc>
          <w:tcPr>
            <w:tcW w:w="9504" w:type="dxa"/>
            <w:shd w:val="pct12" w:color="000000" w:fill="FFFFFF"/>
          </w:tcPr>
          <w:p w14:paraId="5B901744" w14:textId="36B39794" w:rsidR="00371363" w:rsidRPr="008E1FA7" w:rsidRDefault="00371363" w:rsidP="00513F56">
            <w:pPr>
              <w:pStyle w:val="CH2"/>
            </w:pPr>
            <w:r w:rsidRPr="008E1FA7">
              <w:rPr>
                <w:bCs/>
                <w:kern w:val="28"/>
              </w:rPr>
              <w:br w:type="page"/>
            </w:r>
            <w:r w:rsidRPr="008E1FA7">
              <w:rPr>
                <w:bCs/>
                <w:kern w:val="28"/>
              </w:rPr>
              <w:br w:type="page"/>
            </w:r>
            <w:r w:rsidRPr="008E1FA7">
              <w:rPr>
                <w:bCs/>
                <w:kern w:val="28"/>
              </w:rPr>
              <w:br w:type="page"/>
            </w:r>
            <w:r w:rsidRPr="008E1FA7">
              <w:rPr>
                <w:bCs/>
                <w:kern w:val="28"/>
              </w:rPr>
              <w:br w:type="page"/>
            </w:r>
            <w:r w:rsidRPr="008E1FA7">
              <w:rPr>
                <w:bCs/>
                <w:kern w:val="28"/>
              </w:rPr>
              <w:br w:type="page"/>
            </w:r>
            <w:r w:rsidRPr="008E1FA7">
              <w:rPr>
                <w:bCs/>
                <w:kern w:val="28"/>
              </w:rPr>
              <w:br w:type="page"/>
              <w:t>Annexe II</w:t>
            </w:r>
            <w:r w:rsidR="0037410E" w:rsidRPr="008E1FA7">
              <w:rPr>
                <w:bCs/>
                <w:kern w:val="28"/>
              </w:rPr>
              <w:t xml:space="preserve">  </w:t>
            </w:r>
            <w:r w:rsidRPr="008E1FA7">
              <w:t>Informations sur l</w:t>
            </w:r>
            <w:r w:rsidR="001503DA" w:rsidRPr="008E1FA7">
              <w:t>’</w:t>
            </w:r>
            <w:r w:rsidRPr="008E1FA7">
              <w:t>incident signalé, tirées du rapport d</w:t>
            </w:r>
            <w:r w:rsidR="001503DA" w:rsidRPr="008E1FA7">
              <w:t>’</w:t>
            </w:r>
            <w:r w:rsidRPr="008E1FA7">
              <w:t>incident</w:t>
            </w:r>
          </w:p>
        </w:tc>
      </w:tr>
    </w:tbl>
    <w:p w14:paraId="4CD14EE4" w14:textId="77777777" w:rsidR="00371363" w:rsidRPr="008E1FA7" w:rsidRDefault="00371363" w:rsidP="00083016"/>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371363" w:rsidRPr="008E1FA7" w14:paraId="01C0F9CC" w14:textId="77777777" w:rsidTr="00F916F6">
        <w:trPr>
          <w:jc w:val="right"/>
        </w:trPr>
        <w:tc>
          <w:tcPr>
            <w:tcW w:w="9480" w:type="dxa"/>
            <w:tcBorders>
              <w:top w:val="single" w:sz="4" w:space="0" w:color="auto"/>
              <w:bottom w:val="single" w:sz="6" w:space="0" w:color="auto"/>
            </w:tcBorders>
            <w:shd w:val="clear" w:color="auto" w:fill="auto"/>
          </w:tcPr>
          <w:p w14:paraId="7F65DC4A" w14:textId="77777777" w:rsidR="00371363" w:rsidRPr="008E1FA7" w:rsidRDefault="00371363" w:rsidP="00F916F6">
            <w:pPr>
              <w:pStyle w:val="CH3"/>
            </w:pPr>
            <w:r w:rsidRPr="008E1FA7">
              <w:t>Nom du pays : Tchad</w:t>
            </w:r>
          </w:p>
        </w:tc>
      </w:tr>
    </w:tbl>
    <w:p w14:paraId="633BC4C6" w14:textId="77777777" w:rsidR="00371363" w:rsidRPr="008E1FA7" w:rsidRDefault="00371363" w:rsidP="00083016"/>
    <w:p w14:paraId="06F8CC95" w14:textId="108403A1" w:rsidR="00371363" w:rsidRPr="008E1FA7" w:rsidRDefault="00371363" w:rsidP="00083016">
      <w:r w:rsidRPr="008E1FA7">
        <w:t>Adresse de l</w:t>
      </w:r>
      <w:r w:rsidR="001503DA" w:rsidRPr="008E1FA7">
        <w:t>’</w:t>
      </w:r>
      <w:r w:rsidRPr="008E1FA7">
        <w:t xml:space="preserve">autorité nationale désignée </w:t>
      </w:r>
    </w:p>
    <w:p w14:paraId="11CD22C9" w14:textId="77777777" w:rsidR="00371363" w:rsidRPr="008E1FA7" w:rsidRDefault="00371363" w:rsidP="00371363"/>
    <w:tbl>
      <w:tblPr>
        <w:tblW w:w="5000" w:type="pct"/>
        <w:jc w:val="right"/>
        <w:tblLayout w:type="fixed"/>
        <w:tblLook w:val="0000" w:firstRow="0" w:lastRow="0" w:firstColumn="0" w:lastColumn="0" w:noHBand="0" w:noVBand="0"/>
      </w:tblPr>
      <w:tblGrid>
        <w:gridCol w:w="5313"/>
        <w:gridCol w:w="4167"/>
      </w:tblGrid>
      <w:tr w:rsidR="00371363" w:rsidRPr="008E1FA7" w14:paraId="6B799365" w14:textId="77777777" w:rsidTr="00F916F6">
        <w:trPr>
          <w:cantSplit/>
          <w:jc w:val="right"/>
        </w:trPr>
        <w:tc>
          <w:tcPr>
            <w:tcW w:w="9576" w:type="dxa"/>
            <w:gridSpan w:val="2"/>
            <w:tcBorders>
              <w:top w:val="single" w:sz="4" w:space="0" w:color="auto"/>
              <w:left w:val="single" w:sz="6" w:space="0" w:color="auto"/>
              <w:bottom w:val="single" w:sz="6" w:space="0" w:color="auto"/>
              <w:right w:val="single" w:sz="6" w:space="0" w:color="auto"/>
            </w:tcBorders>
            <w:shd w:val="clear" w:color="auto" w:fill="auto"/>
          </w:tcPr>
          <w:p w14:paraId="05BC2468" w14:textId="77777777" w:rsidR="00371363" w:rsidRPr="008E1FA7" w:rsidRDefault="00371363" w:rsidP="00371363">
            <w:pPr>
              <w:widowControl w:val="0"/>
              <w:spacing w:before="80"/>
              <w:rPr>
                <w:b/>
                <w:bCs/>
                <w:i/>
                <w:snapToGrid w:val="0"/>
                <w:szCs w:val="24"/>
              </w:rPr>
            </w:pPr>
            <w:r w:rsidRPr="008E1FA7">
              <w:rPr>
                <w:b/>
                <w:bCs/>
                <w:i/>
                <w:snapToGrid w:val="0"/>
                <w:szCs w:val="24"/>
              </w:rPr>
              <w:t>Tchad</w:t>
            </w:r>
          </w:p>
          <w:p w14:paraId="1DCD63C7" w14:textId="77777777" w:rsidR="00371363" w:rsidRPr="008E1FA7" w:rsidRDefault="00371363" w:rsidP="00371363">
            <w:pPr>
              <w:widowControl w:val="0"/>
              <w:spacing w:before="80"/>
              <w:rPr>
                <w:b/>
                <w:bCs/>
                <w:i/>
                <w:snapToGrid w:val="0"/>
              </w:rPr>
            </w:pPr>
            <w:r w:rsidRPr="008E1FA7">
              <w:rPr>
                <w:b/>
                <w:bCs/>
                <w:i/>
                <w:snapToGrid w:val="0"/>
                <w:szCs w:val="24"/>
              </w:rPr>
              <w:t>Pesticides</w:t>
            </w:r>
          </w:p>
        </w:tc>
      </w:tr>
      <w:tr w:rsidR="00371363" w:rsidRPr="008E1FA7" w14:paraId="49B3D352" w14:textId="77777777" w:rsidTr="00083016">
        <w:trPr>
          <w:cantSplit/>
          <w:jc w:val="right"/>
        </w:trPr>
        <w:tc>
          <w:tcPr>
            <w:tcW w:w="5367" w:type="dxa"/>
            <w:tcBorders>
              <w:right w:val="single" w:sz="4" w:space="0" w:color="auto"/>
            </w:tcBorders>
            <w:shd w:val="clear" w:color="auto" w:fill="auto"/>
          </w:tcPr>
          <w:p w14:paraId="32187C2F" w14:textId="77777777" w:rsidR="00371363" w:rsidRPr="008E1FA7" w:rsidRDefault="00371363" w:rsidP="00371363">
            <w:pPr>
              <w:spacing w:after="150"/>
            </w:pPr>
          </w:p>
          <w:p w14:paraId="7060DF87" w14:textId="77777777" w:rsidR="00371363" w:rsidRPr="008E1FA7" w:rsidRDefault="00371363" w:rsidP="00371363">
            <w:pPr>
              <w:spacing w:after="150"/>
            </w:pPr>
            <w:r w:rsidRPr="008E1FA7">
              <w:t xml:space="preserve">M. Moussa </w:t>
            </w:r>
            <w:proofErr w:type="spellStart"/>
            <w:r w:rsidRPr="008E1FA7">
              <w:t>Abderaman</w:t>
            </w:r>
            <w:proofErr w:type="spellEnd"/>
            <w:r w:rsidRPr="008E1FA7">
              <w:t xml:space="preserve"> Abdoulaye</w:t>
            </w:r>
          </w:p>
          <w:p w14:paraId="4F6C30AF" w14:textId="00F8CE41" w:rsidR="00371363" w:rsidRPr="008E1FA7" w:rsidRDefault="00371363" w:rsidP="00371363">
            <w:pPr>
              <w:spacing w:after="150"/>
            </w:pPr>
            <w:r w:rsidRPr="008E1FA7">
              <w:t>Directeur Adjoint / Chargé de la gestion des pesticides</w:t>
            </w:r>
            <w:r w:rsidRPr="008E1FA7">
              <w:br/>
              <w:t>Direction de Protection des Végétaux et du Conditionnement (DPVC)</w:t>
            </w:r>
            <w:r w:rsidRPr="008E1FA7">
              <w:br/>
              <w:t>Ministère de l</w:t>
            </w:r>
            <w:r w:rsidR="001503DA" w:rsidRPr="008E1FA7">
              <w:t>’</w:t>
            </w:r>
            <w:r w:rsidRPr="008E1FA7">
              <w:t>Agriculture et de l</w:t>
            </w:r>
            <w:r w:rsidR="001503DA" w:rsidRPr="008E1FA7">
              <w:t>’</w:t>
            </w:r>
            <w:r w:rsidRPr="008E1FA7">
              <w:t>Irrigation</w:t>
            </w:r>
            <w:r w:rsidRPr="008E1FA7">
              <w:br/>
              <w:t>B.P. 1551</w:t>
            </w:r>
            <w:r w:rsidRPr="008E1FA7">
              <w:br/>
              <w:t>N</w:t>
            </w:r>
            <w:r w:rsidR="001503DA" w:rsidRPr="008E1FA7">
              <w:t>’</w:t>
            </w:r>
            <w:r w:rsidRPr="008E1FA7">
              <w:t xml:space="preserve">Djamena </w:t>
            </w:r>
            <w:r w:rsidRPr="008E1FA7">
              <w:br/>
              <w:t>Tchad</w:t>
            </w:r>
          </w:p>
          <w:p w14:paraId="0494801F" w14:textId="77777777" w:rsidR="00371363" w:rsidRPr="008E1FA7" w:rsidRDefault="00371363" w:rsidP="00371363">
            <w:pPr>
              <w:tabs>
                <w:tab w:val="left" w:pos="-720"/>
                <w:tab w:val="left" w:pos="0"/>
                <w:tab w:val="left" w:pos="720"/>
              </w:tabs>
              <w:suppressAutoHyphens/>
              <w:rPr>
                <w:b/>
                <w:i/>
              </w:rPr>
            </w:pPr>
          </w:p>
        </w:tc>
        <w:tc>
          <w:tcPr>
            <w:tcW w:w="4209" w:type="dxa"/>
            <w:tcBorders>
              <w:left w:val="single" w:sz="4" w:space="0" w:color="auto"/>
            </w:tcBorders>
            <w:shd w:val="clear" w:color="auto" w:fill="auto"/>
          </w:tcPr>
          <w:p w14:paraId="5003D0DF" w14:textId="77777777" w:rsidR="00371363" w:rsidRPr="008E1FA7" w:rsidRDefault="00371363" w:rsidP="00371363">
            <w:pPr>
              <w:rPr>
                <w:b/>
              </w:rPr>
            </w:pPr>
          </w:p>
          <w:p w14:paraId="3D70C9E9" w14:textId="77777777" w:rsidR="00371363" w:rsidRPr="008E1FA7" w:rsidRDefault="00371363" w:rsidP="00371363">
            <w:pPr>
              <w:spacing w:after="150"/>
              <w:rPr>
                <w:b/>
              </w:rPr>
            </w:pPr>
          </w:p>
          <w:p w14:paraId="2AFED3C0" w14:textId="77777777" w:rsidR="00371363" w:rsidRPr="008E1FA7" w:rsidRDefault="00371363" w:rsidP="00371363">
            <w:pPr>
              <w:spacing w:after="150"/>
            </w:pPr>
            <w:r w:rsidRPr="008E1FA7">
              <w:rPr>
                <w:b/>
              </w:rPr>
              <w:t xml:space="preserve">Téléphone : </w:t>
            </w:r>
            <w:r w:rsidRPr="008E1FA7">
              <w:t>+235 66 32 52 52</w:t>
            </w:r>
          </w:p>
          <w:p w14:paraId="0D0E3A01" w14:textId="77777777" w:rsidR="00371363" w:rsidRPr="008E1FA7" w:rsidRDefault="00371363" w:rsidP="00371363"/>
          <w:p w14:paraId="75D3F640" w14:textId="77777777" w:rsidR="00371363" w:rsidRPr="008E1FA7" w:rsidRDefault="00371363" w:rsidP="00371363">
            <w:r w:rsidRPr="008E1FA7">
              <w:rPr>
                <w:b/>
              </w:rPr>
              <w:t>Fax :</w:t>
            </w:r>
            <w:r w:rsidRPr="008E1FA7">
              <w:t xml:space="preserve"> +235 99 32 52 52</w:t>
            </w:r>
          </w:p>
          <w:p w14:paraId="5F9AF6CD" w14:textId="77777777" w:rsidR="00371363" w:rsidRPr="008E1FA7" w:rsidRDefault="00371363" w:rsidP="00371363"/>
          <w:p w14:paraId="56FAF28F" w14:textId="77777777" w:rsidR="00371363" w:rsidRPr="008E1FA7" w:rsidRDefault="00371363" w:rsidP="00371363">
            <w:r w:rsidRPr="008E1FA7">
              <w:rPr>
                <w:b/>
              </w:rPr>
              <w:t>Mél :</w:t>
            </w:r>
            <w:r w:rsidRPr="008E1FA7">
              <w:t xml:space="preserve"> charafa2009@gmail.com</w:t>
            </w:r>
          </w:p>
          <w:p w14:paraId="74383ADA" w14:textId="77777777" w:rsidR="00371363" w:rsidRPr="008E1FA7" w:rsidRDefault="00371363" w:rsidP="00371363"/>
          <w:p w14:paraId="2C36B468" w14:textId="77777777" w:rsidR="00371363" w:rsidRPr="008E1FA7" w:rsidRDefault="00371363" w:rsidP="00371363"/>
        </w:tc>
      </w:tr>
    </w:tbl>
    <w:p w14:paraId="12BECCF4" w14:textId="07840A28" w:rsidR="00371363" w:rsidRPr="008E1FA7" w:rsidRDefault="00371363" w:rsidP="00B567EE">
      <w:pPr>
        <w:rPr>
          <w:sz w:val="16"/>
        </w:rPr>
      </w:pPr>
    </w:p>
    <w:p w14:paraId="6F865581" w14:textId="77777777" w:rsidR="00B567EE" w:rsidRPr="008E1FA7" w:rsidRDefault="00B567EE" w:rsidP="00B567EE">
      <w:pPr>
        <w:rPr>
          <w:sz w:val="16"/>
        </w:rPr>
      </w:pPr>
    </w:p>
    <w:p w14:paraId="3CC97027" w14:textId="77777777" w:rsidR="00371363" w:rsidRPr="008E1FA7" w:rsidRDefault="00371363" w:rsidP="00371363">
      <w:pPr>
        <w:pBdr>
          <w:top w:val="single" w:sz="6" w:space="1" w:color="auto"/>
          <w:left w:val="single" w:sz="6" w:space="0" w:color="auto"/>
          <w:bottom w:val="single" w:sz="6" w:space="1" w:color="auto"/>
          <w:right w:val="single" w:sz="6" w:space="0" w:color="auto"/>
        </w:pBdr>
        <w:shd w:val="pct5" w:color="auto" w:fill="FFFFFF"/>
        <w:jc w:val="center"/>
        <w:rPr>
          <w:b/>
          <w:sz w:val="16"/>
        </w:rPr>
      </w:pPr>
    </w:p>
    <w:p w14:paraId="16E054E6" w14:textId="6D9326F9" w:rsidR="00371363" w:rsidRPr="008E1FA7" w:rsidRDefault="00371363" w:rsidP="00371363">
      <w:pPr>
        <w:pBdr>
          <w:top w:val="single" w:sz="6" w:space="1" w:color="auto"/>
          <w:left w:val="single" w:sz="6" w:space="0" w:color="auto"/>
          <w:bottom w:val="single" w:sz="6" w:space="1" w:color="auto"/>
          <w:right w:val="single" w:sz="6" w:space="0" w:color="auto"/>
        </w:pBdr>
        <w:shd w:val="pct5" w:color="auto" w:fill="FFFFFF"/>
        <w:jc w:val="center"/>
        <w:rPr>
          <w:b/>
          <w:sz w:val="24"/>
          <w:szCs w:val="24"/>
        </w:rPr>
      </w:pPr>
      <w:r w:rsidRPr="008E1FA7">
        <w:rPr>
          <w:b/>
          <w:sz w:val="24"/>
          <w:szCs w:val="24"/>
        </w:rPr>
        <w:t>PARTIE B – FORMULAIRE DE RAPPORT D</w:t>
      </w:r>
      <w:r w:rsidR="001503DA" w:rsidRPr="008E1FA7">
        <w:rPr>
          <w:b/>
          <w:sz w:val="24"/>
          <w:szCs w:val="24"/>
        </w:rPr>
        <w:t>’</w:t>
      </w:r>
      <w:r w:rsidRPr="008E1FA7">
        <w:rPr>
          <w:b/>
          <w:sz w:val="24"/>
          <w:szCs w:val="24"/>
        </w:rPr>
        <w:t>INCIDENT D</w:t>
      </w:r>
      <w:r w:rsidR="001503DA" w:rsidRPr="008E1FA7">
        <w:rPr>
          <w:b/>
          <w:sz w:val="24"/>
          <w:szCs w:val="24"/>
        </w:rPr>
        <w:t>’</w:t>
      </w:r>
      <w:r w:rsidRPr="008E1FA7">
        <w:rPr>
          <w:b/>
          <w:sz w:val="24"/>
          <w:szCs w:val="24"/>
        </w:rPr>
        <w:t xml:space="preserve">INTOXICATION </w:t>
      </w:r>
      <w:r w:rsidR="00F916F6" w:rsidRPr="008E1FA7">
        <w:rPr>
          <w:b/>
          <w:sz w:val="24"/>
          <w:szCs w:val="24"/>
        </w:rPr>
        <w:br/>
      </w:r>
      <w:r w:rsidRPr="008E1FA7">
        <w:rPr>
          <w:b/>
          <w:sz w:val="24"/>
          <w:szCs w:val="24"/>
        </w:rPr>
        <w:t>PAR LES PESTICIDES</w:t>
      </w:r>
    </w:p>
    <w:p w14:paraId="3725AF08" w14:textId="77777777" w:rsidR="00371363" w:rsidRPr="008E1FA7" w:rsidRDefault="00371363" w:rsidP="00371363">
      <w:pPr>
        <w:pBdr>
          <w:top w:val="single" w:sz="6" w:space="1" w:color="auto"/>
          <w:left w:val="single" w:sz="6" w:space="0" w:color="auto"/>
          <w:bottom w:val="single" w:sz="6" w:space="1" w:color="auto"/>
          <w:right w:val="single" w:sz="6" w:space="0" w:color="auto"/>
        </w:pBdr>
        <w:shd w:val="pct5" w:color="auto" w:fill="FFFFFF"/>
        <w:jc w:val="center"/>
        <w:rPr>
          <w:b/>
          <w:sz w:val="16"/>
        </w:rPr>
      </w:pPr>
    </w:p>
    <w:p w14:paraId="3BB89794" w14:textId="77777777" w:rsidR="00371363" w:rsidRPr="008E1FA7" w:rsidRDefault="00371363" w:rsidP="00371363"/>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6"/>
      </w:tblGrid>
      <w:tr w:rsidR="00371363" w:rsidRPr="008E1FA7" w14:paraId="7E3FE6C1" w14:textId="77777777" w:rsidTr="00F916F6">
        <w:trPr>
          <w:jc w:val="right"/>
        </w:trPr>
        <w:tc>
          <w:tcPr>
            <w:tcW w:w="9466" w:type="dxa"/>
            <w:tcBorders>
              <w:top w:val="double" w:sz="4" w:space="0" w:color="auto"/>
              <w:left w:val="double" w:sz="4" w:space="0" w:color="auto"/>
              <w:bottom w:val="single" w:sz="4" w:space="0" w:color="auto"/>
              <w:right w:val="double" w:sz="4" w:space="0" w:color="auto"/>
            </w:tcBorders>
            <w:shd w:val="pct5" w:color="auto" w:fill="FFFFFF"/>
          </w:tcPr>
          <w:p w14:paraId="339BE228" w14:textId="14D89748" w:rsidR="00371363" w:rsidRPr="008E1FA7" w:rsidRDefault="00371363" w:rsidP="00B567EE">
            <w:pPr>
              <w:autoSpaceDE w:val="0"/>
              <w:autoSpaceDN w:val="0"/>
              <w:adjustRightInd w:val="0"/>
              <w:spacing w:before="200" w:after="200"/>
              <w:jc w:val="center"/>
              <w:rPr>
                <w:b/>
                <w:bCs/>
                <w:lang w:eastAsia="de-DE"/>
              </w:rPr>
            </w:pPr>
            <w:r w:rsidRPr="008E1FA7">
              <w:rPr>
                <w:b/>
                <w:bCs/>
                <w:lang w:eastAsia="de-DE"/>
              </w:rPr>
              <w:t xml:space="preserve">I.  Identité du produit : </w:t>
            </w:r>
            <w:r w:rsidRPr="008E1FA7">
              <w:rPr>
                <w:bCs/>
                <w:i/>
                <w:lang w:eastAsia="de-DE"/>
              </w:rPr>
              <w:t>Quelle préparation était utilisée quand l</w:t>
            </w:r>
            <w:r w:rsidR="001503DA" w:rsidRPr="008E1FA7">
              <w:rPr>
                <w:bCs/>
                <w:i/>
                <w:lang w:eastAsia="de-DE"/>
              </w:rPr>
              <w:t>’</w:t>
            </w:r>
            <w:r w:rsidRPr="008E1FA7">
              <w:rPr>
                <w:bCs/>
                <w:i/>
                <w:lang w:eastAsia="de-DE"/>
              </w:rPr>
              <w:t>incident est survenu</w:t>
            </w:r>
            <w:r w:rsidR="00D52BD2" w:rsidRPr="008E1FA7">
              <w:rPr>
                <w:bCs/>
                <w:i/>
                <w:lang w:eastAsia="de-DE"/>
              </w:rPr>
              <w:t> </w:t>
            </w:r>
            <w:r w:rsidRPr="008E1FA7">
              <w:rPr>
                <w:bCs/>
                <w:i/>
                <w:lang w:eastAsia="de-DE"/>
              </w:rPr>
              <w:t>?</w:t>
            </w:r>
          </w:p>
        </w:tc>
      </w:tr>
      <w:tr w:rsidR="00371363" w:rsidRPr="008E1FA7" w14:paraId="61781562" w14:textId="77777777" w:rsidTr="00F916F6">
        <w:trPr>
          <w:jc w:val="right"/>
        </w:trPr>
        <w:tc>
          <w:tcPr>
            <w:tcW w:w="9466" w:type="dxa"/>
            <w:tcBorders>
              <w:top w:val="single" w:sz="4" w:space="0" w:color="auto"/>
              <w:left w:val="double" w:sz="4" w:space="0" w:color="auto"/>
              <w:bottom w:val="double" w:sz="4" w:space="0" w:color="auto"/>
              <w:right w:val="double" w:sz="4" w:space="0" w:color="auto"/>
            </w:tcBorders>
          </w:tcPr>
          <w:p w14:paraId="74846C3A" w14:textId="3B9ED212" w:rsidR="00371363" w:rsidRPr="008E1FA7" w:rsidRDefault="00371363" w:rsidP="00F0764B">
            <w:pPr>
              <w:tabs>
                <w:tab w:val="left" w:pos="2574"/>
                <w:tab w:val="right" w:leader="dot" w:pos="9185"/>
              </w:tabs>
              <w:autoSpaceDE w:val="0"/>
              <w:autoSpaceDN w:val="0"/>
              <w:adjustRightInd w:val="0"/>
              <w:spacing w:beforeLines="40" w:before="96" w:after="120"/>
              <w:rPr>
                <w:b/>
                <w:bCs/>
                <w:lang w:eastAsia="de-DE"/>
              </w:rPr>
            </w:pPr>
            <w:r w:rsidRPr="008E1FA7">
              <w:rPr>
                <w:b/>
                <w:bCs/>
                <w:lang w:eastAsia="de-DE"/>
              </w:rPr>
              <w:t xml:space="preserve">1. Nom de la préparation : </w:t>
            </w:r>
            <w:r w:rsidRPr="008E1FA7">
              <w:rPr>
                <w:bCs/>
                <w:lang w:eastAsia="de-DE"/>
              </w:rPr>
              <w:tab/>
            </w:r>
            <w:r w:rsidRPr="008E1FA7">
              <w:rPr>
                <w:b/>
                <w:bCs/>
                <w:lang w:eastAsia="de-DE"/>
              </w:rPr>
              <w:t>FENTHION</w:t>
            </w:r>
            <w:r w:rsidR="00F0764B" w:rsidRPr="008E1FA7">
              <w:rPr>
                <w:lang w:eastAsia="de-DE"/>
              </w:rPr>
              <w:tab/>
            </w:r>
          </w:p>
          <w:p w14:paraId="1738DF7D" w14:textId="77777777" w:rsidR="00371363" w:rsidRPr="008E1FA7" w:rsidRDefault="00371363" w:rsidP="00B476AA">
            <w:pPr>
              <w:tabs>
                <w:tab w:val="left" w:pos="3424"/>
              </w:tabs>
              <w:autoSpaceDE w:val="0"/>
              <w:autoSpaceDN w:val="0"/>
              <w:adjustRightInd w:val="0"/>
              <w:spacing w:beforeLines="40" w:before="96" w:after="120"/>
              <w:rPr>
                <w:b/>
                <w:bCs/>
                <w:lang w:eastAsia="de-DE"/>
              </w:rPr>
            </w:pPr>
            <w:r w:rsidRPr="008E1FA7">
              <w:rPr>
                <w:b/>
                <w:bCs/>
                <w:lang w:eastAsia="de-DE"/>
              </w:rPr>
              <w:t xml:space="preserve">2. Type de préparation (cocher la case correspondante) : </w:t>
            </w:r>
          </w:p>
          <w:p w14:paraId="7BE27FF8" w14:textId="063ACFEF" w:rsidR="00371363" w:rsidRPr="008E1FA7" w:rsidRDefault="00371363" w:rsidP="00B476AA">
            <w:pPr>
              <w:tabs>
                <w:tab w:val="left" w:pos="993"/>
                <w:tab w:val="left" w:pos="3424"/>
                <w:tab w:val="left" w:pos="3849"/>
                <w:tab w:val="left" w:pos="6521"/>
                <w:tab w:val="right" w:leader="dot" w:pos="9356"/>
              </w:tabs>
              <w:spacing w:after="120"/>
              <w:ind w:left="318"/>
              <w:rPr>
                <w:i/>
              </w:rPr>
            </w:pPr>
            <w:r w:rsidRPr="008E1FA7">
              <w:sym w:font="Wingdings" w:char="F0A8"/>
            </w:r>
            <w:r w:rsidRPr="008E1FA7">
              <w:t xml:space="preserve"> </w:t>
            </w:r>
            <w:r w:rsidRPr="008E1FA7">
              <w:rPr>
                <w:i/>
              </w:rPr>
              <w:t>Conc. émulsionnable (EC)</w:t>
            </w:r>
            <w:r w:rsidRPr="008E1FA7">
              <w:rPr>
                <w:i/>
              </w:rPr>
              <w:tab/>
            </w:r>
            <w:r w:rsidRPr="008E1FA7">
              <w:sym w:font="Wingdings" w:char="F0A8"/>
            </w:r>
            <w:r w:rsidRPr="008E1FA7">
              <w:t xml:space="preserve"> </w:t>
            </w:r>
            <w:r w:rsidRPr="008E1FA7">
              <w:rPr>
                <w:i/>
              </w:rPr>
              <w:t>Poudre mouillable (WP)</w:t>
            </w:r>
            <w:r w:rsidRPr="008E1FA7">
              <w:rPr>
                <w:i/>
              </w:rPr>
              <w:tab/>
            </w:r>
            <w:r w:rsidRPr="008E1FA7">
              <w:sym w:font="Wingdings" w:char="F0A8"/>
            </w:r>
            <w:r w:rsidRPr="008E1FA7">
              <w:t xml:space="preserve"> </w:t>
            </w:r>
            <w:r w:rsidRPr="008E1FA7">
              <w:rPr>
                <w:i/>
              </w:rPr>
              <w:t>Poudre pour poudrage (DP)</w:t>
            </w:r>
          </w:p>
          <w:p w14:paraId="139019AD" w14:textId="77785F16" w:rsidR="00B476AA" w:rsidRPr="008E1FA7" w:rsidRDefault="00371363" w:rsidP="00B476AA">
            <w:pPr>
              <w:tabs>
                <w:tab w:val="left" w:pos="993"/>
                <w:tab w:val="left" w:pos="3424"/>
                <w:tab w:val="left" w:pos="3828"/>
                <w:tab w:val="left" w:pos="7818"/>
                <w:tab w:val="right" w:leader="dot" w:pos="9356"/>
              </w:tabs>
              <w:spacing w:after="120"/>
              <w:ind w:left="318"/>
              <w:rPr>
                <w:i/>
              </w:rPr>
            </w:pPr>
            <w:r w:rsidRPr="008E1FA7">
              <w:sym w:font="Wingdings" w:char="F0A8"/>
            </w:r>
            <w:r w:rsidRPr="008E1FA7">
              <w:t xml:space="preserve"> </w:t>
            </w:r>
            <w:r w:rsidRPr="008E1FA7">
              <w:rPr>
                <w:i/>
              </w:rPr>
              <w:t>Poudre soluble dans l</w:t>
            </w:r>
            <w:r w:rsidR="001503DA" w:rsidRPr="008E1FA7">
              <w:rPr>
                <w:i/>
              </w:rPr>
              <w:t>’</w:t>
            </w:r>
            <w:r w:rsidRPr="008E1FA7">
              <w:rPr>
                <w:i/>
              </w:rPr>
              <w:t xml:space="preserve">eau (SP) </w:t>
            </w:r>
            <w:r w:rsidRPr="008E1FA7">
              <w:rPr>
                <w:i/>
              </w:rPr>
              <w:tab/>
            </w:r>
            <w:r w:rsidR="00B476AA" w:rsidRPr="008E1FA7">
              <w:rPr>
                <w:rFonts w:eastAsia="Arial Unicode MS"/>
                <w:b/>
                <w:lang w:eastAsia="de-DE"/>
              </w:rPr>
              <w:t>X</w:t>
            </w:r>
            <w:r w:rsidR="00B476AA" w:rsidRPr="008E1FA7">
              <w:t xml:space="preserve"> </w:t>
            </w:r>
            <w:r w:rsidR="00B476AA" w:rsidRPr="008E1FA7">
              <w:rPr>
                <w:i/>
              </w:rPr>
              <w:t>Liquide pour application à très bas volume (ULV)</w:t>
            </w:r>
            <w:r w:rsidR="00B476AA" w:rsidRPr="008E1FA7">
              <w:rPr>
                <w:i/>
              </w:rPr>
              <w:tab/>
            </w:r>
            <w:r w:rsidRPr="008E1FA7">
              <w:sym w:font="Wingdings" w:char="F0A8"/>
            </w:r>
            <w:r w:rsidRPr="008E1FA7">
              <w:t xml:space="preserve"> </w:t>
            </w:r>
            <w:r w:rsidRPr="008E1FA7">
              <w:rPr>
                <w:i/>
              </w:rPr>
              <w:t>Tablette (TB)</w:t>
            </w:r>
          </w:p>
          <w:p w14:paraId="2BC752B3" w14:textId="50B5D561" w:rsidR="00371363" w:rsidRPr="008E1FA7" w:rsidRDefault="00371363" w:rsidP="00F02AD9">
            <w:pPr>
              <w:tabs>
                <w:tab w:val="left" w:pos="993"/>
                <w:tab w:val="left" w:pos="3424"/>
                <w:tab w:val="left" w:pos="3828"/>
                <w:tab w:val="left" w:pos="6521"/>
                <w:tab w:val="right" w:leader="dot" w:pos="9356"/>
              </w:tabs>
              <w:spacing w:after="120"/>
              <w:ind w:left="318"/>
              <w:rPr>
                <w:i/>
              </w:rPr>
            </w:pPr>
            <w:r w:rsidRPr="008E1FA7">
              <w:sym w:font="Wingdings" w:char="F0A8"/>
            </w:r>
            <w:r w:rsidRPr="008E1FA7">
              <w:t xml:space="preserve"> </w:t>
            </w:r>
            <w:r w:rsidRPr="008E1FA7">
              <w:rPr>
                <w:i/>
              </w:rPr>
              <w:t>Granulé (GR)</w:t>
            </w:r>
            <w:r w:rsidR="00B476AA" w:rsidRPr="008E1FA7">
              <w:rPr>
                <w:i/>
              </w:rPr>
              <w:tab/>
            </w:r>
            <w:r w:rsidRPr="008E1FA7">
              <w:sym w:font="Wingdings" w:char="F0A8"/>
            </w:r>
            <w:r w:rsidRPr="008E1FA7">
              <w:rPr>
                <w:i/>
              </w:rPr>
              <w:t xml:space="preserve"> autre (spécifier) : </w:t>
            </w:r>
            <w:r w:rsidR="00B476AA" w:rsidRPr="008E1FA7">
              <w:rPr>
                <w:i/>
                <w:iCs/>
                <w:lang w:eastAsia="de-DE"/>
              </w:rPr>
              <w:t>....................................................</w:t>
            </w:r>
          </w:p>
          <w:p w14:paraId="2C935EB7" w14:textId="77777777" w:rsidR="00B476AA" w:rsidRPr="008E1FA7" w:rsidRDefault="00371363" w:rsidP="00371363">
            <w:pPr>
              <w:autoSpaceDE w:val="0"/>
              <w:autoSpaceDN w:val="0"/>
              <w:adjustRightInd w:val="0"/>
              <w:spacing w:beforeLines="40" w:before="96" w:after="120"/>
              <w:rPr>
                <w:b/>
                <w:bCs/>
                <w:lang w:eastAsia="de-DE"/>
              </w:rPr>
            </w:pPr>
            <w:r w:rsidRPr="008E1FA7">
              <w:rPr>
                <w:b/>
                <w:bCs/>
                <w:lang w:eastAsia="de-DE"/>
              </w:rPr>
              <w:t>3. Nom commercial et nom du fabriquant, si possible : Fenthion 640 ULV produit au Sénégal par</w:t>
            </w:r>
            <w:r w:rsidR="00B476AA" w:rsidRPr="008E1FA7">
              <w:rPr>
                <w:b/>
                <w:bCs/>
                <w:lang w:eastAsia="de-DE"/>
              </w:rPr>
              <w:t> </w:t>
            </w:r>
            <w:r w:rsidRPr="008E1FA7">
              <w:rPr>
                <w:b/>
                <w:bCs/>
                <w:lang w:eastAsia="de-DE"/>
              </w:rPr>
              <w:t>« </w:t>
            </w:r>
            <w:proofErr w:type="spellStart"/>
            <w:r w:rsidRPr="008E1FA7">
              <w:rPr>
                <w:b/>
                <w:bCs/>
                <w:lang w:eastAsia="de-DE"/>
              </w:rPr>
              <w:t>Arista</w:t>
            </w:r>
            <w:proofErr w:type="spellEnd"/>
            <w:r w:rsidR="00B476AA" w:rsidRPr="008E1FA7">
              <w:rPr>
                <w:b/>
                <w:bCs/>
                <w:lang w:eastAsia="de-DE"/>
              </w:rPr>
              <w:t> </w:t>
            </w:r>
            <w:r w:rsidRPr="008E1FA7">
              <w:rPr>
                <w:b/>
                <w:bCs/>
                <w:lang w:eastAsia="de-DE"/>
              </w:rPr>
              <w:t>Life Science »</w:t>
            </w:r>
          </w:p>
          <w:p w14:paraId="644BDC80" w14:textId="1B2F459C" w:rsidR="00B476AA" w:rsidRPr="008E1FA7" w:rsidRDefault="00F02AD9" w:rsidP="00F02AD9">
            <w:pPr>
              <w:tabs>
                <w:tab w:val="right" w:leader="dot" w:pos="9185"/>
              </w:tabs>
              <w:autoSpaceDE w:val="0"/>
              <w:autoSpaceDN w:val="0"/>
              <w:adjustRightInd w:val="0"/>
              <w:spacing w:beforeLines="40" w:before="96" w:after="120"/>
              <w:rPr>
                <w:lang w:eastAsia="de-DE"/>
              </w:rPr>
            </w:pPr>
            <w:r w:rsidRPr="008E1FA7">
              <w:rPr>
                <w:lang w:eastAsia="de-DE"/>
              </w:rPr>
              <w:tab/>
            </w:r>
          </w:p>
          <w:p w14:paraId="68D03606" w14:textId="77777777" w:rsidR="00B476AA" w:rsidRPr="008E1FA7" w:rsidRDefault="00371363" w:rsidP="00B476AA">
            <w:pPr>
              <w:autoSpaceDE w:val="0"/>
              <w:autoSpaceDN w:val="0"/>
              <w:adjustRightInd w:val="0"/>
              <w:spacing w:before="80"/>
              <w:rPr>
                <w:b/>
                <w:bCs/>
                <w:lang w:eastAsia="de-DE"/>
              </w:rPr>
            </w:pPr>
            <w:r w:rsidRPr="008E1FA7">
              <w:rPr>
                <w:b/>
                <w:bCs/>
                <w:lang w:eastAsia="de-DE"/>
              </w:rPr>
              <w:t>4. Nom de(s) la matière(s) active(s) contenue(s) dans la préparation :</w:t>
            </w:r>
            <w:r w:rsidRPr="008E1FA7">
              <w:rPr>
                <w:bCs/>
                <w:lang w:eastAsia="de-DE"/>
              </w:rPr>
              <w:t xml:space="preserve"> </w:t>
            </w:r>
            <w:r w:rsidRPr="008E1FA7">
              <w:rPr>
                <w:b/>
                <w:bCs/>
                <w:lang w:eastAsia="de-DE"/>
              </w:rPr>
              <w:t>Fenthion</w:t>
            </w:r>
          </w:p>
          <w:p w14:paraId="4D5709FE" w14:textId="6666887F" w:rsidR="00B476AA" w:rsidRPr="008E1FA7" w:rsidRDefault="00F02AD9" w:rsidP="00F02AD9">
            <w:pPr>
              <w:tabs>
                <w:tab w:val="right" w:leader="dot" w:pos="9185"/>
              </w:tabs>
              <w:autoSpaceDE w:val="0"/>
              <w:autoSpaceDN w:val="0"/>
              <w:adjustRightInd w:val="0"/>
              <w:spacing w:beforeLines="40" w:before="96" w:after="120"/>
              <w:rPr>
                <w:lang w:eastAsia="de-DE"/>
              </w:rPr>
            </w:pPr>
            <w:r w:rsidRPr="008E1FA7">
              <w:rPr>
                <w:lang w:eastAsia="de-DE"/>
              </w:rPr>
              <w:tab/>
            </w:r>
          </w:p>
          <w:p w14:paraId="5EAB4851" w14:textId="77777777" w:rsidR="00B476AA" w:rsidRPr="008E1FA7" w:rsidRDefault="00371363" w:rsidP="00B476AA">
            <w:pPr>
              <w:autoSpaceDE w:val="0"/>
              <w:autoSpaceDN w:val="0"/>
              <w:adjustRightInd w:val="0"/>
              <w:spacing w:before="80"/>
              <w:rPr>
                <w:b/>
                <w:bCs/>
                <w:lang w:eastAsia="de-DE"/>
              </w:rPr>
            </w:pPr>
            <w:r w:rsidRPr="008E1FA7">
              <w:rPr>
                <w:b/>
                <w:bCs/>
                <w:lang w:eastAsia="de-DE"/>
              </w:rPr>
              <w:t>5. Quantité relative de chaque matière active dans la préparation (concentration en %, g/l, etc.) : 640 g/l</w:t>
            </w:r>
          </w:p>
          <w:p w14:paraId="169DDAFA" w14:textId="4D2C583F" w:rsidR="00371363" w:rsidRPr="008E1FA7" w:rsidRDefault="00F02AD9" w:rsidP="00F02AD9">
            <w:pPr>
              <w:tabs>
                <w:tab w:val="right" w:leader="dot" w:pos="9185"/>
              </w:tabs>
              <w:autoSpaceDE w:val="0"/>
              <w:autoSpaceDN w:val="0"/>
              <w:adjustRightInd w:val="0"/>
              <w:spacing w:beforeLines="40" w:before="96" w:after="120"/>
              <w:rPr>
                <w:lang w:eastAsia="de-DE"/>
              </w:rPr>
            </w:pPr>
            <w:r w:rsidRPr="008E1FA7">
              <w:rPr>
                <w:lang w:eastAsia="de-DE"/>
              </w:rPr>
              <w:tab/>
            </w:r>
          </w:p>
          <w:p w14:paraId="40E66331" w14:textId="67078D41" w:rsidR="00371363" w:rsidRPr="008E1FA7" w:rsidRDefault="00371363" w:rsidP="00B476AA">
            <w:pPr>
              <w:autoSpaceDE w:val="0"/>
              <w:autoSpaceDN w:val="0"/>
              <w:adjustRightInd w:val="0"/>
              <w:spacing w:before="80" w:after="240"/>
              <w:rPr>
                <w:b/>
                <w:bCs/>
                <w:lang w:eastAsia="de-DE"/>
              </w:rPr>
            </w:pPr>
            <w:r w:rsidRPr="008E1FA7">
              <w:rPr>
                <w:b/>
                <w:bCs/>
                <w:lang w:eastAsia="de-DE"/>
              </w:rPr>
              <w:t>6. Joindre une copie de(s) l</w:t>
            </w:r>
            <w:r w:rsidR="001503DA" w:rsidRPr="008E1FA7">
              <w:rPr>
                <w:b/>
                <w:bCs/>
                <w:lang w:eastAsia="de-DE"/>
              </w:rPr>
              <w:t>’</w:t>
            </w:r>
            <w:r w:rsidRPr="008E1FA7">
              <w:rPr>
                <w:b/>
                <w:bCs/>
                <w:lang w:eastAsia="de-DE"/>
              </w:rPr>
              <w:t>étiquette(s) si possible.</w:t>
            </w:r>
          </w:p>
        </w:tc>
      </w:tr>
      <w:tr w:rsidR="00371363" w:rsidRPr="008E1FA7" w14:paraId="64D93BBD" w14:textId="77777777" w:rsidTr="00CA2A13">
        <w:trPr>
          <w:jc w:val="right"/>
        </w:trPr>
        <w:tc>
          <w:tcPr>
            <w:tcW w:w="9466" w:type="dxa"/>
            <w:tcBorders>
              <w:top w:val="single" w:sz="4" w:space="0" w:color="auto"/>
              <w:left w:val="double" w:sz="4" w:space="0" w:color="auto"/>
              <w:bottom w:val="double" w:sz="4" w:space="0" w:color="auto"/>
              <w:right w:val="double" w:sz="4" w:space="0" w:color="auto"/>
            </w:tcBorders>
            <w:shd w:val="pct5" w:color="auto" w:fill="FFFFFF"/>
          </w:tcPr>
          <w:p w14:paraId="56D92E7C" w14:textId="7C27B13E" w:rsidR="00371363" w:rsidRPr="008E1FA7" w:rsidRDefault="00371363" w:rsidP="00B476AA">
            <w:pPr>
              <w:autoSpaceDE w:val="0"/>
              <w:autoSpaceDN w:val="0"/>
              <w:adjustRightInd w:val="0"/>
              <w:spacing w:before="200" w:after="200"/>
              <w:jc w:val="center"/>
              <w:rPr>
                <w:b/>
                <w:bCs/>
                <w:lang w:eastAsia="de-DE"/>
              </w:rPr>
            </w:pPr>
            <w:r w:rsidRPr="008E1FA7">
              <w:rPr>
                <w:b/>
                <w:bCs/>
                <w:lang w:eastAsia="de-DE"/>
              </w:rPr>
              <w:t>II.  Description de l</w:t>
            </w:r>
            <w:r w:rsidR="001503DA" w:rsidRPr="008E1FA7">
              <w:rPr>
                <w:b/>
                <w:bCs/>
                <w:lang w:eastAsia="de-DE"/>
              </w:rPr>
              <w:t>’</w:t>
            </w:r>
            <w:r w:rsidRPr="008E1FA7">
              <w:rPr>
                <w:b/>
                <w:bCs/>
                <w:lang w:eastAsia="de-DE"/>
              </w:rPr>
              <w:t xml:space="preserve">incident : </w:t>
            </w:r>
            <w:r w:rsidRPr="008E1FA7">
              <w:rPr>
                <w:bCs/>
                <w:i/>
                <w:lang w:eastAsia="de-DE"/>
              </w:rPr>
              <w:t>Comment la préparation était</w:t>
            </w:r>
            <w:r w:rsidRPr="008E1FA7">
              <w:rPr>
                <w:bCs/>
                <w:i/>
                <w:lang w:eastAsia="de-DE"/>
              </w:rPr>
              <w:noBreakHyphen/>
              <w:t>elle utilisée</w:t>
            </w:r>
            <w:r w:rsidR="00B476AA" w:rsidRPr="008E1FA7">
              <w:rPr>
                <w:bCs/>
                <w:i/>
                <w:lang w:eastAsia="de-DE"/>
              </w:rPr>
              <w:t> </w:t>
            </w:r>
            <w:r w:rsidRPr="008E1FA7">
              <w:rPr>
                <w:bCs/>
                <w:i/>
                <w:lang w:eastAsia="de-DE"/>
              </w:rPr>
              <w:t>?</w:t>
            </w:r>
          </w:p>
        </w:tc>
      </w:tr>
      <w:tr w:rsidR="00371363" w:rsidRPr="008E1FA7" w14:paraId="4032EE40" w14:textId="77777777" w:rsidTr="00CA2A13">
        <w:trPr>
          <w:jc w:val="right"/>
        </w:trPr>
        <w:tc>
          <w:tcPr>
            <w:tcW w:w="9466" w:type="dxa"/>
            <w:tcBorders>
              <w:top w:val="double" w:sz="4" w:space="0" w:color="auto"/>
              <w:left w:val="double" w:sz="4" w:space="0" w:color="auto"/>
              <w:bottom w:val="double" w:sz="4" w:space="0" w:color="auto"/>
              <w:right w:val="double" w:sz="4" w:space="0" w:color="auto"/>
            </w:tcBorders>
          </w:tcPr>
          <w:p w14:paraId="7CD5A2B0" w14:textId="19006D26" w:rsidR="00371363" w:rsidRPr="008E1FA7" w:rsidRDefault="00371363" w:rsidP="00B476AA">
            <w:pPr>
              <w:autoSpaceDE w:val="0"/>
              <w:autoSpaceDN w:val="0"/>
              <w:adjustRightInd w:val="0"/>
              <w:spacing w:before="80"/>
              <w:rPr>
                <w:b/>
                <w:bCs/>
                <w:lang w:eastAsia="de-DE"/>
              </w:rPr>
            </w:pPr>
            <w:r w:rsidRPr="008E1FA7">
              <w:rPr>
                <w:b/>
                <w:bCs/>
                <w:lang w:eastAsia="de-DE"/>
              </w:rPr>
              <w:t>7. Date de l</w:t>
            </w:r>
            <w:r w:rsidR="001503DA" w:rsidRPr="008E1FA7">
              <w:rPr>
                <w:b/>
                <w:bCs/>
                <w:lang w:eastAsia="de-DE"/>
              </w:rPr>
              <w:t>’</w:t>
            </w:r>
            <w:r w:rsidRPr="008E1FA7">
              <w:rPr>
                <w:b/>
                <w:bCs/>
                <w:lang w:eastAsia="de-DE"/>
              </w:rPr>
              <w:t>incident :</w:t>
            </w:r>
            <w:r w:rsidRPr="008E1FA7">
              <w:rPr>
                <w:bCs/>
                <w:lang w:eastAsia="de-DE"/>
              </w:rPr>
              <w:t xml:space="preserve"> </w:t>
            </w:r>
            <w:r w:rsidRPr="008E1FA7">
              <w:rPr>
                <w:bCs/>
                <w:lang w:eastAsia="de-DE"/>
              </w:rPr>
              <w:tab/>
            </w:r>
            <w:r w:rsidRPr="008E1FA7">
              <w:rPr>
                <w:b/>
                <w:bCs/>
                <w:lang w:eastAsia="de-DE"/>
              </w:rPr>
              <w:t>nuit du 17 juin 2011</w:t>
            </w:r>
          </w:p>
          <w:p w14:paraId="2ACF42C2" w14:textId="74D450D0" w:rsidR="00371363" w:rsidRPr="008E1FA7" w:rsidRDefault="00371363" w:rsidP="00B476AA">
            <w:pPr>
              <w:autoSpaceDE w:val="0"/>
              <w:autoSpaceDN w:val="0"/>
              <w:adjustRightInd w:val="0"/>
              <w:spacing w:before="80"/>
              <w:rPr>
                <w:lang w:eastAsia="de-DE"/>
              </w:rPr>
            </w:pPr>
            <w:r w:rsidRPr="008E1FA7">
              <w:rPr>
                <w:b/>
                <w:bCs/>
                <w:lang w:eastAsia="de-DE"/>
              </w:rPr>
              <w:t>8. Lieu de l</w:t>
            </w:r>
            <w:r w:rsidR="001503DA" w:rsidRPr="008E1FA7">
              <w:rPr>
                <w:b/>
                <w:bCs/>
                <w:lang w:eastAsia="de-DE"/>
              </w:rPr>
              <w:t>’</w:t>
            </w:r>
            <w:r w:rsidRPr="008E1FA7">
              <w:rPr>
                <w:b/>
                <w:bCs/>
                <w:lang w:eastAsia="de-DE"/>
              </w:rPr>
              <w:t>incident :</w:t>
            </w:r>
            <w:r w:rsidRPr="008E1FA7">
              <w:rPr>
                <w:b/>
                <w:bCs/>
                <w:lang w:eastAsia="de-DE"/>
              </w:rPr>
              <w:tab/>
            </w:r>
            <w:r w:rsidRPr="008E1FA7">
              <w:rPr>
                <w:bCs/>
                <w:lang w:eastAsia="de-DE"/>
              </w:rPr>
              <w:t xml:space="preserve">village/ville : </w:t>
            </w:r>
            <w:r w:rsidRPr="008E1FA7">
              <w:rPr>
                <w:bCs/>
                <w:lang w:eastAsia="de-DE"/>
              </w:rPr>
              <w:tab/>
            </w:r>
            <w:r w:rsidRPr="008E1FA7">
              <w:rPr>
                <w:lang w:eastAsia="de-DE"/>
              </w:rPr>
              <w:t>GOGOI (</w:t>
            </w:r>
            <w:proofErr w:type="spellStart"/>
            <w:r w:rsidRPr="008E1FA7">
              <w:rPr>
                <w:lang w:eastAsia="de-DE"/>
              </w:rPr>
              <w:t>Bokoro</w:t>
            </w:r>
            <w:proofErr w:type="spellEnd"/>
            <w:r w:rsidRPr="008E1FA7">
              <w:rPr>
                <w:lang w:eastAsia="de-DE"/>
              </w:rPr>
              <w:t>)</w:t>
            </w:r>
          </w:p>
          <w:p w14:paraId="6C40DA06" w14:textId="6482169C" w:rsidR="00371363" w:rsidRPr="008E1FA7" w:rsidRDefault="00371363" w:rsidP="00B476AA">
            <w:pPr>
              <w:autoSpaceDE w:val="0"/>
              <w:autoSpaceDN w:val="0"/>
              <w:adjustRightInd w:val="0"/>
              <w:spacing w:before="80"/>
              <w:rPr>
                <w:bCs/>
                <w:lang w:eastAsia="de-DE"/>
              </w:rPr>
            </w:pPr>
            <w:r w:rsidRPr="008E1FA7">
              <w:rPr>
                <w:bCs/>
                <w:lang w:eastAsia="de-DE"/>
              </w:rPr>
              <w:tab/>
            </w:r>
            <w:r w:rsidRPr="008E1FA7">
              <w:rPr>
                <w:bCs/>
                <w:lang w:eastAsia="de-DE"/>
              </w:rPr>
              <w:tab/>
            </w:r>
            <w:r w:rsidRPr="008E1FA7">
              <w:rPr>
                <w:bCs/>
                <w:lang w:eastAsia="de-DE"/>
              </w:rPr>
              <w:tab/>
              <w:t xml:space="preserve">province/état/région : </w:t>
            </w:r>
            <w:r w:rsidRPr="008E1FA7">
              <w:rPr>
                <w:bCs/>
                <w:lang w:eastAsia="de-DE"/>
              </w:rPr>
              <w:tab/>
            </w:r>
            <w:proofErr w:type="spellStart"/>
            <w:r w:rsidRPr="008E1FA7">
              <w:rPr>
                <w:b/>
                <w:bCs/>
                <w:lang w:eastAsia="de-DE"/>
              </w:rPr>
              <w:t>Hadjer</w:t>
            </w:r>
            <w:r w:rsidRPr="008E1FA7">
              <w:rPr>
                <w:b/>
                <w:bCs/>
                <w:lang w:eastAsia="de-DE"/>
              </w:rPr>
              <w:noBreakHyphen/>
              <w:t>Lamis</w:t>
            </w:r>
            <w:proofErr w:type="spellEnd"/>
            <w:r w:rsidR="00B476AA" w:rsidRPr="008E1FA7">
              <w:rPr>
                <w:lang w:eastAsia="de-DE"/>
              </w:rPr>
              <w:t>..................................................</w:t>
            </w:r>
          </w:p>
          <w:p w14:paraId="0EF9184F" w14:textId="23C41451" w:rsidR="00371363" w:rsidRPr="008E1FA7" w:rsidRDefault="00371363" w:rsidP="00B476AA">
            <w:pPr>
              <w:autoSpaceDE w:val="0"/>
              <w:autoSpaceDN w:val="0"/>
              <w:adjustRightInd w:val="0"/>
              <w:spacing w:before="80"/>
              <w:rPr>
                <w:bCs/>
                <w:lang w:eastAsia="de-DE"/>
              </w:rPr>
            </w:pPr>
            <w:r w:rsidRPr="008E1FA7">
              <w:rPr>
                <w:bCs/>
                <w:lang w:eastAsia="de-DE"/>
              </w:rPr>
              <w:tab/>
            </w:r>
            <w:r w:rsidRPr="008E1FA7">
              <w:rPr>
                <w:bCs/>
                <w:lang w:eastAsia="de-DE"/>
              </w:rPr>
              <w:tab/>
            </w:r>
            <w:r w:rsidRPr="008E1FA7">
              <w:rPr>
                <w:bCs/>
                <w:lang w:eastAsia="de-DE"/>
              </w:rPr>
              <w:tab/>
              <w:t xml:space="preserve">pays : </w:t>
            </w:r>
            <w:r w:rsidRPr="008E1FA7">
              <w:rPr>
                <w:bCs/>
                <w:lang w:eastAsia="de-DE"/>
              </w:rPr>
              <w:tab/>
            </w:r>
            <w:r w:rsidRPr="008E1FA7">
              <w:rPr>
                <w:b/>
                <w:bCs/>
                <w:lang w:eastAsia="de-DE"/>
              </w:rPr>
              <w:t>Tchad</w:t>
            </w:r>
            <w:r w:rsidR="00B476AA" w:rsidRPr="008E1FA7">
              <w:rPr>
                <w:lang w:eastAsia="de-DE"/>
              </w:rPr>
              <w:t>......................................................................................</w:t>
            </w:r>
          </w:p>
          <w:p w14:paraId="0526598E" w14:textId="28B44B34" w:rsidR="00371363" w:rsidRPr="008E1FA7" w:rsidRDefault="00371363" w:rsidP="00B476AA">
            <w:pPr>
              <w:keepNext/>
              <w:keepLines/>
              <w:autoSpaceDE w:val="0"/>
              <w:autoSpaceDN w:val="0"/>
              <w:adjustRightInd w:val="0"/>
              <w:spacing w:before="80"/>
              <w:rPr>
                <w:b/>
                <w:bCs/>
                <w:lang w:eastAsia="de-DE"/>
              </w:rPr>
            </w:pPr>
            <w:r w:rsidRPr="008E1FA7">
              <w:rPr>
                <w:b/>
                <w:bCs/>
                <w:lang w:eastAsia="de-DE"/>
              </w:rPr>
              <w:t>9. Personne exposée (l</w:t>
            </w:r>
            <w:r w:rsidR="001503DA" w:rsidRPr="008E1FA7">
              <w:rPr>
                <w:b/>
                <w:bCs/>
                <w:lang w:eastAsia="de-DE"/>
              </w:rPr>
              <w:t>’</w:t>
            </w:r>
            <w:r w:rsidRPr="008E1FA7">
              <w:rPr>
                <w:b/>
                <w:bCs/>
                <w:lang w:eastAsia="de-DE"/>
              </w:rPr>
              <w:t>identité devrait être vérifiée et enregistrée avant l</w:t>
            </w:r>
            <w:r w:rsidR="001503DA" w:rsidRPr="008E1FA7">
              <w:rPr>
                <w:b/>
                <w:bCs/>
                <w:lang w:eastAsia="de-DE"/>
              </w:rPr>
              <w:t>’</w:t>
            </w:r>
            <w:r w:rsidRPr="008E1FA7">
              <w:rPr>
                <w:b/>
                <w:bCs/>
                <w:lang w:eastAsia="de-DE"/>
              </w:rPr>
              <w:t>envoi du formulaire)</w:t>
            </w:r>
          </w:p>
          <w:p w14:paraId="2B4661AC" w14:textId="24F57C6B" w:rsidR="00371363" w:rsidRPr="008E1FA7" w:rsidRDefault="00371363" w:rsidP="00B476AA">
            <w:pPr>
              <w:keepNext/>
              <w:keepLines/>
              <w:tabs>
                <w:tab w:val="left" w:pos="1581"/>
                <w:tab w:val="left" w:pos="3424"/>
                <w:tab w:val="left" w:pos="5137"/>
                <w:tab w:val="right" w:leader="dot" w:pos="9356"/>
              </w:tabs>
              <w:spacing w:before="80"/>
              <w:ind w:left="318"/>
              <w:rPr>
                <w:bCs/>
                <w:lang w:eastAsia="de-DE"/>
              </w:rPr>
            </w:pPr>
            <w:r w:rsidRPr="008E1FA7">
              <w:t>Sexe</w:t>
            </w:r>
            <w:r w:rsidRPr="008E1FA7">
              <w:rPr>
                <w:bCs/>
                <w:lang w:eastAsia="de-DE"/>
              </w:rPr>
              <w:t>:</w:t>
            </w:r>
            <w:r w:rsidRPr="008E1FA7">
              <w:rPr>
                <w:bCs/>
                <w:lang w:eastAsia="de-DE"/>
              </w:rPr>
              <w:tab/>
            </w:r>
            <w:r w:rsidRPr="008E1FA7">
              <w:rPr>
                <w:rFonts w:eastAsia="Arial Unicode MS"/>
                <w:b/>
                <w:lang w:eastAsia="de-DE"/>
              </w:rPr>
              <w:t>X</w:t>
            </w:r>
            <w:r w:rsidRPr="008E1FA7">
              <w:rPr>
                <w:bCs/>
                <w:lang w:eastAsia="de-DE"/>
              </w:rPr>
              <w:t xml:space="preserve"> masculin</w:t>
            </w:r>
            <w:r w:rsidRPr="008E1FA7">
              <w:rPr>
                <w:bCs/>
                <w:lang w:eastAsia="de-DE"/>
              </w:rPr>
              <w:tab/>
            </w:r>
            <w:r w:rsidRPr="008E1FA7">
              <w:rPr>
                <w:bCs/>
                <w:lang w:eastAsia="de-DE"/>
              </w:rPr>
              <w:sym w:font="Wingdings" w:char="F0A8"/>
            </w:r>
            <w:r w:rsidRPr="008E1FA7">
              <w:rPr>
                <w:bCs/>
                <w:lang w:eastAsia="de-DE"/>
              </w:rPr>
              <w:t xml:space="preserve"> féminin</w:t>
            </w:r>
            <w:r w:rsidRPr="008E1FA7">
              <w:rPr>
                <w:bCs/>
                <w:lang w:eastAsia="de-DE"/>
              </w:rPr>
              <w:tab/>
            </w:r>
            <w:r w:rsidRPr="008E1FA7">
              <w:rPr>
                <w:bCs/>
                <w:lang w:eastAsia="de-DE"/>
              </w:rPr>
              <w:sym w:font="Wingdings" w:char="F0A8"/>
            </w:r>
            <w:r w:rsidRPr="008E1FA7">
              <w:rPr>
                <w:bCs/>
                <w:lang w:eastAsia="de-DE"/>
              </w:rPr>
              <w:t xml:space="preserve"> âge : </w:t>
            </w:r>
            <w:r w:rsidRPr="008E1FA7">
              <w:rPr>
                <w:b/>
                <w:bCs/>
                <w:lang w:eastAsia="de-DE"/>
              </w:rPr>
              <w:t>60 ans (environ)</w:t>
            </w:r>
          </w:p>
          <w:p w14:paraId="461DC918" w14:textId="1EEBD79F" w:rsidR="00371363" w:rsidRPr="008E1FA7" w:rsidRDefault="00371363" w:rsidP="00B476AA">
            <w:pPr>
              <w:tabs>
                <w:tab w:val="left" w:pos="993"/>
                <w:tab w:val="left" w:pos="2857"/>
                <w:tab w:val="left" w:pos="3828"/>
                <w:tab w:val="left" w:pos="4842"/>
                <w:tab w:val="left" w:pos="7251"/>
              </w:tabs>
              <w:spacing w:before="80"/>
              <w:ind w:left="318"/>
              <w:rPr>
                <w:bCs/>
                <w:lang w:eastAsia="de-DE"/>
              </w:rPr>
            </w:pPr>
            <w:r w:rsidRPr="008E1FA7">
              <w:rPr>
                <w:bCs/>
                <w:lang w:eastAsia="de-DE"/>
              </w:rPr>
              <w:t xml:space="preserve">Si </w:t>
            </w:r>
            <w:r w:rsidRPr="008E1FA7">
              <w:t>âge</w:t>
            </w:r>
            <w:r w:rsidRPr="008E1FA7">
              <w:rPr>
                <w:bCs/>
                <w:lang w:eastAsia="de-DE"/>
              </w:rPr>
              <w:t xml:space="preserve"> inconnu, précisez : </w:t>
            </w:r>
            <w:r w:rsidRPr="008E1FA7">
              <w:rPr>
                <w:bCs/>
                <w:lang w:eastAsia="de-DE"/>
              </w:rPr>
              <w:tab/>
            </w:r>
            <w:r w:rsidRPr="008E1FA7">
              <w:rPr>
                <w:bCs/>
                <w:lang w:eastAsia="de-DE"/>
              </w:rPr>
              <w:sym w:font="Wingdings" w:char="F0A8"/>
            </w:r>
            <w:r w:rsidRPr="008E1FA7">
              <w:rPr>
                <w:bCs/>
                <w:lang w:eastAsia="de-DE"/>
              </w:rPr>
              <w:t xml:space="preserve"> enfant (&lt;14 ans) </w:t>
            </w:r>
            <w:r w:rsidRPr="008E1FA7">
              <w:rPr>
                <w:bCs/>
                <w:lang w:eastAsia="de-DE"/>
              </w:rPr>
              <w:tab/>
            </w:r>
            <w:r w:rsidRPr="008E1FA7">
              <w:rPr>
                <w:bCs/>
                <w:lang w:eastAsia="de-DE"/>
              </w:rPr>
              <w:sym w:font="Wingdings" w:char="F0A8"/>
            </w:r>
            <w:r w:rsidRPr="008E1FA7">
              <w:rPr>
                <w:bCs/>
                <w:lang w:eastAsia="de-DE"/>
              </w:rPr>
              <w:t xml:space="preserve"> adolescent (14</w:t>
            </w:r>
            <w:r w:rsidRPr="008E1FA7">
              <w:rPr>
                <w:bCs/>
                <w:lang w:eastAsia="de-DE"/>
              </w:rPr>
              <w:noBreakHyphen/>
              <w:t>19 ans)</w:t>
            </w:r>
            <w:r w:rsidR="00B476AA" w:rsidRPr="008E1FA7">
              <w:rPr>
                <w:bCs/>
                <w:lang w:eastAsia="de-DE"/>
              </w:rPr>
              <w:tab/>
            </w:r>
            <w:r w:rsidRPr="008E1FA7">
              <w:rPr>
                <w:rFonts w:eastAsia="Arial Unicode MS"/>
                <w:b/>
                <w:lang w:eastAsia="de-DE"/>
              </w:rPr>
              <w:t>X</w:t>
            </w:r>
            <w:r w:rsidRPr="008E1FA7">
              <w:rPr>
                <w:bCs/>
                <w:lang w:eastAsia="de-DE"/>
              </w:rPr>
              <w:t xml:space="preserve"> adulte (&gt;19 ans)</w:t>
            </w:r>
          </w:p>
          <w:p w14:paraId="7FB86DBD" w14:textId="0625432C" w:rsidR="00371363" w:rsidRPr="008E1FA7" w:rsidRDefault="00371363" w:rsidP="00B50090">
            <w:pPr>
              <w:autoSpaceDE w:val="0"/>
              <w:autoSpaceDN w:val="0"/>
              <w:adjustRightInd w:val="0"/>
              <w:spacing w:before="120"/>
              <w:rPr>
                <w:b/>
                <w:bCs/>
                <w:lang w:eastAsia="de-DE"/>
              </w:rPr>
            </w:pPr>
            <w:r w:rsidRPr="008E1FA7">
              <w:rPr>
                <w:b/>
                <w:bCs/>
                <w:lang w:eastAsia="de-DE"/>
              </w:rPr>
              <w:t>10. Activité au moment de l</w:t>
            </w:r>
            <w:r w:rsidR="001503DA" w:rsidRPr="008E1FA7">
              <w:rPr>
                <w:b/>
                <w:bCs/>
                <w:lang w:eastAsia="de-DE"/>
              </w:rPr>
              <w:t>’</w:t>
            </w:r>
            <w:r w:rsidRPr="008E1FA7">
              <w:rPr>
                <w:b/>
                <w:bCs/>
                <w:lang w:eastAsia="de-DE"/>
              </w:rPr>
              <w:t>exposition (cochez une ou plusieurs cases) :</w:t>
            </w:r>
          </w:p>
          <w:p w14:paraId="6156EB90" w14:textId="4549F6B3" w:rsidR="00371363" w:rsidRPr="008E1FA7" w:rsidRDefault="00371363" w:rsidP="00B50090">
            <w:pPr>
              <w:tabs>
                <w:tab w:val="left" w:pos="993"/>
                <w:tab w:val="left" w:pos="2857"/>
                <w:tab w:val="left" w:pos="3828"/>
                <w:tab w:val="left" w:pos="4842"/>
                <w:tab w:val="left" w:pos="6826"/>
              </w:tabs>
              <w:spacing w:before="80"/>
              <w:ind w:left="318"/>
              <w:rPr>
                <w:bCs/>
                <w:i/>
                <w:iCs/>
                <w:lang w:eastAsia="de-DE"/>
              </w:rPr>
            </w:pPr>
            <w:r w:rsidRPr="008E1FA7">
              <w:rPr>
                <w:bCs/>
                <w:lang w:eastAsia="de-DE"/>
              </w:rPr>
              <w:sym w:font="Wingdings" w:char="F0A8"/>
            </w:r>
            <w:r w:rsidRPr="008E1FA7">
              <w:rPr>
                <w:bCs/>
                <w:i/>
                <w:iCs/>
                <w:lang w:eastAsia="de-DE"/>
              </w:rPr>
              <w:t xml:space="preserve"> application au champ</w:t>
            </w:r>
            <w:r w:rsidRPr="008E1FA7">
              <w:rPr>
                <w:bCs/>
                <w:i/>
                <w:iCs/>
                <w:lang w:eastAsia="de-DE"/>
              </w:rPr>
              <w:tab/>
            </w:r>
            <w:r w:rsidRPr="008E1FA7">
              <w:rPr>
                <w:rFonts w:eastAsia="Arial Unicode MS"/>
                <w:b/>
                <w:lang w:eastAsia="de-DE"/>
              </w:rPr>
              <w:t>X</w:t>
            </w:r>
            <w:r w:rsidRPr="008E1FA7">
              <w:rPr>
                <w:bCs/>
                <w:i/>
                <w:iCs/>
                <w:lang w:eastAsia="de-DE"/>
              </w:rPr>
              <w:t xml:space="preserve"> préparation de mélanges/remplissage</w:t>
            </w:r>
            <w:r w:rsidR="00B50090" w:rsidRPr="008E1FA7">
              <w:rPr>
                <w:bCs/>
                <w:i/>
                <w:iCs/>
                <w:lang w:eastAsia="de-DE"/>
              </w:rPr>
              <w:tab/>
            </w:r>
            <w:r w:rsidRPr="008E1FA7">
              <w:rPr>
                <w:bCs/>
                <w:lang w:eastAsia="de-DE"/>
              </w:rPr>
              <w:sym w:font="Wingdings" w:char="F0A8"/>
            </w:r>
            <w:r w:rsidRPr="008E1FA7">
              <w:rPr>
                <w:bCs/>
                <w:i/>
                <w:iCs/>
                <w:lang w:eastAsia="de-DE"/>
              </w:rPr>
              <w:t xml:space="preserve"> thérapie vétérinaire</w:t>
            </w:r>
          </w:p>
          <w:p w14:paraId="5E97CF8C" w14:textId="14E8E37C" w:rsidR="00371363" w:rsidRPr="008E1FA7" w:rsidRDefault="00371363" w:rsidP="00B50090">
            <w:pPr>
              <w:tabs>
                <w:tab w:val="left" w:pos="993"/>
                <w:tab w:val="left" w:pos="2857"/>
                <w:tab w:val="left" w:pos="3828"/>
                <w:tab w:val="left" w:pos="4842"/>
                <w:tab w:val="left" w:pos="6826"/>
              </w:tabs>
              <w:spacing w:before="80"/>
              <w:ind w:left="318"/>
              <w:rPr>
                <w:bCs/>
                <w:i/>
                <w:iCs/>
                <w:lang w:eastAsia="de-DE"/>
              </w:rPr>
            </w:pPr>
            <w:r w:rsidRPr="008E1FA7">
              <w:rPr>
                <w:bCs/>
                <w:lang w:eastAsia="de-DE"/>
              </w:rPr>
              <w:sym w:font="Wingdings" w:char="F0A8"/>
            </w:r>
            <w:r w:rsidRPr="008E1FA7">
              <w:rPr>
                <w:bCs/>
                <w:i/>
                <w:iCs/>
                <w:lang w:eastAsia="de-DE"/>
              </w:rPr>
              <w:t xml:space="preserve"> usage domestique</w:t>
            </w:r>
            <w:r w:rsidRPr="008E1FA7">
              <w:rPr>
                <w:bCs/>
                <w:i/>
                <w:iCs/>
                <w:lang w:eastAsia="de-DE"/>
              </w:rPr>
              <w:tab/>
            </w:r>
            <w:r w:rsidRPr="008E1FA7">
              <w:rPr>
                <w:bCs/>
                <w:lang w:eastAsia="de-DE"/>
              </w:rPr>
              <w:sym w:font="Wingdings" w:char="F0A8"/>
            </w:r>
            <w:r w:rsidRPr="008E1FA7">
              <w:rPr>
                <w:bCs/>
                <w:i/>
                <w:iCs/>
                <w:lang w:eastAsia="de-DE"/>
              </w:rPr>
              <w:t xml:space="preserve"> lutte vectorielle</w:t>
            </w:r>
            <w:r w:rsidRPr="008E1FA7">
              <w:rPr>
                <w:bCs/>
                <w:i/>
                <w:iCs/>
                <w:lang w:eastAsia="de-DE"/>
              </w:rPr>
              <w:tab/>
            </w:r>
            <w:r w:rsidR="00B50090" w:rsidRPr="008E1FA7">
              <w:rPr>
                <w:bCs/>
                <w:i/>
                <w:iCs/>
                <w:lang w:eastAsia="de-DE"/>
              </w:rPr>
              <w:tab/>
            </w:r>
            <w:r w:rsidRPr="008E1FA7">
              <w:rPr>
                <w:bCs/>
                <w:lang w:eastAsia="de-DE"/>
              </w:rPr>
              <w:sym w:font="Wingdings" w:char="F0A8"/>
            </w:r>
            <w:r w:rsidRPr="008E1FA7">
              <w:rPr>
                <w:bCs/>
                <w:i/>
                <w:iCs/>
                <w:lang w:eastAsia="de-DE"/>
              </w:rPr>
              <w:t xml:space="preserve"> thérapie humaine</w:t>
            </w:r>
          </w:p>
          <w:p w14:paraId="01021EB5" w14:textId="215FF604" w:rsidR="00371363" w:rsidRPr="008E1FA7" w:rsidRDefault="00371363" w:rsidP="00B50090">
            <w:pPr>
              <w:tabs>
                <w:tab w:val="left" w:pos="993"/>
                <w:tab w:val="left" w:pos="2857"/>
                <w:tab w:val="left" w:pos="3828"/>
                <w:tab w:val="left" w:pos="4842"/>
                <w:tab w:val="left" w:pos="6826"/>
              </w:tabs>
              <w:spacing w:before="80"/>
              <w:ind w:left="318"/>
              <w:rPr>
                <w:bCs/>
                <w:lang w:eastAsia="de-DE"/>
              </w:rPr>
            </w:pPr>
            <w:r w:rsidRPr="008E1FA7">
              <w:rPr>
                <w:bCs/>
                <w:lang w:eastAsia="de-DE"/>
              </w:rPr>
              <w:sym w:font="Wingdings" w:char="F0A8"/>
            </w:r>
            <w:r w:rsidRPr="008E1FA7">
              <w:rPr>
                <w:bCs/>
                <w:i/>
                <w:iCs/>
                <w:lang w:eastAsia="de-DE"/>
              </w:rPr>
              <w:t xml:space="preserve"> réentrée au champ</w:t>
            </w:r>
            <w:r w:rsidRPr="008E1FA7">
              <w:rPr>
                <w:bCs/>
                <w:i/>
                <w:iCs/>
                <w:lang w:eastAsia="de-DE"/>
              </w:rPr>
              <w:tab/>
            </w:r>
            <w:r w:rsidRPr="008E1FA7">
              <w:rPr>
                <w:rFonts w:eastAsia="Arial Unicode MS"/>
                <w:b/>
                <w:lang w:eastAsia="de-DE"/>
              </w:rPr>
              <w:t>X</w:t>
            </w:r>
            <w:r w:rsidRPr="008E1FA7">
              <w:rPr>
                <w:bCs/>
                <w:i/>
                <w:iCs/>
                <w:lang w:eastAsia="de-DE"/>
              </w:rPr>
              <w:t xml:space="preserve"> autre (spécifier) :</w:t>
            </w:r>
            <w:r w:rsidRPr="008E1FA7">
              <w:rPr>
                <w:bCs/>
                <w:lang w:eastAsia="de-DE"/>
              </w:rPr>
              <w:t xml:space="preserve"> </w:t>
            </w:r>
            <w:r w:rsidRPr="008E1FA7">
              <w:rPr>
                <w:b/>
                <w:bCs/>
                <w:lang w:eastAsia="de-DE"/>
              </w:rPr>
              <w:t>pulvérisation nocturne de nids d</w:t>
            </w:r>
            <w:r w:rsidR="001503DA" w:rsidRPr="008E1FA7">
              <w:rPr>
                <w:b/>
                <w:bCs/>
                <w:lang w:eastAsia="de-DE"/>
              </w:rPr>
              <w:t>’</w:t>
            </w:r>
            <w:r w:rsidRPr="008E1FA7">
              <w:rPr>
                <w:b/>
                <w:bCs/>
                <w:lang w:eastAsia="de-DE"/>
              </w:rPr>
              <w:t>oiseaux</w:t>
            </w:r>
          </w:p>
          <w:p w14:paraId="4960A7FF" w14:textId="00938F01" w:rsidR="00371363" w:rsidRPr="008E1FA7" w:rsidRDefault="00371363" w:rsidP="00B50090">
            <w:pPr>
              <w:tabs>
                <w:tab w:val="left" w:pos="5409"/>
              </w:tabs>
              <w:autoSpaceDE w:val="0"/>
              <w:autoSpaceDN w:val="0"/>
              <w:adjustRightInd w:val="0"/>
              <w:spacing w:before="120"/>
              <w:rPr>
                <w:b/>
                <w:bCs/>
                <w:lang w:eastAsia="de-DE"/>
              </w:rPr>
            </w:pPr>
            <w:r w:rsidRPr="008E1FA7">
              <w:rPr>
                <w:b/>
                <w:bCs/>
                <w:lang w:eastAsia="de-DE"/>
              </w:rPr>
              <w:t>11. Port de vêtement de protection pendant l</w:t>
            </w:r>
            <w:r w:rsidR="001503DA" w:rsidRPr="008E1FA7">
              <w:rPr>
                <w:b/>
                <w:bCs/>
                <w:lang w:eastAsia="de-DE"/>
              </w:rPr>
              <w:t>’</w:t>
            </w:r>
            <w:r w:rsidRPr="008E1FA7">
              <w:rPr>
                <w:b/>
                <w:bCs/>
                <w:lang w:eastAsia="de-DE"/>
              </w:rPr>
              <w:t>application :</w:t>
            </w:r>
            <w:r w:rsidRPr="008E1FA7">
              <w:rPr>
                <w:bCs/>
                <w:lang w:eastAsia="de-DE"/>
              </w:rPr>
              <w:tab/>
            </w:r>
            <w:r w:rsidRPr="008E1FA7">
              <w:rPr>
                <w:bCs/>
                <w:lang w:eastAsia="de-DE"/>
              </w:rPr>
              <w:sym w:font="Wingdings" w:char="F0A8"/>
            </w:r>
            <w:r w:rsidRPr="008E1FA7">
              <w:rPr>
                <w:bCs/>
                <w:lang w:eastAsia="de-DE"/>
              </w:rPr>
              <w:t xml:space="preserve"> non</w:t>
            </w:r>
            <w:r w:rsidRPr="008E1FA7">
              <w:rPr>
                <w:bCs/>
                <w:lang w:eastAsia="de-DE"/>
              </w:rPr>
              <w:tab/>
            </w:r>
            <w:r w:rsidRPr="008E1FA7">
              <w:rPr>
                <w:rFonts w:eastAsia="Arial Unicode MS"/>
                <w:b/>
                <w:lang w:eastAsia="de-DE"/>
              </w:rPr>
              <w:t>X</w:t>
            </w:r>
            <w:r w:rsidRPr="008E1FA7">
              <w:rPr>
                <w:bCs/>
                <w:lang w:eastAsia="de-DE"/>
              </w:rPr>
              <w:t xml:space="preserve"> oui</w:t>
            </w:r>
          </w:p>
          <w:p w14:paraId="1C19BBDB" w14:textId="39357EA0" w:rsidR="00371363" w:rsidRPr="008E1FA7" w:rsidRDefault="00371363" w:rsidP="00F0764B">
            <w:pPr>
              <w:tabs>
                <w:tab w:val="left" w:pos="993"/>
                <w:tab w:val="right" w:leader="dot" w:pos="9185"/>
              </w:tabs>
              <w:spacing w:before="80"/>
              <w:ind w:left="318"/>
              <w:rPr>
                <w:bCs/>
                <w:lang w:eastAsia="de-DE"/>
              </w:rPr>
            </w:pPr>
            <w:r w:rsidRPr="008E1FA7">
              <w:rPr>
                <w:bCs/>
                <w:lang w:eastAsia="de-DE"/>
              </w:rPr>
              <w:t xml:space="preserve">Si non, veuillez expliquer les raisons : </w:t>
            </w:r>
            <w:r w:rsidR="00F0764B" w:rsidRPr="008E1FA7">
              <w:rPr>
                <w:bCs/>
                <w:lang w:eastAsia="de-DE"/>
              </w:rPr>
              <w:tab/>
            </w:r>
          </w:p>
          <w:p w14:paraId="224873D0" w14:textId="77777777" w:rsidR="00371363" w:rsidRPr="008E1FA7" w:rsidRDefault="00371363" w:rsidP="00B476AA">
            <w:pPr>
              <w:tabs>
                <w:tab w:val="left" w:pos="993"/>
                <w:tab w:val="left" w:pos="3011"/>
                <w:tab w:val="left" w:pos="3828"/>
                <w:tab w:val="left" w:pos="5137"/>
                <w:tab w:val="right" w:leader="dot" w:pos="9356"/>
              </w:tabs>
              <w:spacing w:before="80"/>
              <w:ind w:left="318"/>
              <w:rPr>
                <w:bCs/>
                <w:lang w:eastAsia="de-DE"/>
              </w:rPr>
            </w:pPr>
            <w:r w:rsidRPr="008E1FA7">
              <w:rPr>
                <w:bCs/>
                <w:lang w:eastAsia="de-DE"/>
              </w:rPr>
              <w:t>Si oui, veuillez décrire :</w:t>
            </w:r>
          </w:p>
          <w:p w14:paraId="508FAF54" w14:textId="48124155" w:rsidR="00371363" w:rsidRPr="008E1FA7" w:rsidRDefault="00371363" w:rsidP="00B50090">
            <w:pPr>
              <w:tabs>
                <w:tab w:val="left" w:pos="993"/>
                <w:tab w:val="left" w:pos="2007"/>
                <w:tab w:val="left" w:pos="3011"/>
                <w:tab w:val="left" w:pos="3828"/>
                <w:tab w:val="left" w:pos="5137"/>
                <w:tab w:val="left" w:pos="6826"/>
              </w:tabs>
              <w:spacing w:before="80"/>
              <w:ind w:left="318"/>
              <w:rPr>
                <w:bCs/>
                <w:lang w:eastAsia="de-DE"/>
              </w:rPr>
            </w:pPr>
            <w:r w:rsidRPr="008E1FA7">
              <w:rPr>
                <w:rFonts w:eastAsia="Arial Unicode MS"/>
                <w:b/>
                <w:lang w:eastAsia="de-DE"/>
              </w:rPr>
              <w:t>X</w:t>
            </w:r>
            <w:r w:rsidRPr="008E1FA7">
              <w:rPr>
                <w:bCs/>
                <w:lang w:eastAsia="de-DE"/>
              </w:rPr>
              <w:t xml:space="preserve"> </w:t>
            </w:r>
            <w:r w:rsidRPr="008E1FA7">
              <w:rPr>
                <w:bCs/>
                <w:i/>
                <w:lang w:eastAsia="de-DE"/>
              </w:rPr>
              <w:t>gants</w:t>
            </w:r>
            <w:r w:rsidRPr="008E1FA7">
              <w:rPr>
                <w:bCs/>
                <w:lang w:eastAsia="de-DE"/>
              </w:rPr>
              <w:tab/>
            </w:r>
            <w:r w:rsidRPr="008E1FA7">
              <w:rPr>
                <w:bCs/>
                <w:lang w:eastAsia="de-DE"/>
              </w:rPr>
              <w:tab/>
            </w:r>
            <w:r w:rsidRPr="008E1FA7">
              <w:rPr>
                <w:rFonts w:eastAsia="Arial Unicode MS"/>
                <w:b/>
                <w:lang w:eastAsia="de-DE"/>
              </w:rPr>
              <w:t>X</w:t>
            </w:r>
            <w:r w:rsidRPr="008E1FA7">
              <w:rPr>
                <w:bCs/>
                <w:lang w:eastAsia="de-DE"/>
              </w:rPr>
              <w:t xml:space="preserve"> </w:t>
            </w:r>
            <w:r w:rsidRPr="008E1FA7">
              <w:rPr>
                <w:bCs/>
                <w:i/>
                <w:lang w:eastAsia="de-DE"/>
              </w:rPr>
              <w:t>combinaison</w:t>
            </w:r>
            <w:r w:rsidRPr="008E1FA7">
              <w:rPr>
                <w:bCs/>
                <w:lang w:eastAsia="de-DE"/>
              </w:rPr>
              <w:tab/>
            </w:r>
            <w:r w:rsidRPr="008E1FA7">
              <w:rPr>
                <w:rFonts w:eastAsia="Arial Unicode MS"/>
                <w:b/>
                <w:lang w:eastAsia="de-DE"/>
              </w:rPr>
              <w:t>X</w:t>
            </w:r>
            <w:r w:rsidRPr="008E1FA7">
              <w:rPr>
                <w:bCs/>
                <w:lang w:eastAsia="de-DE"/>
              </w:rPr>
              <w:t xml:space="preserve"> </w:t>
            </w:r>
            <w:r w:rsidRPr="008E1FA7">
              <w:rPr>
                <w:bCs/>
                <w:i/>
                <w:lang w:eastAsia="de-DE"/>
              </w:rPr>
              <w:t>lunettes de protection</w:t>
            </w:r>
            <w:r w:rsidR="00B50090" w:rsidRPr="008E1FA7">
              <w:rPr>
                <w:bCs/>
                <w:i/>
                <w:lang w:eastAsia="de-DE"/>
              </w:rPr>
              <w:tab/>
            </w:r>
            <w:r w:rsidRPr="008E1FA7">
              <w:rPr>
                <w:rFonts w:eastAsia="Arial Unicode MS"/>
                <w:b/>
                <w:lang w:eastAsia="de-DE"/>
              </w:rPr>
              <w:t>X</w:t>
            </w:r>
            <w:r w:rsidRPr="008E1FA7">
              <w:rPr>
                <w:bCs/>
                <w:lang w:eastAsia="de-DE"/>
              </w:rPr>
              <w:t xml:space="preserve"> </w:t>
            </w:r>
            <w:r w:rsidRPr="008E1FA7">
              <w:rPr>
                <w:bCs/>
                <w:i/>
                <w:lang w:eastAsia="de-DE"/>
              </w:rPr>
              <w:t>masque à filtre</w:t>
            </w:r>
          </w:p>
          <w:p w14:paraId="33460F45" w14:textId="4E6EB280" w:rsidR="00371363" w:rsidRPr="008E1FA7" w:rsidRDefault="00371363" w:rsidP="00B50090">
            <w:pPr>
              <w:tabs>
                <w:tab w:val="left" w:pos="993"/>
                <w:tab w:val="left" w:pos="2007"/>
                <w:tab w:val="left" w:pos="3011"/>
                <w:tab w:val="left" w:pos="3828"/>
                <w:tab w:val="left" w:pos="5137"/>
                <w:tab w:val="left" w:pos="6826"/>
              </w:tabs>
              <w:spacing w:before="80"/>
              <w:ind w:left="318"/>
              <w:rPr>
                <w:bCs/>
                <w:lang w:eastAsia="de-DE"/>
              </w:rPr>
            </w:pPr>
            <w:r w:rsidRPr="008E1FA7">
              <w:rPr>
                <w:rFonts w:eastAsia="Arial Unicode MS"/>
                <w:b/>
                <w:lang w:eastAsia="de-DE"/>
              </w:rPr>
              <w:t>X</w:t>
            </w:r>
            <w:r w:rsidRPr="008E1FA7">
              <w:rPr>
                <w:bCs/>
                <w:lang w:eastAsia="de-DE"/>
              </w:rPr>
              <w:t xml:space="preserve"> </w:t>
            </w:r>
            <w:r w:rsidRPr="008E1FA7">
              <w:rPr>
                <w:bCs/>
                <w:i/>
                <w:lang w:eastAsia="de-DE"/>
              </w:rPr>
              <w:t>masque</w:t>
            </w:r>
            <w:r w:rsidRPr="008E1FA7">
              <w:rPr>
                <w:bCs/>
                <w:lang w:eastAsia="de-DE"/>
              </w:rPr>
              <w:tab/>
            </w:r>
            <w:r w:rsidRPr="008E1FA7">
              <w:rPr>
                <w:rFonts w:eastAsia="Arial Unicode MS"/>
                <w:b/>
                <w:lang w:eastAsia="de-DE"/>
              </w:rPr>
              <w:t>X</w:t>
            </w:r>
            <w:r w:rsidRPr="008E1FA7">
              <w:rPr>
                <w:bCs/>
                <w:lang w:eastAsia="de-DE"/>
              </w:rPr>
              <w:t xml:space="preserve"> </w:t>
            </w:r>
            <w:r w:rsidRPr="008E1FA7">
              <w:rPr>
                <w:bCs/>
                <w:i/>
                <w:lang w:eastAsia="de-DE"/>
              </w:rPr>
              <w:t>bottes</w:t>
            </w:r>
            <w:r w:rsidRPr="008E1FA7">
              <w:rPr>
                <w:bCs/>
                <w:lang w:eastAsia="de-DE"/>
              </w:rPr>
              <w:tab/>
            </w:r>
            <w:r w:rsidRPr="008E1FA7">
              <w:rPr>
                <w:bCs/>
                <w:lang w:eastAsia="de-DE"/>
              </w:rPr>
              <w:tab/>
            </w:r>
            <w:r w:rsidRPr="008E1FA7">
              <w:rPr>
                <w:rFonts w:eastAsia="Arial Unicode MS"/>
                <w:b/>
                <w:lang w:eastAsia="de-DE"/>
              </w:rPr>
              <w:t>X</w:t>
            </w:r>
            <w:r w:rsidRPr="008E1FA7">
              <w:rPr>
                <w:bCs/>
                <w:lang w:eastAsia="de-DE"/>
              </w:rPr>
              <w:t xml:space="preserve"> </w:t>
            </w:r>
            <w:r w:rsidRPr="008E1FA7">
              <w:rPr>
                <w:bCs/>
                <w:i/>
                <w:lang w:eastAsia="de-DE"/>
              </w:rPr>
              <w:t>chemise à manches longues</w:t>
            </w:r>
            <w:r w:rsidR="00B50090" w:rsidRPr="008E1FA7">
              <w:rPr>
                <w:bCs/>
                <w:i/>
                <w:lang w:eastAsia="de-DE"/>
              </w:rPr>
              <w:tab/>
            </w:r>
            <w:r w:rsidRPr="008E1FA7">
              <w:rPr>
                <w:rFonts w:eastAsia="Arial Unicode MS"/>
                <w:b/>
                <w:lang w:eastAsia="de-DE"/>
              </w:rPr>
              <w:t>X</w:t>
            </w:r>
            <w:r w:rsidRPr="008E1FA7">
              <w:rPr>
                <w:bCs/>
                <w:lang w:eastAsia="de-DE"/>
              </w:rPr>
              <w:t xml:space="preserve"> </w:t>
            </w:r>
            <w:r w:rsidRPr="008E1FA7">
              <w:rPr>
                <w:bCs/>
                <w:i/>
                <w:lang w:eastAsia="de-DE"/>
              </w:rPr>
              <w:t>pantalon long</w:t>
            </w:r>
          </w:p>
          <w:p w14:paraId="21C4972B" w14:textId="6EC3E3F9" w:rsidR="00371363" w:rsidRPr="008E1FA7" w:rsidRDefault="00371363" w:rsidP="00F0764B">
            <w:pPr>
              <w:tabs>
                <w:tab w:val="left" w:pos="993"/>
                <w:tab w:val="right" w:leader="dot" w:pos="9185"/>
              </w:tabs>
              <w:spacing w:before="80"/>
              <w:ind w:left="318"/>
              <w:rPr>
                <w:bCs/>
                <w:lang w:eastAsia="de-DE"/>
              </w:rPr>
            </w:pPr>
            <w:r w:rsidRPr="008E1FA7">
              <w:rPr>
                <w:bCs/>
                <w:lang w:eastAsia="de-DE"/>
              </w:rPr>
              <w:sym w:font="Wingdings" w:char="F0A8"/>
            </w:r>
            <w:r w:rsidRPr="008E1FA7">
              <w:rPr>
                <w:bCs/>
                <w:lang w:eastAsia="de-DE"/>
              </w:rPr>
              <w:t xml:space="preserve"> </w:t>
            </w:r>
            <w:r w:rsidRPr="008E1FA7">
              <w:rPr>
                <w:bCs/>
                <w:i/>
                <w:lang w:eastAsia="de-DE"/>
              </w:rPr>
              <w:t>autre, veuillez préciser :</w:t>
            </w:r>
            <w:r w:rsidR="00F0764B" w:rsidRPr="008E1FA7">
              <w:rPr>
                <w:bCs/>
                <w:i/>
                <w:lang w:eastAsia="de-DE"/>
              </w:rPr>
              <w:tab/>
            </w:r>
          </w:p>
          <w:p w14:paraId="0DE822F1" w14:textId="77777777" w:rsidR="00371363" w:rsidRPr="008E1FA7" w:rsidRDefault="00371363" w:rsidP="00B50090">
            <w:pPr>
              <w:autoSpaceDE w:val="0"/>
              <w:autoSpaceDN w:val="0"/>
              <w:adjustRightInd w:val="0"/>
              <w:spacing w:before="120" w:after="80"/>
              <w:rPr>
                <w:b/>
                <w:bCs/>
                <w:lang w:eastAsia="de-DE"/>
              </w:rPr>
            </w:pPr>
            <w:r w:rsidRPr="008E1FA7">
              <w:rPr>
                <w:b/>
                <w:bCs/>
                <w:lang w:eastAsia="de-DE"/>
              </w:rPr>
              <w:t>12. Information sur la manière dont le produit a été utilisé :</w:t>
            </w:r>
          </w:p>
          <w:p w14:paraId="1D91349F" w14:textId="6EE909D7" w:rsidR="00371363" w:rsidRPr="008E1FA7" w:rsidRDefault="00371363" w:rsidP="00F30805">
            <w:pPr>
              <w:numPr>
                <w:ilvl w:val="0"/>
                <w:numId w:val="7"/>
              </w:numPr>
              <w:tabs>
                <w:tab w:val="clear" w:pos="360"/>
                <w:tab w:val="num" w:pos="709"/>
                <w:tab w:val="left" w:pos="2694"/>
                <w:tab w:val="left" w:pos="4253"/>
                <w:tab w:val="right" w:leader="dot" w:pos="9356"/>
              </w:tabs>
              <w:spacing w:before="80"/>
              <w:ind w:left="318" w:hanging="42"/>
              <w:rPr>
                <w:bCs/>
                <w:lang w:eastAsia="de-DE"/>
              </w:rPr>
            </w:pPr>
            <w:r w:rsidRPr="008E1FA7">
              <w:rPr>
                <w:bCs/>
                <w:lang w:eastAsia="de-DE"/>
              </w:rPr>
              <w:t>Lieu de l</w:t>
            </w:r>
            <w:r w:rsidR="001503DA" w:rsidRPr="008E1FA7">
              <w:rPr>
                <w:bCs/>
                <w:lang w:eastAsia="de-DE"/>
              </w:rPr>
              <w:t>’</w:t>
            </w:r>
            <w:r w:rsidRPr="008E1FA7">
              <w:rPr>
                <w:bCs/>
                <w:lang w:eastAsia="de-DE"/>
              </w:rPr>
              <w:t>exposition/incident (</w:t>
            </w:r>
            <w:r w:rsidRPr="008E1FA7">
              <w:rPr>
                <w:bCs/>
                <w:i/>
                <w:iCs/>
                <w:lang w:eastAsia="de-DE"/>
              </w:rPr>
              <w:t>champ, jardin, serre, maison, etc.</w:t>
            </w:r>
            <w:r w:rsidRPr="008E1FA7">
              <w:rPr>
                <w:bCs/>
                <w:lang w:eastAsia="de-DE"/>
              </w:rPr>
              <w:t xml:space="preserve">) : </w:t>
            </w:r>
          </w:p>
          <w:p w14:paraId="669C6CA9" w14:textId="08EEABF7" w:rsidR="00371363" w:rsidRPr="008E1FA7" w:rsidRDefault="00371363" w:rsidP="00F0764B">
            <w:pPr>
              <w:tabs>
                <w:tab w:val="left" w:pos="993"/>
                <w:tab w:val="left" w:pos="3011"/>
                <w:tab w:val="right" w:leader="dot" w:pos="9185"/>
              </w:tabs>
              <w:spacing w:before="80"/>
              <w:ind w:left="318"/>
              <w:rPr>
                <w:lang w:eastAsia="de-DE"/>
              </w:rPr>
            </w:pPr>
            <w:r w:rsidRPr="008E1FA7">
              <w:rPr>
                <w:b/>
                <w:bCs/>
                <w:lang w:eastAsia="de-DE"/>
              </w:rPr>
              <w:t>Sites de perchage d</w:t>
            </w:r>
            <w:r w:rsidR="001503DA" w:rsidRPr="008E1FA7">
              <w:rPr>
                <w:b/>
                <w:bCs/>
                <w:lang w:eastAsia="de-DE"/>
              </w:rPr>
              <w:t>’</w:t>
            </w:r>
            <w:r w:rsidRPr="008E1FA7">
              <w:rPr>
                <w:b/>
                <w:bCs/>
                <w:lang w:eastAsia="de-DE"/>
              </w:rPr>
              <w:t>oiseaux granivores</w:t>
            </w:r>
            <w:r w:rsidR="007213CD" w:rsidRPr="008E1FA7">
              <w:rPr>
                <w:lang w:eastAsia="de-DE"/>
              </w:rPr>
              <w:tab/>
            </w:r>
          </w:p>
          <w:p w14:paraId="1A017261" w14:textId="77777777" w:rsidR="00371363" w:rsidRPr="008E1FA7" w:rsidRDefault="00371363" w:rsidP="00F30805">
            <w:pPr>
              <w:numPr>
                <w:ilvl w:val="0"/>
                <w:numId w:val="7"/>
              </w:numPr>
              <w:tabs>
                <w:tab w:val="clear" w:pos="360"/>
                <w:tab w:val="num" w:pos="709"/>
                <w:tab w:val="left" w:pos="2694"/>
                <w:tab w:val="left" w:pos="4253"/>
                <w:tab w:val="right" w:pos="9185"/>
              </w:tabs>
              <w:spacing w:before="80"/>
              <w:ind w:left="738" w:hanging="454"/>
              <w:rPr>
                <w:bCs/>
                <w:lang w:eastAsia="de-DE"/>
              </w:rPr>
            </w:pPr>
            <w:r w:rsidRPr="008E1FA7">
              <w:rPr>
                <w:bCs/>
                <w:lang w:eastAsia="de-DE"/>
              </w:rPr>
              <w:t>Liste des animaux/cultures ou produits entreposés traités :</w:t>
            </w:r>
          </w:p>
          <w:p w14:paraId="448DA4B1" w14:textId="4969D653" w:rsidR="00371363" w:rsidRPr="008E1FA7" w:rsidRDefault="00371363" w:rsidP="00F0764B">
            <w:pPr>
              <w:tabs>
                <w:tab w:val="left" w:pos="993"/>
                <w:tab w:val="left" w:pos="3011"/>
                <w:tab w:val="right" w:leader="dot" w:pos="9185"/>
              </w:tabs>
              <w:spacing w:before="80"/>
              <w:ind w:left="318"/>
              <w:rPr>
                <w:bCs/>
                <w:lang w:eastAsia="de-DE"/>
              </w:rPr>
            </w:pPr>
            <w:r w:rsidRPr="008E1FA7">
              <w:rPr>
                <w:b/>
                <w:bCs/>
                <w:i/>
                <w:lang w:eastAsia="de-DE"/>
              </w:rPr>
              <w:t xml:space="preserve">Quelea </w:t>
            </w:r>
            <w:proofErr w:type="spellStart"/>
            <w:r w:rsidRPr="008E1FA7">
              <w:rPr>
                <w:b/>
                <w:bCs/>
                <w:i/>
                <w:lang w:eastAsia="de-DE"/>
              </w:rPr>
              <w:t>quelea</w:t>
            </w:r>
            <w:proofErr w:type="spellEnd"/>
            <w:r w:rsidRPr="008E1FA7">
              <w:rPr>
                <w:b/>
                <w:bCs/>
                <w:lang w:eastAsia="de-DE"/>
              </w:rPr>
              <w:t xml:space="preserve"> ou </w:t>
            </w:r>
            <w:proofErr w:type="spellStart"/>
            <w:r w:rsidRPr="008E1FA7">
              <w:rPr>
                <w:b/>
                <w:bCs/>
                <w:lang w:eastAsia="de-DE"/>
              </w:rPr>
              <w:t>quéléa</w:t>
            </w:r>
            <w:proofErr w:type="spellEnd"/>
            <w:r w:rsidRPr="008E1FA7">
              <w:rPr>
                <w:b/>
                <w:bCs/>
                <w:lang w:eastAsia="de-DE"/>
              </w:rPr>
              <w:t xml:space="preserve"> à bec rouge</w:t>
            </w:r>
            <w:r w:rsidR="007213CD" w:rsidRPr="008E1FA7">
              <w:rPr>
                <w:lang w:eastAsia="de-DE"/>
              </w:rPr>
              <w:tab/>
            </w:r>
          </w:p>
          <w:p w14:paraId="08F3EFA6" w14:textId="286A9284" w:rsidR="00371363" w:rsidRPr="008E1FA7" w:rsidRDefault="00371363" w:rsidP="00F30805">
            <w:pPr>
              <w:numPr>
                <w:ilvl w:val="0"/>
                <w:numId w:val="7"/>
              </w:numPr>
              <w:tabs>
                <w:tab w:val="clear" w:pos="360"/>
                <w:tab w:val="num" w:pos="731"/>
                <w:tab w:val="left" w:pos="2694"/>
                <w:tab w:val="left" w:pos="4253"/>
                <w:tab w:val="right" w:leader="dot" w:pos="9356"/>
              </w:tabs>
              <w:spacing w:before="80"/>
              <w:ind w:left="738" w:hanging="454"/>
              <w:rPr>
                <w:bCs/>
                <w:lang w:eastAsia="de-DE"/>
              </w:rPr>
            </w:pPr>
            <w:r w:rsidRPr="008E1FA7">
              <w:rPr>
                <w:bCs/>
                <w:lang w:eastAsia="de-DE"/>
              </w:rPr>
              <w:t>Méthode d</w:t>
            </w:r>
            <w:r w:rsidR="001503DA" w:rsidRPr="008E1FA7">
              <w:rPr>
                <w:bCs/>
                <w:lang w:eastAsia="de-DE"/>
              </w:rPr>
              <w:t>’</w:t>
            </w:r>
            <w:r w:rsidRPr="008E1FA7">
              <w:rPr>
                <w:bCs/>
                <w:lang w:eastAsia="de-DE"/>
              </w:rPr>
              <w:t>application [</w:t>
            </w:r>
            <w:r w:rsidRPr="008E1FA7">
              <w:rPr>
                <w:bCs/>
                <w:i/>
                <w:iCs/>
                <w:lang w:eastAsia="de-DE"/>
              </w:rPr>
              <w:t>comment le produit était</w:t>
            </w:r>
            <w:r w:rsidRPr="008E1FA7">
              <w:rPr>
                <w:bCs/>
                <w:i/>
                <w:iCs/>
                <w:lang w:eastAsia="de-DE"/>
              </w:rPr>
              <w:noBreakHyphen/>
              <w:t>il utilisé, par exemple à la main, au seau et à la brosse, injection dans le sol, épandage (pulvérisateur à dos, pulvérisateur tracté), goutte</w:t>
            </w:r>
            <w:r w:rsidRPr="008E1FA7">
              <w:rPr>
                <w:bCs/>
                <w:i/>
                <w:iCs/>
                <w:lang w:eastAsia="de-DE"/>
              </w:rPr>
              <w:noBreakHyphen/>
              <w:t>à</w:t>
            </w:r>
            <w:r w:rsidRPr="008E1FA7">
              <w:rPr>
                <w:bCs/>
                <w:i/>
                <w:iCs/>
                <w:lang w:eastAsia="de-DE"/>
              </w:rPr>
              <w:noBreakHyphen/>
              <w:t>goutte, application aérienne (hélicoptère, avion, etc.)</w:t>
            </w:r>
            <w:r w:rsidRPr="008E1FA7">
              <w:rPr>
                <w:bCs/>
                <w:lang w:eastAsia="de-DE"/>
              </w:rPr>
              <w:t>] :</w:t>
            </w:r>
          </w:p>
          <w:p w14:paraId="113D6283" w14:textId="3FE060DC" w:rsidR="00371363" w:rsidRPr="008E1FA7" w:rsidRDefault="00371363" w:rsidP="007213CD">
            <w:pPr>
              <w:tabs>
                <w:tab w:val="right" w:leader="dot" w:pos="9185"/>
              </w:tabs>
              <w:autoSpaceDE w:val="0"/>
              <w:autoSpaceDN w:val="0"/>
              <w:adjustRightInd w:val="0"/>
              <w:spacing w:before="80"/>
              <w:ind w:left="284"/>
              <w:rPr>
                <w:b/>
                <w:bCs/>
                <w:lang w:eastAsia="de-DE"/>
              </w:rPr>
            </w:pPr>
            <w:r w:rsidRPr="008E1FA7">
              <w:rPr>
                <w:b/>
                <w:bCs/>
                <w:lang w:eastAsia="de-DE"/>
              </w:rPr>
              <w:t>Pulvérisateur à dos motorisé</w:t>
            </w:r>
            <w:r w:rsidR="007213CD" w:rsidRPr="008E1FA7">
              <w:rPr>
                <w:lang w:eastAsia="de-DE"/>
              </w:rPr>
              <w:tab/>
            </w:r>
          </w:p>
          <w:p w14:paraId="7AF8FFB2" w14:textId="77777777" w:rsidR="00371363" w:rsidRPr="008E1FA7" w:rsidRDefault="00371363" w:rsidP="00F30805">
            <w:pPr>
              <w:numPr>
                <w:ilvl w:val="0"/>
                <w:numId w:val="7"/>
              </w:numPr>
              <w:tabs>
                <w:tab w:val="clear" w:pos="360"/>
                <w:tab w:val="num" w:pos="709"/>
                <w:tab w:val="right" w:leader="dot" w:pos="9356"/>
              </w:tabs>
              <w:spacing w:before="80"/>
              <w:ind w:left="318" w:hanging="42"/>
              <w:rPr>
                <w:bCs/>
                <w:lang w:eastAsia="de-DE"/>
              </w:rPr>
            </w:pPr>
            <w:r w:rsidRPr="008E1FA7">
              <w:rPr>
                <w:bCs/>
                <w:lang w:eastAsia="de-DE"/>
              </w:rPr>
              <w:t>Dose utilisée/concentration (</w:t>
            </w:r>
            <w:r w:rsidRPr="008E1FA7">
              <w:rPr>
                <w:bCs/>
                <w:i/>
                <w:iCs/>
                <w:lang w:eastAsia="de-DE"/>
              </w:rPr>
              <w:t>ou quantité de pesticide utilisée</w:t>
            </w:r>
            <w:r w:rsidRPr="008E1FA7">
              <w:rPr>
                <w:bCs/>
                <w:lang w:eastAsia="de-DE"/>
              </w:rPr>
              <w:t>) :</w:t>
            </w:r>
          </w:p>
          <w:p w14:paraId="3D765423" w14:textId="0703696E" w:rsidR="00371363" w:rsidRPr="008E1FA7" w:rsidRDefault="00371363" w:rsidP="007213CD">
            <w:pPr>
              <w:tabs>
                <w:tab w:val="right" w:leader="dot" w:pos="9185"/>
              </w:tabs>
              <w:autoSpaceDE w:val="0"/>
              <w:autoSpaceDN w:val="0"/>
              <w:adjustRightInd w:val="0"/>
              <w:spacing w:before="80"/>
              <w:ind w:left="284"/>
              <w:rPr>
                <w:b/>
                <w:bCs/>
                <w:lang w:eastAsia="de-DE"/>
              </w:rPr>
            </w:pPr>
            <w:r w:rsidRPr="008E1FA7">
              <w:rPr>
                <w:b/>
                <w:bCs/>
                <w:lang w:eastAsia="de-DE"/>
              </w:rPr>
              <w:t>2 l/ha</w:t>
            </w:r>
            <w:r w:rsidR="007213CD" w:rsidRPr="008E1FA7">
              <w:rPr>
                <w:lang w:eastAsia="de-DE"/>
              </w:rPr>
              <w:tab/>
            </w:r>
          </w:p>
          <w:p w14:paraId="7F86A1F2" w14:textId="23123710" w:rsidR="00371363" w:rsidRPr="008E1FA7" w:rsidRDefault="00371363" w:rsidP="00F30805">
            <w:pPr>
              <w:numPr>
                <w:ilvl w:val="0"/>
                <w:numId w:val="7"/>
              </w:numPr>
              <w:tabs>
                <w:tab w:val="clear" w:pos="360"/>
                <w:tab w:val="num" w:pos="709"/>
                <w:tab w:val="left" w:pos="1134"/>
                <w:tab w:val="left" w:pos="4253"/>
                <w:tab w:val="left" w:pos="5812"/>
                <w:tab w:val="left" w:pos="7088"/>
                <w:tab w:val="right" w:leader="dot" w:pos="9356"/>
              </w:tabs>
              <w:spacing w:before="80"/>
              <w:ind w:left="318" w:hanging="42"/>
              <w:rPr>
                <w:bCs/>
                <w:lang w:eastAsia="de-DE"/>
              </w:rPr>
            </w:pPr>
            <w:r w:rsidRPr="008E1FA7">
              <w:rPr>
                <w:bCs/>
                <w:lang w:eastAsia="de-DE"/>
              </w:rPr>
              <w:t>Durée de l</w:t>
            </w:r>
            <w:r w:rsidR="001503DA" w:rsidRPr="008E1FA7">
              <w:rPr>
                <w:bCs/>
                <w:lang w:eastAsia="de-DE"/>
              </w:rPr>
              <w:t>’</w:t>
            </w:r>
            <w:r w:rsidRPr="008E1FA7">
              <w:rPr>
                <w:bCs/>
                <w:lang w:eastAsia="de-DE"/>
              </w:rPr>
              <w:t>exposition :</w:t>
            </w:r>
          </w:p>
          <w:p w14:paraId="6AFFBBF2" w14:textId="5719451D" w:rsidR="00371363" w:rsidRPr="008E1FA7" w:rsidRDefault="00371363" w:rsidP="007213CD">
            <w:pPr>
              <w:tabs>
                <w:tab w:val="left" w:pos="993"/>
                <w:tab w:val="left" w:pos="2007"/>
                <w:tab w:val="left" w:pos="3011"/>
                <w:tab w:val="left" w:pos="3828"/>
                <w:tab w:val="left" w:pos="5137"/>
                <w:tab w:val="right" w:leader="dot" w:pos="9185"/>
              </w:tabs>
              <w:spacing w:before="80"/>
              <w:ind w:left="318"/>
              <w:rPr>
                <w:bCs/>
                <w:lang w:eastAsia="de-DE"/>
              </w:rPr>
            </w:pPr>
            <w:r w:rsidRPr="008E1FA7">
              <w:rPr>
                <w:rFonts w:eastAsia="Arial Unicode MS"/>
                <w:b/>
                <w:lang w:eastAsia="de-DE"/>
              </w:rPr>
              <w:t>X</w:t>
            </w:r>
            <w:r w:rsidRPr="008E1FA7">
              <w:rPr>
                <w:b/>
                <w:bCs/>
                <w:lang w:eastAsia="de-DE"/>
              </w:rPr>
              <w:t xml:space="preserve"> </w:t>
            </w:r>
            <w:r w:rsidRPr="008E1FA7">
              <w:rPr>
                <w:bCs/>
                <w:lang w:eastAsia="de-DE"/>
              </w:rPr>
              <w:t>heure</w:t>
            </w:r>
            <w:r w:rsidRPr="008E1FA7">
              <w:rPr>
                <w:bCs/>
                <w:lang w:eastAsia="de-DE"/>
              </w:rPr>
              <w:tab/>
            </w:r>
            <w:r w:rsidR="007213CD" w:rsidRPr="008E1FA7">
              <w:rPr>
                <w:bCs/>
                <w:lang w:eastAsia="de-DE"/>
              </w:rPr>
              <w:tab/>
            </w:r>
            <w:r w:rsidRPr="008E1FA7">
              <w:rPr>
                <w:bCs/>
                <w:lang w:eastAsia="de-DE"/>
              </w:rPr>
              <w:sym w:font="Wingdings" w:char="F0A8"/>
            </w:r>
            <w:r w:rsidRPr="008E1FA7">
              <w:rPr>
                <w:bCs/>
                <w:lang w:eastAsia="de-DE"/>
              </w:rPr>
              <w:t xml:space="preserve"> ½ journée</w:t>
            </w:r>
            <w:r w:rsidRPr="008E1FA7">
              <w:rPr>
                <w:bCs/>
                <w:lang w:eastAsia="de-DE"/>
              </w:rPr>
              <w:tab/>
            </w:r>
            <w:r w:rsidRPr="008E1FA7">
              <w:rPr>
                <w:bCs/>
                <w:lang w:eastAsia="de-DE"/>
              </w:rPr>
              <w:sym w:font="Wingdings" w:char="F0A8"/>
            </w:r>
            <w:r w:rsidRPr="008E1FA7">
              <w:rPr>
                <w:bCs/>
                <w:lang w:eastAsia="de-DE"/>
              </w:rPr>
              <w:t xml:space="preserve"> </w:t>
            </w:r>
            <w:proofErr w:type="spellStart"/>
            <w:r w:rsidRPr="008E1FA7">
              <w:rPr>
                <w:bCs/>
                <w:lang w:eastAsia="de-DE"/>
              </w:rPr>
              <w:t>journée</w:t>
            </w:r>
            <w:proofErr w:type="spellEnd"/>
            <w:r w:rsidRPr="008E1FA7">
              <w:rPr>
                <w:bCs/>
                <w:lang w:eastAsia="de-DE"/>
              </w:rPr>
              <w:tab/>
            </w:r>
            <w:r w:rsidRPr="008E1FA7">
              <w:rPr>
                <w:bCs/>
                <w:lang w:eastAsia="de-DE"/>
              </w:rPr>
              <w:sym w:font="Wingdings" w:char="F0A8"/>
            </w:r>
            <w:r w:rsidRPr="008E1FA7">
              <w:rPr>
                <w:bCs/>
                <w:lang w:eastAsia="de-DE"/>
              </w:rPr>
              <w:t xml:space="preserve"> autre (spécifier) : </w:t>
            </w:r>
            <w:r w:rsidR="007213CD" w:rsidRPr="008E1FA7">
              <w:rPr>
                <w:bCs/>
                <w:lang w:eastAsia="de-DE"/>
              </w:rPr>
              <w:tab/>
            </w:r>
          </w:p>
          <w:p w14:paraId="6FDA16A4" w14:textId="32DEA4CC" w:rsidR="00371363" w:rsidRPr="008E1FA7" w:rsidRDefault="00371363" w:rsidP="00B50090">
            <w:pPr>
              <w:autoSpaceDE w:val="0"/>
              <w:autoSpaceDN w:val="0"/>
              <w:adjustRightInd w:val="0"/>
              <w:spacing w:before="120" w:after="80"/>
              <w:rPr>
                <w:b/>
                <w:bCs/>
                <w:lang w:eastAsia="de-DE"/>
              </w:rPr>
            </w:pPr>
            <w:r w:rsidRPr="008E1FA7">
              <w:rPr>
                <w:b/>
                <w:bCs/>
                <w:lang w:eastAsia="de-DE"/>
              </w:rPr>
              <w:t>13. Dans le cas où plus d</w:t>
            </w:r>
            <w:r w:rsidR="001503DA" w:rsidRPr="008E1FA7">
              <w:rPr>
                <w:b/>
                <w:bCs/>
                <w:lang w:eastAsia="de-DE"/>
              </w:rPr>
              <w:t>’</w:t>
            </w:r>
            <w:r w:rsidRPr="008E1FA7">
              <w:rPr>
                <w:b/>
                <w:bCs/>
                <w:lang w:eastAsia="de-DE"/>
              </w:rPr>
              <w:t>une préparation pesticide étaient utilisées en même temps, veuillez répondre aux</w:t>
            </w:r>
            <w:r w:rsidR="007213CD" w:rsidRPr="008E1FA7">
              <w:rPr>
                <w:b/>
                <w:bCs/>
                <w:lang w:eastAsia="de-DE"/>
              </w:rPr>
              <w:t> </w:t>
            </w:r>
            <w:r w:rsidRPr="008E1FA7">
              <w:rPr>
                <w:b/>
                <w:bCs/>
                <w:lang w:eastAsia="de-DE"/>
              </w:rPr>
              <w:t>points i) à iv) ci</w:t>
            </w:r>
            <w:r w:rsidRPr="008E1FA7">
              <w:rPr>
                <w:b/>
                <w:bCs/>
                <w:lang w:eastAsia="de-DE"/>
              </w:rPr>
              <w:noBreakHyphen/>
              <w:t xml:space="preserve">dessous pour chaque préparation </w:t>
            </w:r>
          </w:p>
          <w:p w14:paraId="1CA388CB" w14:textId="151B3D37" w:rsidR="00371363" w:rsidRPr="008E1FA7" w:rsidRDefault="00371363" w:rsidP="00F306A1">
            <w:pPr>
              <w:tabs>
                <w:tab w:val="left" w:pos="589"/>
                <w:tab w:val="left" w:pos="2444"/>
                <w:tab w:val="left" w:pos="2586"/>
                <w:tab w:val="left" w:pos="7371"/>
                <w:tab w:val="left" w:pos="8364"/>
                <w:tab w:val="right" w:leader="dot" w:pos="9356"/>
              </w:tabs>
              <w:spacing w:before="40" w:after="80"/>
              <w:ind w:left="284"/>
            </w:pPr>
            <w:r w:rsidRPr="008E1FA7">
              <w:t>i)</w:t>
            </w:r>
            <w:r w:rsidR="00F306A1" w:rsidRPr="008E1FA7">
              <w:tab/>
            </w:r>
            <w:r w:rsidRPr="008E1FA7">
              <w:t>Le pesticide était</w:t>
            </w:r>
            <w:r w:rsidRPr="008E1FA7">
              <w:noBreakHyphen/>
              <w:t>il dans son récipient d</w:t>
            </w:r>
            <w:r w:rsidR="001503DA" w:rsidRPr="008E1FA7">
              <w:t>’</w:t>
            </w:r>
            <w:r w:rsidRPr="008E1FA7">
              <w:t>origine?</w:t>
            </w:r>
            <w:r w:rsidRPr="008E1FA7">
              <w:tab/>
            </w:r>
            <w:r w:rsidRPr="008E1FA7">
              <w:sym w:font="Wingdings" w:char="F0A8"/>
            </w:r>
            <w:r w:rsidRPr="008E1FA7">
              <w:t xml:space="preserve"> non </w:t>
            </w:r>
            <w:r w:rsidRPr="008E1FA7">
              <w:tab/>
            </w:r>
            <w:r w:rsidRPr="008E1FA7">
              <w:sym w:font="Wingdings" w:char="F0A8"/>
            </w:r>
            <w:r w:rsidRPr="008E1FA7">
              <w:t xml:space="preserve"> oui</w:t>
            </w:r>
          </w:p>
          <w:p w14:paraId="101BE7E6" w14:textId="3FA3C3E6" w:rsidR="00371363" w:rsidRPr="008E1FA7" w:rsidRDefault="00371363" w:rsidP="00F306A1">
            <w:pPr>
              <w:tabs>
                <w:tab w:val="left" w:pos="589"/>
                <w:tab w:val="left" w:pos="2444"/>
                <w:tab w:val="left" w:pos="2586"/>
                <w:tab w:val="left" w:pos="7371"/>
                <w:tab w:val="left" w:pos="8364"/>
                <w:tab w:val="right" w:leader="dot" w:pos="9356"/>
              </w:tabs>
              <w:spacing w:before="40" w:after="80"/>
              <w:ind w:left="284"/>
            </w:pPr>
            <w:r w:rsidRPr="008E1FA7">
              <w:t>ii)</w:t>
            </w:r>
            <w:r w:rsidR="00F306A1" w:rsidRPr="008E1FA7">
              <w:tab/>
            </w:r>
            <w:r w:rsidRPr="008E1FA7">
              <w:t>L</w:t>
            </w:r>
            <w:r w:rsidR="001503DA" w:rsidRPr="008E1FA7">
              <w:t>’</w:t>
            </w:r>
            <w:r w:rsidRPr="008E1FA7">
              <w:t>étiquette était</w:t>
            </w:r>
            <w:r w:rsidRPr="008E1FA7">
              <w:noBreakHyphen/>
              <w:t xml:space="preserve">elle visible? </w:t>
            </w:r>
            <w:r w:rsidRPr="008E1FA7">
              <w:tab/>
            </w:r>
            <w:r w:rsidRPr="008E1FA7">
              <w:sym w:font="Wingdings" w:char="F0A8"/>
            </w:r>
            <w:r w:rsidRPr="008E1FA7">
              <w:t xml:space="preserve"> non</w:t>
            </w:r>
            <w:r w:rsidRPr="008E1FA7">
              <w:tab/>
            </w:r>
            <w:r w:rsidRPr="008E1FA7">
              <w:sym w:font="Wingdings" w:char="F0A8"/>
            </w:r>
            <w:r w:rsidRPr="008E1FA7">
              <w:t xml:space="preserve"> oui</w:t>
            </w:r>
          </w:p>
          <w:p w14:paraId="199C2611" w14:textId="1F611956" w:rsidR="00371363" w:rsidRPr="008E1FA7" w:rsidRDefault="00F306A1" w:rsidP="00F306A1">
            <w:pPr>
              <w:tabs>
                <w:tab w:val="left" w:pos="589"/>
                <w:tab w:val="left" w:pos="2444"/>
                <w:tab w:val="left" w:pos="2586"/>
                <w:tab w:val="left" w:pos="7371"/>
                <w:tab w:val="left" w:pos="8364"/>
                <w:tab w:val="right" w:leader="dot" w:pos="9356"/>
              </w:tabs>
              <w:spacing w:before="40" w:after="80"/>
              <w:ind w:left="284"/>
            </w:pPr>
            <w:r w:rsidRPr="008E1FA7">
              <w:tab/>
            </w:r>
            <w:r w:rsidR="00371363" w:rsidRPr="008E1FA7">
              <w:t>Si oui, l</w:t>
            </w:r>
            <w:r w:rsidR="001503DA" w:rsidRPr="008E1FA7">
              <w:t>’</w:t>
            </w:r>
            <w:r w:rsidR="00371363" w:rsidRPr="008E1FA7">
              <w:t>individu exposé était</w:t>
            </w:r>
            <w:r w:rsidR="00371363" w:rsidRPr="008E1FA7">
              <w:noBreakHyphen/>
              <w:t>il en mesure de lire et comprendre l</w:t>
            </w:r>
            <w:r w:rsidR="001503DA" w:rsidRPr="008E1FA7">
              <w:t>’</w:t>
            </w:r>
            <w:r w:rsidR="00371363" w:rsidRPr="008E1FA7">
              <w:t xml:space="preserve">étiquette ? </w:t>
            </w:r>
            <w:r w:rsidR="007213CD" w:rsidRPr="008E1FA7">
              <w:tab/>
            </w:r>
            <w:r w:rsidR="00371363" w:rsidRPr="008E1FA7">
              <w:sym w:font="Wingdings" w:char="F0A8"/>
            </w:r>
            <w:r w:rsidR="00371363" w:rsidRPr="008E1FA7">
              <w:t xml:space="preserve"> non</w:t>
            </w:r>
            <w:r w:rsidR="00371363" w:rsidRPr="008E1FA7">
              <w:tab/>
            </w:r>
            <w:r w:rsidR="00371363" w:rsidRPr="008E1FA7">
              <w:sym w:font="Wingdings" w:char="F0A8"/>
            </w:r>
            <w:r w:rsidR="00371363" w:rsidRPr="008E1FA7">
              <w:t xml:space="preserve"> oui</w:t>
            </w:r>
          </w:p>
          <w:p w14:paraId="747A45C1" w14:textId="0D82D63C" w:rsidR="00371363" w:rsidRPr="008E1FA7" w:rsidRDefault="00371363" w:rsidP="00F306A1">
            <w:pPr>
              <w:tabs>
                <w:tab w:val="left" w:pos="589"/>
                <w:tab w:val="left" w:pos="2444"/>
                <w:tab w:val="left" w:pos="2586"/>
                <w:tab w:val="left" w:pos="7371"/>
                <w:tab w:val="left" w:pos="8364"/>
                <w:tab w:val="right" w:leader="dot" w:pos="9356"/>
              </w:tabs>
              <w:spacing w:before="40" w:after="80"/>
              <w:ind w:left="284"/>
            </w:pPr>
            <w:r w:rsidRPr="008E1FA7">
              <w:t>iii)</w:t>
            </w:r>
            <w:r w:rsidR="00F306A1" w:rsidRPr="008E1FA7">
              <w:tab/>
            </w:r>
            <w:r w:rsidRPr="008E1FA7">
              <w:t>Est</w:t>
            </w:r>
            <w:r w:rsidRPr="008E1FA7">
              <w:noBreakHyphen/>
              <w:t>ce que l</w:t>
            </w:r>
            <w:r w:rsidR="001503DA" w:rsidRPr="008E1FA7">
              <w:t>’</w:t>
            </w:r>
            <w:r w:rsidRPr="008E1FA7">
              <w:t>étiquette comprenait l</w:t>
            </w:r>
            <w:r w:rsidR="001503DA" w:rsidRPr="008E1FA7">
              <w:t>’</w:t>
            </w:r>
            <w:r w:rsidRPr="008E1FA7">
              <w:t xml:space="preserve">utilisation qui en a été faite? </w:t>
            </w:r>
            <w:r w:rsidRPr="008E1FA7">
              <w:tab/>
            </w:r>
            <w:r w:rsidRPr="008E1FA7">
              <w:sym w:font="Wingdings" w:char="F0A8"/>
            </w:r>
            <w:r w:rsidRPr="008E1FA7">
              <w:t xml:space="preserve"> non</w:t>
            </w:r>
            <w:r w:rsidRPr="008E1FA7">
              <w:tab/>
            </w:r>
            <w:r w:rsidRPr="008E1FA7">
              <w:sym w:font="Wingdings" w:char="F0A8"/>
            </w:r>
            <w:r w:rsidRPr="008E1FA7">
              <w:t xml:space="preserve"> oui</w:t>
            </w:r>
          </w:p>
          <w:p w14:paraId="11D2F527" w14:textId="7A61C559" w:rsidR="00371363" w:rsidRPr="008E1FA7" w:rsidRDefault="00F306A1" w:rsidP="00F306A1">
            <w:pPr>
              <w:tabs>
                <w:tab w:val="left" w:pos="589"/>
                <w:tab w:val="left" w:pos="2444"/>
                <w:tab w:val="left" w:pos="2586"/>
                <w:tab w:val="right" w:leader="dot" w:pos="9185"/>
              </w:tabs>
              <w:spacing w:before="40" w:after="80"/>
              <w:ind w:left="284"/>
            </w:pPr>
            <w:r w:rsidRPr="008E1FA7">
              <w:tab/>
            </w:r>
            <w:r w:rsidR="00371363" w:rsidRPr="008E1FA7">
              <w:t>Si non, veuillez décrire en quoi l</w:t>
            </w:r>
            <w:r w:rsidR="001503DA" w:rsidRPr="008E1FA7">
              <w:t>’</w:t>
            </w:r>
            <w:r w:rsidR="00371363" w:rsidRPr="008E1FA7">
              <w:t>utilisation faite du produit diffère de celle recommandée sur l</w:t>
            </w:r>
            <w:r w:rsidR="001503DA" w:rsidRPr="008E1FA7">
              <w:t>’</w:t>
            </w:r>
            <w:r w:rsidR="00371363" w:rsidRPr="008E1FA7">
              <w:t>étiquette (</w:t>
            </w:r>
            <w:r w:rsidR="00371363" w:rsidRPr="008E1FA7">
              <w:rPr>
                <w:i/>
              </w:rPr>
              <w:t>utiliser une page supplémentaire si nécessaire</w:t>
            </w:r>
            <w:r w:rsidR="00371363" w:rsidRPr="008E1FA7">
              <w:t xml:space="preserve">) : </w:t>
            </w:r>
            <w:r w:rsidRPr="008E1FA7">
              <w:tab/>
            </w:r>
          </w:p>
          <w:p w14:paraId="39FBE822" w14:textId="1A38A0B6" w:rsidR="00371363" w:rsidRPr="008E1FA7" w:rsidRDefault="00371363" w:rsidP="00F306A1">
            <w:pPr>
              <w:tabs>
                <w:tab w:val="left" w:pos="589"/>
                <w:tab w:val="left" w:pos="2444"/>
                <w:tab w:val="left" w:pos="2586"/>
                <w:tab w:val="left" w:pos="7371"/>
                <w:tab w:val="left" w:pos="8364"/>
                <w:tab w:val="right" w:leader="dot" w:pos="9356"/>
              </w:tabs>
              <w:spacing w:before="40" w:after="80"/>
              <w:ind w:left="284"/>
            </w:pPr>
            <w:r w:rsidRPr="008E1FA7">
              <w:t>iv) L</w:t>
            </w:r>
            <w:r w:rsidR="001503DA" w:rsidRPr="008E1FA7">
              <w:t>’</w:t>
            </w:r>
            <w:r w:rsidRPr="008E1FA7">
              <w:t>incident reporté est</w:t>
            </w:r>
            <w:r w:rsidRPr="008E1FA7">
              <w:noBreakHyphen/>
              <w:t>il spécifique de la manière dont la préparation</w:t>
            </w:r>
            <w:r w:rsidRPr="008E1FA7">
              <w:tab/>
            </w:r>
            <w:r w:rsidRPr="008E1FA7">
              <w:sym w:font="Wingdings" w:char="F0A8"/>
            </w:r>
            <w:r w:rsidRPr="008E1FA7">
              <w:t xml:space="preserve"> non </w:t>
            </w:r>
            <w:r w:rsidRPr="008E1FA7">
              <w:tab/>
            </w:r>
            <w:r w:rsidRPr="008E1FA7">
              <w:sym w:font="Wingdings" w:char="F0A8"/>
            </w:r>
            <w:r w:rsidRPr="008E1FA7">
              <w:t xml:space="preserve"> oui</w:t>
            </w:r>
            <w:r w:rsidR="00F306A1" w:rsidRPr="008E1FA7">
              <w:t xml:space="preserve"> </w:t>
            </w:r>
            <w:r w:rsidR="00F306A1" w:rsidRPr="008E1FA7">
              <w:br/>
              <w:t xml:space="preserve">   est généralement utilisée ?</w:t>
            </w:r>
          </w:p>
          <w:p w14:paraId="303DA203" w14:textId="0290C89B" w:rsidR="00371363" w:rsidRPr="008E1FA7" w:rsidRDefault="00371363" w:rsidP="00B50090">
            <w:pPr>
              <w:autoSpaceDE w:val="0"/>
              <w:autoSpaceDN w:val="0"/>
              <w:adjustRightInd w:val="0"/>
              <w:spacing w:before="120" w:after="80"/>
              <w:rPr>
                <w:b/>
                <w:bCs/>
                <w:lang w:eastAsia="de-DE"/>
              </w:rPr>
            </w:pPr>
            <w:r w:rsidRPr="008E1FA7">
              <w:rPr>
                <w:b/>
                <w:bCs/>
                <w:lang w:eastAsia="de-DE"/>
              </w:rPr>
              <w:t>14. Conditions climatiques dans lesquelles l</w:t>
            </w:r>
            <w:r w:rsidR="001503DA" w:rsidRPr="008E1FA7">
              <w:rPr>
                <w:b/>
                <w:bCs/>
                <w:lang w:eastAsia="de-DE"/>
              </w:rPr>
              <w:t>’</w:t>
            </w:r>
            <w:r w:rsidRPr="008E1FA7">
              <w:rPr>
                <w:b/>
                <w:bCs/>
                <w:lang w:eastAsia="de-DE"/>
              </w:rPr>
              <w:t>incident s</w:t>
            </w:r>
            <w:r w:rsidR="001503DA" w:rsidRPr="008E1FA7">
              <w:rPr>
                <w:b/>
                <w:bCs/>
                <w:lang w:eastAsia="de-DE"/>
              </w:rPr>
              <w:t>’</w:t>
            </w:r>
            <w:r w:rsidRPr="008E1FA7">
              <w:rPr>
                <w:b/>
                <w:bCs/>
                <w:lang w:eastAsia="de-DE"/>
              </w:rPr>
              <w:t xml:space="preserve">est produit </w:t>
            </w:r>
            <w:r w:rsidRPr="008E1FA7">
              <w:rPr>
                <w:b/>
                <w:bCs/>
                <w:lang w:eastAsia="de-DE"/>
              </w:rPr>
              <w:tab/>
              <w:t>(</w:t>
            </w:r>
            <w:r w:rsidRPr="008E1FA7">
              <w:rPr>
                <w:b/>
                <w:bCs/>
                <w:i/>
                <w:iCs/>
                <w:lang w:eastAsia="de-DE"/>
              </w:rPr>
              <w:t>par ex. : température, humidité relative</w:t>
            </w:r>
            <w:r w:rsidRPr="008E1FA7">
              <w:rPr>
                <w:b/>
                <w:bCs/>
                <w:lang w:eastAsia="de-DE"/>
              </w:rPr>
              <w:t>) :</w:t>
            </w:r>
          </w:p>
          <w:p w14:paraId="477D26EE" w14:textId="53874740" w:rsidR="00371363" w:rsidRPr="008E1FA7" w:rsidRDefault="00371363" w:rsidP="00F306A1">
            <w:pPr>
              <w:tabs>
                <w:tab w:val="left" w:pos="589"/>
                <w:tab w:val="right" w:leader="dot" w:pos="9185"/>
              </w:tabs>
              <w:spacing w:before="40" w:after="80"/>
              <w:ind w:left="284"/>
              <w:rPr>
                <w:bCs/>
                <w:lang w:eastAsia="de-DE"/>
              </w:rPr>
            </w:pPr>
            <w:r w:rsidRPr="008E1FA7">
              <w:rPr>
                <w:bCs/>
                <w:lang w:eastAsia="de-DE"/>
              </w:rPr>
              <w:t>Début de la saison des pluies</w:t>
            </w:r>
            <w:r w:rsidR="00F306A1" w:rsidRPr="008E1FA7">
              <w:rPr>
                <w:bCs/>
                <w:lang w:eastAsia="de-DE"/>
              </w:rPr>
              <w:t xml:space="preserve"> </w:t>
            </w:r>
            <w:r w:rsidR="00F306A1" w:rsidRPr="008E1FA7">
              <w:rPr>
                <w:bCs/>
                <w:lang w:eastAsia="de-DE"/>
              </w:rPr>
              <w:tab/>
            </w:r>
          </w:p>
          <w:p w14:paraId="668F5FC0" w14:textId="77777777" w:rsidR="00E650E3" w:rsidRPr="008E1FA7" w:rsidRDefault="00E650E3" w:rsidP="00F306A1">
            <w:pPr>
              <w:tabs>
                <w:tab w:val="left" w:pos="589"/>
                <w:tab w:val="right" w:leader="dot" w:pos="9185"/>
              </w:tabs>
              <w:spacing w:before="40" w:after="80"/>
              <w:ind w:left="284"/>
              <w:rPr>
                <w:bCs/>
                <w:lang w:eastAsia="de-DE"/>
              </w:rPr>
            </w:pPr>
          </w:p>
          <w:p w14:paraId="11555CFE" w14:textId="77777777" w:rsidR="00E650E3" w:rsidRPr="008E1FA7" w:rsidRDefault="00E650E3" w:rsidP="00F306A1">
            <w:pPr>
              <w:tabs>
                <w:tab w:val="left" w:pos="589"/>
                <w:tab w:val="right" w:leader="dot" w:pos="9185"/>
              </w:tabs>
              <w:spacing w:before="40" w:after="80"/>
              <w:ind w:left="284"/>
              <w:rPr>
                <w:b/>
                <w:bCs/>
                <w:lang w:eastAsia="de-DE"/>
              </w:rPr>
            </w:pPr>
          </w:p>
          <w:p w14:paraId="274B4A22" w14:textId="6BBDF190" w:rsidR="00371363" w:rsidRPr="008E1FA7" w:rsidRDefault="00371363" w:rsidP="000F78DC">
            <w:pPr>
              <w:tabs>
                <w:tab w:val="left" w:pos="7393"/>
                <w:tab w:val="left" w:pos="8385"/>
              </w:tabs>
              <w:autoSpaceDE w:val="0"/>
              <w:autoSpaceDN w:val="0"/>
              <w:adjustRightInd w:val="0"/>
              <w:spacing w:before="120" w:after="80"/>
              <w:rPr>
                <w:szCs w:val="22"/>
              </w:rPr>
            </w:pPr>
            <w:r w:rsidRPr="008E1FA7">
              <w:rPr>
                <w:b/>
                <w:bCs/>
                <w:lang w:eastAsia="de-DE"/>
              </w:rPr>
              <w:t>15. Y avait</w:t>
            </w:r>
            <w:r w:rsidRPr="008E1FA7">
              <w:rPr>
                <w:b/>
                <w:bCs/>
                <w:lang w:eastAsia="de-DE"/>
              </w:rPr>
              <w:noBreakHyphen/>
              <w:t>il d</w:t>
            </w:r>
            <w:r w:rsidR="001503DA" w:rsidRPr="008E1FA7">
              <w:rPr>
                <w:b/>
                <w:bCs/>
                <w:lang w:eastAsia="de-DE"/>
              </w:rPr>
              <w:t>’</w:t>
            </w:r>
            <w:r w:rsidRPr="008E1FA7">
              <w:rPr>
                <w:b/>
                <w:bCs/>
                <w:lang w:eastAsia="de-DE"/>
              </w:rPr>
              <w:t>autres individus impliqués dans le même incident ?</w:t>
            </w:r>
            <w:r w:rsidRPr="008E1FA7">
              <w:rPr>
                <w:szCs w:val="22"/>
              </w:rPr>
              <w:tab/>
            </w:r>
            <w:r w:rsidRPr="008E1FA7">
              <w:rPr>
                <w:szCs w:val="22"/>
              </w:rPr>
              <w:sym w:font="Wingdings" w:char="F0A8"/>
            </w:r>
            <w:r w:rsidRPr="008E1FA7">
              <w:rPr>
                <w:szCs w:val="22"/>
              </w:rPr>
              <w:t xml:space="preserve"> non </w:t>
            </w:r>
            <w:r w:rsidRPr="008E1FA7">
              <w:rPr>
                <w:szCs w:val="22"/>
              </w:rPr>
              <w:tab/>
            </w:r>
            <w:r w:rsidRPr="008E1FA7">
              <w:rPr>
                <w:szCs w:val="22"/>
              </w:rPr>
              <w:sym w:font="Wingdings" w:char="F0A8"/>
            </w:r>
            <w:r w:rsidRPr="008E1FA7">
              <w:rPr>
                <w:szCs w:val="22"/>
              </w:rPr>
              <w:t xml:space="preserve"> oui</w:t>
            </w:r>
          </w:p>
          <w:p w14:paraId="0E67D3BF" w14:textId="69A7758A" w:rsidR="00371363" w:rsidRPr="008E1FA7" w:rsidRDefault="00371363" w:rsidP="00B50090">
            <w:pPr>
              <w:autoSpaceDE w:val="0"/>
              <w:autoSpaceDN w:val="0"/>
              <w:adjustRightInd w:val="0"/>
              <w:spacing w:before="120" w:after="80"/>
              <w:rPr>
                <w:b/>
                <w:bCs/>
                <w:lang w:eastAsia="de-DE"/>
              </w:rPr>
            </w:pPr>
            <w:r w:rsidRPr="008E1FA7">
              <w:rPr>
                <w:b/>
                <w:bCs/>
                <w:lang w:eastAsia="de-DE"/>
              </w:rPr>
              <w:t>16. Veuillez préciser les autres détails importants (</w:t>
            </w:r>
            <w:r w:rsidRPr="008E1FA7">
              <w:rPr>
                <w:b/>
                <w:bCs/>
                <w:i/>
                <w:lang w:eastAsia="de-DE"/>
              </w:rPr>
              <w:t>sur feuille séparée</w:t>
            </w:r>
            <w:r w:rsidRPr="008E1FA7">
              <w:rPr>
                <w:b/>
                <w:bCs/>
                <w:lang w:eastAsia="de-DE"/>
              </w:rPr>
              <w:t>) dans la description de l</w:t>
            </w:r>
            <w:r w:rsidR="001503DA" w:rsidRPr="008E1FA7">
              <w:rPr>
                <w:b/>
                <w:bCs/>
                <w:lang w:eastAsia="de-DE"/>
              </w:rPr>
              <w:t>’</w:t>
            </w:r>
            <w:r w:rsidRPr="008E1FA7">
              <w:rPr>
                <w:b/>
                <w:bCs/>
                <w:lang w:eastAsia="de-DE"/>
              </w:rPr>
              <w:t>incident, la</w:t>
            </w:r>
            <w:r w:rsidR="00F306A1" w:rsidRPr="008E1FA7">
              <w:rPr>
                <w:b/>
                <w:bCs/>
                <w:lang w:eastAsia="de-DE"/>
              </w:rPr>
              <w:t> </w:t>
            </w:r>
            <w:r w:rsidRPr="008E1FA7">
              <w:rPr>
                <w:b/>
                <w:bCs/>
                <w:lang w:eastAsia="de-DE"/>
              </w:rPr>
              <w:t>manière dont la préparation était utilisée, et en quoi l</w:t>
            </w:r>
            <w:r w:rsidR="001503DA" w:rsidRPr="008E1FA7">
              <w:rPr>
                <w:b/>
                <w:bCs/>
                <w:lang w:eastAsia="de-DE"/>
              </w:rPr>
              <w:t>’</w:t>
            </w:r>
            <w:r w:rsidRPr="008E1FA7">
              <w:rPr>
                <w:b/>
                <w:bCs/>
                <w:lang w:eastAsia="de-DE"/>
              </w:rPr>
              <w:t>utilisation décrite reflète les modes d</w:t>
            </w:r>
            <w:r w:rsidR="001503DA" w:rsidRPr="008E1FA7">
              <w:rPr>
                <w:b/>
                <w:bCs/>
                <w:lang w:eastAsia="de-DE"/>
              </w:rPr>
              <w:t>’</w:t>
            </w:r>
            <w:r w:rsidRPr="008E1FA7">
              <w:rPr>
                <w:b/>
                <w:bCs/>
                <w:lang w:eastAsia="de-DE"/>
              </w:rPr>
              <w:t>utilisation courants et attestés de la préparation dans le pays (</w:t>
            </w:r>
            <w:r w:rsidRPr="008E1FA7">
              <w:rPr>
                <w:b/>
                <w:bCs/>
                <w:i/>
                <w:lang w:eastAsia="de-DE"/>
              </w:rPr>
              <w:t>sur feuille séparée</w:t>
            </w:r>
            <w:r w:rsidRPr="008E1FA7">
              <w:rPr>
                <w:b/>
                <w:bCs/>
                <w:lang w:eastAsia="de-DE"/>
              </w:rPr>
              <w:t>).</w:t>
            </w:r>
          </w:p>
        </w:tc>
      </w:tr>
    </w:tbl>
    <w:p w14:paraId="5678DFA4" w14:textId="77777777" w:rsidR="003422E8" w:rsidRPr="008E1FA7" w:rsidRDefault="003422E8"/>
    <w:tbl>
      <w:tblPr>
        <w:tblW w:w="5000" w:type="pct"/>
        <w:jc w:val="righ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9466"/>
      </w:tblGrid>
      <w:tr w:rsidR="00371363" w:rsidRPr="008E1FA7" w14:paraId="385335A3" w14:textId="77777777" w:rsidTr="00EA0EE3">
        <w:trPr>
          <w:jc w:val="right"/>
        </w:trPr>
        <w:tc>
          <w:tcPr>
            <w:tcW w:w="9466" w:type="dxa"/>
            <w:shd w:val="pct5" w:color="auto" w:fill="FFFFFF"/>
          </w:tcPr>
          <w:p w14:paraId="5893C757" w14:textId="77777777" w:rsidR="00371363" w:rsidRPr="008E1FA7" w:rsidRDefault="00371363" w:rsidP="000F78DC">
            <w:pPr>
              <w:keepNext/>
              <w:keepLines/>
              <w:autoSpaceDE w:val="0"/>
              <w:autoSpaceDN w:val="0"/>
              <w:adjustRightInd w:val="0"/>
              <w:spacing w:before="200" w:after="200"/>
              <w:jc w:val="center"/>
              <w:rPr>
                <w:b/>
                <w:bCs/>
                <w:lang w:eastAsia="de-DE"/>
              </w:rPr>
            </w:pPr>
            <w:r w:rsidRPr="008E1FA7">
              <w:rPr>
                <w:b/>
                <w:bCs/>
                <w:lang w:eastAsia="de-DE"/>
              </w:rPr>
              <w:t>III.  Description des effets néfastes :</w:t>
            </w:r>
          </w:p>
        </w:tc>
      </w:tr>
      <w:tr w:rsidR="00371363" w:rsidRPr="008E1FA7" w14:paraId="4117BB69" w14:textId="77777777" w:rsidTr="00EA0EE3">
        <w:trPr>
          <w:jc w:val="right"/>
        </w:trPr>
        <w:tc>
          <w:tcPr>
            <w:tcW w:w="9466" w:type="dxa"/>
            <w:tcBorders>
              <w:bottom w:val="double" w:sz="4" w:space="0" w:color="auto"/>
            </w:tcBorders>
          </w:tcPr>
          <w:p w14:paraId="6B3D90AB" w14:textId="520F4113" w:rsidR="00371363" w:rsidRPr="008E1FA7" w:rsidRDefault="00371363" w:rsidP="000F78DC">
            <w:pPr>
              <w:keepNext/>
              <w:autoSpaceDE w:val="0"/>
              <w:autoSpaceDN w:val="0"/>
              <w:adjustRightInd w:val="0"/>
              <w:spacing w:before="120" w:after="80"/>
              <w:rPr>
                <w:b/>
                <w:bCs/>
                <w:lang w:eastAsia="de-DE"/>
              </w:rPr>
            </w:pPr>
            <w:r w:rsidRPr="008E1FA7">
              <w:rPr>
                <w:b/>
                <w:bCs/>
                <w:lang w:eastAsia="de-DE"/>
              </w:rPr>
              <w:t>17. Réaction de l</w:t>
            </w:r>
            <w:r w:rsidR="001503DA" w:rsidRPr="008E1FA7">
              <w:rPr>
                <w:b/>
                <w:bCs/>
                <w:lang w:eastAsia="de-DE"/>
              </w:rPr>
              <w:t>’</w:t>
            </w:r>
            <w:r w:rsidRPr="008E1FA7">
              <w:rPr>
                <w:b/>
                <w:bCs/>
                <w:lang w:eastAsia="de-DE"/>
              </w:rPr>
              <w:t>individu (cocher une ou plusieurs cases) :</w:t>
            </w:r>
          </w:p>
          <w:p w14:paraId="33E3E3E3" w14:textId="59E3AD33" w:rsidR="00371363" w:rsidRPr="008E1FA7" w:rsidRDefault="00371363" w:rsidP="000F78DC">
            <w:pPr>
              <w:keepNext/>
              <w:keepLines/>
              <w:tabs>
                <w:tab w:val="left" w:pos="2857"/>
                <w:tab w:val="left" w:pos="4842"/>
                <w:tab w:val="left" w:pos="6826"/>
              </w:tabs>
              <w:autoSpaceDE w:val="0"/>
              <w:autoSpaceDN w:val="0"/>
              <w:adjustRightInd w:val="0"/>
              <w:spacing w:beforeLines="40" w:before="96" w:after="120"/>
              <w:ind w:left="318"/>
              <w:rPr>
                <w:bCs/>
                <w:i/>
                <w:iCs/>
                <w:lang w:eastAsia="de-DE"/>
              </w:rPr>
            </w:pPr>
            <w:r w:rsidRPr="008E1FA7">
              <w:rPr>
                <w:bCs/>
                <w:lang w:eastAsia="de-DE"/>
              </w:rPr>
              <w:sym w:font="Wingdings" w:char="F0A8"/>
            </w:r>
            <w:r w:rsidRPr="008E1FA7">
              <w:rPr>
                <w:bCs/>
                <w:lang w:eastAsia="de-DE"/>
              </w:rPr>
              <w:t xml:space="preserve"> </w:t>
            </w:r>
            <w:r w:rsidRPr="008E1FA7">
              <w:rPr>
                <w:bCs/>
                <w:i/>
                <w:iCs/>
                <w:lang w:eastAsia="de-DE"/>
              </w:rPr>
              <w:t>étourdissement</w:t>
            </w:r>
            <w:r w:rsidRPr="008E1FA7">
              <w:rPr>
                <w:bCs/>
                <w:lang w:eastAsia="de-DE"/>
              </w:rPr>
              <w:tab/>
            </w:r>
            <w:r w:rsidRPr="008E1FA7">
              <w:rPr>
                <w:bCs/>
                <w:lang w:eastAsia="de-DE"/>
              </w:rPr>
              <w:sym w:font="Wingdings" w:char="F0A8"/>
            </w:r>
            <w:r w:rsidRPr="008E1FA7">
              <w:rPr>
                <w:bCs/>
                <w:lang w:eastAsia="de-DE"/>
              </w:rPr>
              <w:t xml:space="preserve"> </w:t>
            </w:r>
            <w:r w:rsidRPr="008E1FA7">
              <w:rPr>
                <w:bCs/>
                <w:i/>
                <w:iCs/>
                <w:lang w:eastAsia="de-DE"/>
              </w:rPr>
              <w:t>maux de tête</w:t>
            </w:r>
            <w:r w:rsidRPr="008E1FA7">
              <w:rPr>
                <w:bCs/>
                <w:lang w:eastAsia="de-DE"/>
              </w:rPr>
              <w:tab/>
            </w:r>
            <w:r w:rsidRPr="008E1FA7">
              <w:rPr>
                <w:bCs/>
                <w:lang w:eastAsia="de-DE"/>
              </w:rPr>
              <w:sym w:font="Wingdings" w:char="F0A8"/>
            </w:r>
            <w:r w:rsidRPr="008E1FA7">
              <w:rPr>
                <w:bCs/>
                <w:lang w:eastAsia="de-DE"/>
              </w:rPr>
              <w:t xml:space="preserve"> </w:t>
            </w:r>
            <w:r w:rsidRPr="008E1FA7">
              <w:rPr>
                <w:bCs/>
                <w:i/>
                <w:iCs/>
                <w:lang w:eastAsia="de-DE"/>
              </w:rPr>
              <w:t>transpiration excessive</w:t>
            </w:r>
            <w:r w:rsidRPr="008E1FA7">
              <w:rPr>
                <w:bCs/>
                <w:lang w:eastAsia="de-DE"/>
              </w:rPr>
              <w:tab/>
            </w:r>
            <w:r w:rsidRPr="008E1FA7">
              <w:rPr>
                <w:bCs/>
                <w:lang w:eastAsia="de-DE"/>
              </w:rPr>
              <w:sym w:font="Wingdings" w:char="F0A8"/>
            </w:r>
            <w:r w:rsidRPr="008E1FA7">
              <w:rPr>
                <w:bCs/>
                <w:lang w:eastAsia="de-DE"/>
              </w:rPr>
              <w:t xml:space="preserve"> </w:t>
            </w:r>
            <w:r w:rsidRPr="008E1FA7">
              <w:rPr>
                <w:bCs/>
                <w:i/>
                <w:iCs/>
                <w:lang w:eastAsia="de-DE"/>
              </w:rPr>
              <w:t>vision confuse</w:t>
            </w:r>
          </w:p>
          <w:p w14:paraId="48AA475E" w14:textId="4B08C5FF" w:rsidR="00371363" w:rsidRPr="008E1FA7" w:rsidRDefault="00371363" w:rsidP="00BF4176">
            <w:pPr>
              <w:tabs>
                <w:tab w:val="left" w:pos="2857"/>
                <w:tab w:val="left" w:pos="4842"/>
                <w:tab w:val="left" w:pos="6826"/>
              </w:tabs>
              <w:autoSpaceDE w:val="0"/>
              <w:autoSpaceDN w:val="0"/>
              <w:adjustRightInd w:val="0"/>
              <w:spacing w:beforeLines="40" w:before="96" w:after="120"/>
              <w:ind w:left="318"/>
              <w:rPr>
                <w:bCs/>
                <w:lang w:eastAsia="de-DE"/>
              </w:rPr>
            </w:pPr>
            <w:r w:rsidRPr="008E1FA7">
              <w:rPr>
                <w:bCs/>
                <w:lang w:eastAsia="de-DE"/>
              </w:rPr>
              <w:sym w:font="Wingdings" w:char="F0A8"/>
            </w:r>
            <w:r w:rsidRPr="008E1FA7">
              <w:rPr>
                <w:bCs/>
                <w:lang w:eastAsia="de-DE"/>
              </w:rPr>
              <w:t xml:space="preserve"> </w:t>
            </w:r>
            <w:r w:rsidRPr="008E1FA7">
              <w:rPr>
                <w:bCs/>
                <w:i/>
                <w:iCs/>
                <w:lang w:eastAsia="de-DE"/>
              </w:rPr>
              <w:t>tremblement de la main</w:t>
            </w:r>
            <w:r w:rsidRPr="008E1FA7">
              <w:rPr>
                <w:bCs/>
                <w:lang w:eastAsia="de-DE"/>
              </w:rPr>
              <w:tab/>
            </w:r>
            <w:r w:rsidRPr="008E1FA7">
              <w:rPr>
                <w:bCs/>
                <w:lang w:eastAsia="de-DE"/>
              </w:rPr>
              <w:sym w:font="Wingdings" w:char="F0A8"/>
            </w:r>
            <w:r w:rsidRPr="008E1FA7">
              <w:rPr>
                <w:bCs/>
                <w:lang w:eastAsia="de-DE"/>
              </w:rPr>
              <w:t xml:space="preserve"> </w:t>
            </w:r>
            <w:r w:rsidRPr="008E1FA7">
              <w:rPr>
                <w:bCs/>
                <w:i/>
                <w:iCs/>
                <w:lang w:eastAsia="de-DE"/>
              </w:rPr>
              <w:t>convulsion</w:t>
            </w:r>
            <w:r w:rsidRPr="008E1FA7">
              <w:rPr>
                <w:bCs/>
                <w:lang w:eastAsia="de-DE"/>
              </w:rPr>
              <w:tab/>
            </w:r>
            <w:r w:rsidRPr="008E1FA7">
              <w:rPr>
                <w:bCs/>
                <w:lang w:eastAsia="de-DE"/>
              </w:rPr>
              <w:sym w:font="Wingdings" w:char="F0A8"/>
            </w:r>
            <w:r w:rsidRPr="008E1FA7">
              <w:rPr>
                <w:bCs/>
                <w:lang w:eastAsia="de-DE"/>
              </w:rPr>
              <w:t xml:space="preserve"> </w:t>
            </w:r>
            <w:r w:rsidRPr="008E1FA7">
              <w:rPr>
                <w:bCs/>
                <w:i/>
                <w:iCs/>
                <w:lang w:eastAsia="de-DE"/>
              </w:rPr>
              <w:t>pupilles rétractées</w:t>
            </w:r>
            <w:r w:rsidRPr="008E1FA7">
              <w:rPr>
                <w:bCs/>
                <w:lang w:eastAsia="de-DE"/>
              </w:rPr>
              <w:tab/>
            </w:r>
            <w:r w:rsidR="00BF4176" w:rsidRPr="008E1FA7">
              <w:rPr>
                <w:bCs/>
                <w:lang w:eastAsia="de-DE"/>
              </w:rPr>
              <w:tab/>
            </w:r>
            <w:r w:rsidR="00BF4176" w:rsidRPr="008E1FA7">
              <w:rPr>
                <w:bCs/>
                <w:lang w:eastAsia="de-DE"/>
              </w:rPr>
              <w:tab/>
            </w:r>
            <w:r w:rsidRPr="008E1FA7">
              <w:rPr>
                <w:b/>
                <w:bCs/>
                <w:lang w:eastAsia="de-DE"/>
              </w:rPr>
              <w:t>X</w:t>
            </w:r>
            <w:r w:rsidRPr="008E1FA7">
              <w:rPr>
                <w:bCs/>
                <w:lang w:eastAsia="de-DE"/>
              </w:rPr>
              <w:t xml:space="preserve"> </w:t>
            </w:r>
            <w:r w:rsidRPr="008E1FA7">
              <w:rPr>
                <w:bCs/>
                <w:i/>
                <w:iCs/>
                <w:lang w:eastAsia="de-DE"/>
              </w:rPr>
              <w:t>titubation</w:t>
            </w:r>
          </w:p>
          <w:p w14:paraId="4780BB10" w14:textId="6FB0135E" w:rsidR="00371363" w:rsidRPr="008E1FA7" w:rsidRDefault="00371363" w:rsidP="00BF4176">
            <w:pPr>
              <w:tabs>
                <w:tab w:val="left" w:pos="2715"/>
                <w:tab w:val="left" w:pos="4842"/>
                <w:tab w:val="left" w:pos="6826"/>
              </w:tabs>
              <w:autoSpaceDE w:val="0"/>
              <w:autoSpaceDN w:val="0"/>
              <w:adjustRightInd w:val="0"/>
              <w:spacing w:beforeLines="40" w:before="96" w:after="120"/>
              <w:ind w:left="318"/>
              <w:rPr>
                <w:bCs/>
                <w:i/>
                <w:iCs/>
                <w:lang w:eastAsia="de-DE"/>
              </w:rPr>
            </w:pPr>
            <w:r w:rsidRPr="008E1FA7">
              <w:rPr>
                <w:b/>
                <w:bCs/>
                <w:lang w:eastAsia="de-DE"/>
              </w:rPr>
              <w:t>X</w:t>
            </w:r>
            <w:r w:rsidRPr="008E1FA7">
              <w:rPr>
                <w:bCs/>
                <w:lang w:eastAsia="de-DE"/>
              </w:rPr>
              <w:t xml:space="preserve"> </w:t>
            </w:r>
            <w:r w:rsidRPr="008E1FA7">
              <w:rPr>
                <w:bCs/>
                <w:i/>
                <w:iCs/>
                <w:lang w:eastAsia="de-DE"/>
              </w:rPr>
              <w:t>salivation excessive</w:t>
            </w:r>
            <w:r w:rsidRPr="008E1FA7">
              <w:rPr>
                <w:bCs/>
                <w:lang w:eastAsia="de-DE"/>
              </w:rPr>
              <w:tab/>
            </w:r>
            <w:r w:rsidRPr="008E1FA7">
              <w:rPr>
                <w:bCs/>
                <w:lang w:eastAsia="de-DE"/>
              </w:rPr>
              <w:tab/>
            </w:r>
            <w:r w:rsidRPr="008E1FA7">
              <w:rPr>
                <w:b/>
                <w:bCs/>
                <w:lang w:eastAsia="de-DE"/>
              </w:rPr>
              <w:t>X</w:t>
            </w:r>
            <w:r w:rsidRPr="008E1FA7">
              <w:rPr>
                <w:bCs/>
                <w:lang w:eastAsia="de-DE"/>
              </w:rPr>
              <w:t xml:space="preserve"> </w:t>
            </w:r>
            <w:r w:rsidRPr="008E1FA7">
              <w:rPr>
                <w:bCs/>
                <w:i/>
                <w:lang w:eastAsia="de-DE"/>
              </w:rPr>
              <w:t>nausée/vomissements</w:t>
            </w:r>
            <w:r w:rsidRPr="008E1FA7">
              <w:rPr>
                <w:bCs/>
                <w:lang w:eastAsia="de-DE"/>
              </w:rPr>
              <w:tab/>
            </w:r>
            <w:r w:rsidR="00BF4176" w:rsidRPr="008E1FA7">
              <w:rPr>
                <w:bCs/>
                <w:lang w:eastAsia="de-DE"/>
              </w:rPr>
              <w:tab/>
            </w:r>
            <w:r w:rsidR="00BF4176" w:rsidRPr="008E1FA7">
              <w:rPr>
                <w:bCs/>
                <w:lang w:eastAsia="de-DE"/>
              </w:rPr>
              <w:tab/>
            </w:r>
            <w:r w:rsidRPr="008E1FA7">
              <w:rPr>
                <w:b/>
                <w:bCs/>
                <w:lang w:eastAsia="de-DE"/>
              </w:rPr>
              <w:t>X</w:t>
            </w:r>
            <w:r w:rsidRPr="008E1FA7">
              <w:rPr>
                <w:bCs/>
                <w:lang w:eastAsia="de-DE"/>
              </w:rPr>
              <w:t xml:space="preserve"> </w:t>
            </w:r>
            <w:r w:rsidRPr="008E1FA7">
              <w:rPr>
                <w:bCs/>
                <w:i/>
                <w:iCs/>
                <w:lang w:eastAsia="de-DE"/>
              </w:rPr>
              <w:t>mort</w:t>
            </w:r>
          </w:p>
          <w:p w14:paraId="30952D74" w14:textId="76F1DEA7" w:rsidR="00371363" w:rsidRPr="008E1FA7" w:rsidRDefault="00371363" w:rsidP="00BF4176">
            <w:pPr>
              <w:tabs>
                <w:tab w:val="left" w:pos="2715"/>
                <w:tab w:val="left" w:pos="4842"/>
                <w:tab w:val="left" w:pos="6826"/>
              </w:tabs>
              <w:autoSpaceDE w:val="0"/>
              <w:autoSpaceDN w:val="0"/>
              <w:adjustRightInd w:val="0"/>
              <w:spacing w:beforeLines="40" w:before="96" w:after="120"/>
              <w:ind w:left="318"/>
              <w:rPr>
                <w:bCs/>
                <w:lang w:eastAsia="de-DE"/>
              </w:rPr>
            </w:pPr>
            <w:r w:rsidRPr="008E1FA7">
              <w:rPr>
                <w:b/>
                <w:bCs/>
                <w:lang w:eastAsia="de-DE"/>
              </w:rPr>
              <w:t>X</w:t>
            </w:r>
            <w:r w:rsidRPr="008E1FA7">
              <w:rPr>
                <w:b/>
                <w:bCs/>
                <w:i/>
                <w:iCs/>
                <w:lang w:eastAsia="de-DE"/>
              </w:rPr>
              <w:t xml:space="preserve"> autre</w:t>
            </w:r>
            <w:r w:rsidRPr="008E1FA7">
              <w:rPr>
                <w:bCs/>
                <w:i/>
                <w:iCs/>
                <w:lang w:eastAsia="de-DE"/>
              </w:rPr>
              <w:t>, veuillez spécifier :</w:t>
            </w:r>
            <w:r w:rsidRPr="008E1FA7">
              <w:rPr>
                <w:bCs/>
                <w:lang w:eastAsia="de-DE"/>
              </w:rPr>
              <w:t xml:space="preserve"> </w:t>
            </w:r>
            <w:r w:rsidR="007D0D25" w:rsidRPr="008E1FA7">
              <w:rPr>
                <w:bCs/>
                <w:lang w:eastAsia="de-DE"/>
              </w:rPr>
              <w:t>l</w:t>
            </w:r>
            <w:r w:rsidRPr="008E1FA7">
              <w:rPr>
                <w:bCs/>
                <w:lang w:eastAsia="de-DE"/>
              </w:rPr>
              <w:t>a victime est décédée à 200 km du lieu traité (N</w:t>
            </w:r>
            <w:r w:rsidR="001503DA" w:rsidRPr="008E1FA7">
              <w:rPr>
                <w:bCs/>
                <w:lang w:eastAsia="de-DE"/>
              </w:rPr>
              <w:t>’</w:t>
            </w:r>
            <w:r w:rsidRPr="008E1FA7">
              <w:rPr>
                <w:bCs/>
                <w:lang w:eastAsia="de-DE"/>
              </w:rPr>
              <w:t>Djamena)</w:t>
            </w:r>
          </w:p>
          <w:p w14:paraId="65FD9068" w14:textId="34E06B0D" w:rsidR="00371363" w:rsidRPr="008E1FA7" w:rsidRDefault="00371363" w:rsidP="00BF4176">
            <w:pPr>
              <w:autoSpaceDE w:val="0"/>
              <w:autoSpaceDN w:val="0"/>
              <w:adjustRightInd w:val="0"/>
              <w:spacing w:before="120" w:after="80"/>
              <w:rPr>
                <w:b/>
                <w:bCs/>
                <w:lang w:eastAsia="de-DE"/>
              </w:rPr>
            </w:pPr>
            <w:r w:rsidRPr="008E1FA7">
              <w:rPr>
                <w:b/>
                <w:bCs/>
                <w:lang w:eastAsia="de-DE"/>
              </w:rPr>
              <w:t>18. Voies d</w:t>
            </w:r>
            <w:r w:rsidR="001503DA" w:rsidRPr="008E1FA7">
              <w:rPr>
                <w:b/>
                <w:bCs/>
                <w:lang w:eastAsia="de-DE"/>
              </w:rPr>
              <w:t>’</w:t>
            </w:r>
            <w:r w:rsidRPr="008E1FA7">
              <w:rPr>
                <w:b/>
                <w:bCs/>
                <w:lang w:eastAsia="de-DE"/>
              </w:rPr>
              <w:t>exposition (</w:t>
            </w:r>
            <w:r w:rsidRPr="008E1FA7">
              <w:rPr>
                <w:b/>
                <w:bCs/>
                <w:i/>
                <w:lang w:eastAsia="de-DE"/>
              </w:rPr>
              <w:t>cocher la(les) voie(s) principale(s)</w:t>
            </w:r>
            <w:r w:rsidRPr="008E1FA7">
              <w:rPr>
                <w:b/>
                <w:bCs/>
                <w:lang w:eastAsia="de-DE"/>
              </w:rPr>
              <w:t>) :</w:t>
            </w:r>
          </w:p>
          <w:p w14:paraId="4B99DABE" w14:textId="46907A7D" w:rsidR="00371363" w:rsidRPr="008E1FA7" w:rsidRDefault="00371363" w:rsidP="000F78DC">
            <w:pPr>
              <w:tabs>
                <w:tab w:val="left" w:pos="2857"/>
                <w:tab w:val="left" w:pos="4842"/>
                <w:tab w:val="left" w:pos="6826"/>
              </w:tabs>
              <w:autoSpaceDE w:val="0"/>
              <w:autoSpaceDN w:val="0"/>
              <w:adjustRightInd w:val="0"/>
              <w:spacing w:beforeLines="40" w:before="96" w:after="120"/>
              <w:ind w:left="318"/>
              <w:rPr>
                <w:bCs/>
                <w:lang w:eastAsia="de-DE"/>
              </w:rPr>
            </w:pPr>
            <w:r w:rsidRPr="008E1FA7">
              <w:rPr>
                <w:bCs/>
                <w:lang w:eastAsia="de-DE"/>
              </w:rPr>
              <w:sym w:font="Wingdings" w:char="F0A8"/>
            </w:r>
            <w:r w:rsidRPr="008E1FA7">
              <w:rPr>
                <w:bCs/>
                <w:lang w:eastAsia="de-DE"/>
              </w:rPr>
              <w:t xml:space="preserve"> </w:t>
            </w:r>
            <w:r w:rsidRPr="008E1FA7">
              <w:rPr>
                <w:bCs/>
                <w:i/>
                <w:iCs/>
                <w:lang w:eastAsia="de-DE"/>
              </w:rPr>
              <w:t>bouche</w:t>
            </w:r>
            <w:r w:rsidRPr="008E1FA7">
              <w:rPr>
                <w:bCs/>
                <w:lang w:eastAsia="de-DE"/>
              </w:rPr>
              <w:tab/>
            </w:r>
            <w:r w:rsidRPr="008E1FA7">
              <w:rPr>
                <w:bCs/>
                <w:lang w:eastAsia="de-DE"/>
              </w:rPr>
              <w:sym w:font="Wingdings" w:char="F0A8"/>
            </w:r>
            <w:r w:rsidRPr="008E1FA7">
              <w:rPr>
                <w:bCs/>
                <w:lang w:eastAsia="de-DE"/>
              </w:rPr>
              <w:t xml:space="preserve"> </w:t>
            </w:r>
            <w:r w:rsidRPr="008E1FA7">
              <w:rPr>
                <w:bCs/>
                <w:i/>
                <w:lang w:eastAsia="de-DE"/>
              </w:rPr>
              <w:t>peau</w:t>
            </w:r>
            <w:r w:rsidRPr="008E1FA7">
              <w:rPr>
                <w:bCs/>
                <w:lang w:eastAsia="de-DE"/>
              </w:rPr>
              <w:tab/>
            </w:r>
            <w:r w:rsidR="000F78DC" w:rsidRPr="008E1FA7">
              <w:rPr>
                <w:bCs/>
                <w:lang w:eastAsia="de-DE"/>
              </w:rPr>
              <w:sym w:font="Wingdings" w:char="F0A8"/>
            </w:r>
            <w:r w:rsidR="000F78DC" w:rsidRPr="008E1FA7">
              <w:rPr>
                <w:bCs/>
                <w:lang w:eastAsia="de-DE"/>
              </w:rPr>
              <w:t xml:space="preserve"> </w:t>
            </w:r>
            <w:r w:rsidR="000F78DC" w:rsidRPr="008E1FA7">
              <w:rPr>
                <w:bCs/>
                <w:i/>
                <w:iCs/>
                <w:lang w:eastAsia="de-DE"/>
              </w:rPr>
              <w:t>yeux</w:t>
            </w:r>
            <w:r w:rsidR="000F78DC" w:rsidRPr="008E1FA7">
              <w:rPr>
                <w:b/>
                <w:bCs/>
                <w:lang w:eastAsia="de-DE"/>
              </w:rPr>
              <w:tab/>
            </w:r>
            <w:r w:rsidRPr="008E1FA7">
              <w:rPr>
                <w:b/>
                <w:bCs/>
                <w:lang w:eastAsia="de-DE"/>
              </w:rPr>
              <w:t>X</w:t>
            </w:r>
            <w:r w:rsidRPr="008E1FA7">
              <w:rPr>
                <w:bCs/>
                <w:lang w:eastAsia="de-DE"/>
              </w:rPr>
              <w:t xml:space="preserve"> </w:t>
            </w:r>
            <w:r w:rsidRPr="008E1FA7">
              <w:rPr>
                <w:bCs/>
                <w:i/>
                <w:iCs/>
                <w:lang w:eastAsia="de-DE"/>
              </w:rPr>
              <w:t>inhalation</w:t>
            </w:r>
          </w:p>
          <w:p w14:paraId="6869999E" w14:textId="5B1EAB2A" w:rsidR="00371363" w:rsidRPr="008E1FA7" w:rsidRDefault="00371363" w:rsidP="000F78DC">
            <w:pPr>
              <w:tabs>
                <w:tab w:val="right" w:leader="dot" w:pos="9185"/>
              </w:tabs>
              <w:autoSpaceDE w:val="0"/>
              <w:autoSpaceDN w:val="0"/>
              <w:adjustRightInd w:val="0"/>
              <w:spacing w:beforeLines="40" w:before="96" w:after="120"/>
              <w:ind w:left="318"/>
              <w:rPr>
                <w:bCs/>
                <w:lang w:eastAsia="de-DE"/>
              </w:rPr>
            </w:pPr>
            <w:r w:rsidRPr="008E1FA7">
              <w:rPr>
                <w:bCs/>
                <w:lang w:eastAsia="de-DE"/>
              </w:rPr>
              <w:sym w:font="Wingdings" w:char="F0A8"/>
            </w:r>
            <w:r w:rsidRPr="008E1FA7">
              <w:rPr>
                <w:bCs/>
                <w:lang w:eastAsia="de-DE"/>
              </w:rPr>
              <w:t xml:space="preserve"> </w:t>
            </w:r>
            <w:r w:rsidRPr="008E1FA7">
              <w:rPr>
                <w:bCs/>
                <w:i/>
                <w:iCs/>
                <w:lang w:eastAsia="de-DE"/>
              </w:rPr>
              <w:t>autres (spécifier) :</w:t>
            </w:r>
            <w:r w:rsidRPr="008E1FA7">
              <w:rPr>
                <w:bCs/>
                <w:lang w:eastAsia="de-DE"/>
              </w:rPr>
              <w:t xml:space="preserve"> </w:t>
            </w:r>
            <w:r w:rsidR="000F78DC" w:rsidRPr="008E1FA7">
              <w:rPr>
                <w:bCs/>
                <w:lang w:eastAsia="de-DE"/>
              </w:rPr>
              <w:tab/>
            </w:r>
          </w:p>
          <w:p w14:paraId="36372022" w14:textId="429962AB" w:rsidR="00371363" w:rsidRPr="008E1FA7" w:rsidRDefault="00371363" w:rsidP="00BF4176">
            <w:pPr>
              <w:autoSpaceDE w:val="0"/>
              <w:autoSpaceDN w:val="0"/>
              <w:adjustRightInd w:val="0"/>
              <w:spacing w:before="120" w:after="80"/>
              <w:rPr>
                <w:bCs/>
                <w:lang w:eastAsia="de-DE"/>
              </w:rPr>
            </w:pPr>
            <w:r w:rsidRPr="008E1FA7">
              <w:rPr>
                <w:b/>
                <w:bCs/>
                <w:lang w:eastAsia="de-DE"/>
              </w:rPr>
              <w:t>19. Combien de temps après la dernière utilisation de la préparation ont été observés les effets néfastes ?</w:t>
            </w:r>
          </w:p>
          <w:p w14:paraId="3FC34415" w14:textId="37044FB7" w:rsidR="00371363" w:rsidRPr="008E1FA7" w:rsidRDefault="00371363" w:rsidP="000F78DC">
            <w:pPr>
              <w:tabs>
                <w:tab w:val="right" w:leader="dot" w:pos="9185"/>
              </w:tabs>
              <w:autoSpaceDE w:val="0"/>
              <w:autoSpaceDN w:val="0"/>
              <w:adjustRightInd w:val="0"/>
              <w:spacing w:beforeLines="40" w:before="96" w:after="120"/>
              <w:ind w:left="318"/>
              <w:rPr>
                <w:b/>
                <w:bCs/>
                <w:lang w:eastAsia="de-DE"/>
              </w:rPr>
            </w:pPr>
            <w:r w:rsidRPr="008E1FA7">
              <w:rPr>
                <w:bCs/>
                <w:lang w:eastAsia="de-DE"/>
              </w:rPr>
              <w:t>1 heure</w:t>
            </w:r>
            <w:r w:rsidR="000F78DC" w:rsidRPr="008E1FA7">
              <w:rPr>
                <w:bCs/>
                <w:lang w:eastAsia="de-DE"/>
              </w:rPr>
              <w:tab/>
            </w:r>
          </w:p>
        </w:tc>
      </w:tr>
      <w:tr w:rsidR="00371363" w:rsidRPr="008E1FA7" w14:paraId="589FE680" w14:textId="77777777" w:rsidTr="00EA0EE3">
        <w:trPr>
          <w:jc w:val="right"/>
        </w:trPr>
        <w:tc>
          <w:tcPr>
            <w:tcW w:w="9466" w:type="dxa"/>
            <w:tcBorders>
              <w:top w:val="double" w:sz="4" w:space="0" w:color="auto"/>
              <w:bottom w:val="single" w:sz="4" w:space="0" w:color="auto"/>
            </w:tcBorders>
            <w:shd w:val="pct5" w:color="auto" w:fill="FFFFFF"/>
          </w:tcPr>
          <w:p w14:paraId="467D868F" w14:textId="77777777" w:rsidR="00371363" w:rsidRPr="008E1FA7" w:rsidRDefault="00371363" w:rsidP="000F78DC">
            <w:pPr>
              <w:keepNext/>
              <w:keepLines/>
              <w:autoSpaceDE w:val="0"/>
              <w:autoSpaceDN w:val="0"/>
              <w:adjustRightInd w:val="0"/>
              <w:spacing w:before="200" w:after="200"/>
              <w:jc w:val="center"/>
              <w:rPr>
                <w:b/>
                <w:bCs/>
                <w:lang w:eastAsia="de-DE"/>
              </w:rPr>
            </w:pPr>
            <w:r w:rsidRPr="008E1FA7">
              <w:rPr>
                <w:b/>
                <w:bCs/>
                <w:lang w:eastAsia="de-DE"/>
              </w:rPr>
              <w:t>IV.  Traitement :</w:t>
            </w:r>
          </w:p>
        </w:tc>
      </w:tr>
      <w:tr w:rsidR="00371363" w:rsidRPr="008E1FA7" w14:paraId="09C1882D" w14:textId="77777777" w:rsidTr="00EA0EE3">
        <w:trPr>
          <w:jc w:val="right"/>
        </w:trPr>
        <w:tc>
          <w:tcPr>
            <w:tcW w:w="9466" w:type="dxa"/>
            <w:tcBorders>
              <w:top w:val="single" w:sz="4" w:space="0" w:color="auto"/>
            </w:tcBorders>
          </w:tcPr>
          <w:p w14:paraId="095AB271" w14:textId="77777777" w:rsidR="00371363" w:rsidRPr="008E1FA7" w:rsidRDefault="00371363" w:rsidP="000F78DC">
            <w:pPr>
              <w:keepNext/>
              <w:autoSpaceDE w:val="0"/>
              <w:autoSpaceDN w:val="0"/>
              <w:adjustRightInd w:val="0"/>
              <w:spacing w:before="120" w:after="80"/>
              <w:rPr>
                <w:b/>
                <w:bCs/>
                <w:lang w:eastAsia="de-DE"/>
              </w:rPr>
            </w:pPr>
            <w:r w:rsidRPr="008E1FA7">
              <w:rPr>
                <w:b/>
                <w:bCs/>
                <w:lang w:eastAsia="de-DE"/>
              </w:rPr>
              <w:t>20. Traitement administré :</w:t>
            </w:r>
            <w:r w:rsidRPr="008E1FA7">
              <w:rPr>
                <w:b/>
                <w:bCs/>
                <w:lang w:eastAsia="de-DE"/>
              </w:rPr>
              <w:tab/>
            </w:r>
            <w:r w:rsidRPr="008E1FA7">
              <w:rPr>
                <w:b/>
                <w:bCs/>
                <w:lang w:eastAsia="de-DE"/>
              </w:rPr>
              <w:tab/>
            </w:r>
            <w:r w:rsidRPr="008E1FA7">
              <w:rPr>
                <w:bCs/>
                <w:lang w:eastAsia="de-DE"/>
              </w:rPr>
              <w:sym w:font="Wingdings" w:char="F0A8"/>
            </w:r>
            <w:r w:rsidRPr="008E1FA7">
              <w:rPr>
                <w:bCs/>
                <w:lang w:eastAsia="de-DE"/>
              </w:rPr>
              <w:t xml:space="preserve"> Non</w:t>
            </w:r>
            <w:r w:rsidRPr="008E1FA7">
              <w:rPr>
                <w:bCs/>
                <w:lang w:eastAsia="de-DE"/>
              </w:rPr>
              <w:tab/>
            </w:r>
            <w:r w:rsidRPr="008E1FA7">
              <w:rPr>
                <w:bCs/>
                <w:lang w:eastAsia="de-DE"/>
              </w:rPr>
              <w:tab/>
            </w:r>
            <w:r w:rsidRPr="008E1FA7">
              <w:rPr>
                <w:b/>
                <w:bCs/>
                <w:lang w:eastAsia="de-DE"/>
              </w:rPr>
              <w:t>X</w:t>
            </w:r>
            <w:r w:rsidRPr="008E1FA7">
              <w:rPr>
                <w:bCs/>
                <w:lang w:eastAsia="de-DE"/>
              </w:rPr>
              <w:t xml:space="preserve"> Oui</w:t>
            </w:r>
            <w:r w:rsidRPr="008E1FA7">
              <w:rPr>
                <w:bCs/>
                <w:lang w:eastAsia="de-DE"/>
              </w:rPr>
              <w:tab/>
            </w:r>
            <w:r w:rsidRPr="008E1FA7">
              <w:rPr>
                <w:bCs/>
                <w:lang w:eastAsia="de-DE"/>
              </w:rPr>
              <w:tab/>
            </w:r>
            <w:r w:rsidRPr="008E1FA7">
              <w:rPr>
                <w:bCs/>
                <w:lang w:eastAsia="de-DE"/>
              </w:rPr>
              <w:sym w:font="Wingdings" w:char="F0A8"/>
            </w:r>
            <w:r w:rsidRPr="008E1FA7">
              <w:rPr>
                <w:bCs/>
                <w:lang w:eastAsia="de-DE"/>
              </w:rPr>
              <w:t xml:space="preserve"> Ne sait pas</w:t>
            </w:r>
            <w:r w:rsidRPr="008E1FA7">
              <w:rPr>
                <w:b/>
                <w:bCs/>
                <w:lang w:eastAsia="de-DE"/>
              </w:rPr>
              <w:t xml:space="preserve"> </w:t>
            </w:r>
          </w:p>
          <w:p w14:paraId="777C48C7" w14:textId="23635418" w:rsidR="00371363" w:rsidRPr="008E1FA7" w:rsidRDefault="000F78DC" w:rsidP="000F78DC">
            <w:pPr>
              <w:tabs>
                <w:tab w:val="left" w:pos="306"/>
              </w:tabs>
              <w:autoSpaceDE w:val="0"/>
              <w:autoSpaceDN w:val="0"/>
              <w:adjustRightInd w:val="0"/>
              <w:spacing w:beforeLines="40" w:before="96" w:after="120"/>
              <w:rPr>
                <w:bCs/>
                <w:lang w:eastAsia="de-DE"/>
              </w:rPr>
            </w:pPr>
            <w:r w:rsidRPr="008E1FA7">
              <w:rPr>
                <w:b/>
                <w:bCs/>
                <w:lang w:eastAsia="de-DE"/>
              </w:rPr>
              <w:tab/>
            </w:r>
            <w:r w:rsidR="00371363" w:rsidRPr="008E1FA7">
              <w:rPr>
                <w:b/>
                <w:bCs/>
                <w:lang w:eastAsia="de-DE"/>
              </w:rPr>
              <w:t>Hospitalisation :</w:t>
            </w:r>
            <w:r w:rsidR="00371363" w:rsidRPr="008E1FA7">
              <w:rPr>
                <w:b/>
                <w:bCs/>
                <w:lang w:eastAsia="de-DE"/>
              </w:rPr>
              <w:tab/>
            </w:r>
            <w:r w:rsidR="00371363" w:rsidRPr="008E1FA7">
              <w:rPr>
                <w:b/>
                <w:bCs/>
                <w:lang w:eastAsia="de-DE"/>
              </w:rPr>
              <w:tab/>
            </w:r>
            <w:r w:rsidR="00371363" w:rsidRPr="008E1FA7">
              <w:rPr>
                <w:b/>
                <w:bCs/>
                <w:lang w:eastAsia="de-DE"/>
              </w:rPr>
              <w:tab/>
            </w:r>
            <w:r w:rsidR="00371363" w:rsidRPr="008E1FA7">
              <w:rPr>
                <w:bCs/>
                <w:lang w:eastAsia="de-DE"/>
              </w:rPr>
              <w:sym w:font="Wingdings" w:char="F0A8"/>
            </w:r>
            <w:r w:rsidR="00371363" w:rsidRPr="008E1FA7">
              <w:rPr>
                <w:bCs/>
                <w:lang w:eastAsia="de-DE"/>
              </w:rPr>
              <w:t xml:space="preserve"> Non</w:t>
            </w:r>
            <w:r w:rsidR="00371363" w:rsidRPr="008E1FA7">
              <w:rPr>
                <w:bCs/>
                <w:lang w:eastAsia="de-DE"/>
              </w:rPr>
              <w:tab/>
            </w:r>
            <w:r w:rsidR="00371363" w:rsidRPr="008E1FA7">
              <w:rPr>
                <w:bCs/>
                <w:lang w:eastAsia="de-DE"/>
              </w:rPr>
              <w:tab/>
            </w:r>
            <w:r w:rsidR="00371363" w:rsidRPr="008E1FA7">
              <w:rPr>
                <w:b/>
                <w:bCs/>
                <w:lang w:eastAsia="de-DE"/>
              </w:rPr>
              <w:t>X</w:t>
            </w:r>
            <w:r w:rsidR="00371363" w:rsidRPr="008E1FA7">
              <w:rPr>
                <w:bCs/>
                <w:lang w:eastAsia="de-DE"/>
              </w:rPr>
              <w:t xml:space="preserve"> Oui</w:t>
            </w:r>
            <w:r w:rsidR="00371363" w:rsidRPr="008E1FA7">
              <w:rPr>
                <w:bCs/>
                <w:lang w:eastAsia="de-DE"/>
              </w:rPr>
              <w:tab/>
            </w:r>
            <w:r w:rsidR="00371363" w:rsidRPr="008E1FA7">
              <w:rPr>
                <w:bCs/>
                <w:lang w:eastAsia="de-DE"/>
              </w:rPr>
              <w:tab/>
            </w:r>
            <w:r w:rsidR="00371363" w:rsidRPr="008E1FA7">
              <w:rPr>
                <w:bCs/>
                <w:lang w:eastAsia="de-DE"/>
              </w:rPr>
              <w:sym w:font="Wingdings" w:char="F0A8"/>
            </w:r>
            <w:r w:rsidR="00371363" w:rsidRPr="008E1FA7">
              <w:rPr>
                <w:bCs/>
                <w:lang w:eastAsia="de-DE"/>
              </w:rPr>
              <w:t xml:space="preserve"> Ne sait pas </w:t>
            </w:r>
          </w:p>
          <w:p w14:paraId="7600EF2E" w14:textId="30254EE8" w:rsidR="00371363" w:rsidRPr="008E1FA7" w:rsidRDefault="00371363" w:rsidP="000F78DC">
            <w:pPr>
              <w:keepNext/>
              <w:autoSpaceDE w:val="0"/>
              <w:autoSpaceDN w:val="0"/>
              <w:adjustRightInd w:val="0"/>
              <w:spacing w:before="120" w:after="80"/>
              <w:rPr>
                <w:b/>
                <w:bCs/>
                <w:lang w:eastAsia="de-DE"/>
              </w:rPr>
            </w:pPr>
            <w:r w:rsidRPr="008E1FA7">
              <w:rPr>
                <w:b/>
                <w:bCs/>
                <w:lang w:eastAsia="de-DE"/>
              </w:rPr>
              <w:t>21. Ajouter toute information nécessaire concernant le traitement administré, y compris l</w:t>
            </w:r>
            <w:r w:rsidR="001503DA" w:rsidRPr="008E1FA7">
              <w:rPr>
                <w:b/>
                <w:bCs/>
                <w:lang w:eastAsia="de-DE"/>
              </w:rPr>
              <w:t>’</w:t>
            </w:r>
            <w:r w:rsidRPr="008E1FA7">
              <w:rPr>
                <w:b/>
                <w:bCs/>
                <w:lang w:eastAsia="de-DE"/>
              </w:rPr>
              <w:t>intervention médicale/le traitement/ les premiers secours ou l</w:t>
            </w:r>
            <w:r w:rsidR="001503DA" w:rsidRPr="008E1FA7">
              <w:rPr>
                <w:b/>
                <w:bCs/>
                <w:lang w:eastAsia="de-DE"/>
              </w:rPr>
              <w:t>’</w:t>
            </w:r>
            <w:r w:rsidRPr="008E1FA7">
              <w:rPr>
                <w:b/>
                <w:bCs/>
                <w:lang w:eastAsia="de-DE"/>
              </w:rPr>
              <w:t>hospitalisation ou les pratiques locales, etc. (</w:t>
            </w:r>
            <w:r w:rsidRPr="008E1FA7">
              <w:rPr>
                <w:b/>
                <w:bCs/>
                <w:i/>
                <w:lang w:eastAsia="de-DE"/>
              </w:rPr>
              <w:t>une page supplémentaire peut être jointe</w:t>
            </w:r>
            <w:r w:rsidRPr="008E1FA7">
              <w:rPr>
                <w:b/>
                <w:bCs/>
                <w:lang w:eastAsia="de-DE"/>
              </w:rPr>
              <w:t>)</w:t>
            </w:r>
          </w:p>
          <w:p w14:paraId="1CE49F57" w14:textId="68515496" w:rsidR="00371363" w:rsidRPr="008E1FA7" w:rsidRDefault="000F78DC" w:rsidP="000F78DC">
            <w:pPr>
              <w:tabs>
                <w:tab w:val="right" w:leader="dot" w:pos="9185"/>
              </w:tabs>
              <w:autoSpaceDE w:val="0"/>
              <w:autoSpaceDN w:val="0"/>
              <w:adjustRightInd w:val="0"/>
              <w:spacing w:beforeLines="40" w:before="96" w:after="120"/>
              <w:rPr>
                <w:lang w:eastAsia="de-DE"/>
              </w:rPr>
            </w:pPr>
            <w:r w:rsidRPr="008E1FA7">
              <w:rPr>
                <w:lang w:eastAsia="de-DE"/>
              </w:rPr>
              <w:tab/>
            </w:r>
          </w:p>
        </w:tc>
      </w:tr>
      <w:tr w:rsidR="00371363" w:rsidRPr="008E1FA7" w14:paraId="58B14A8D" w14:textId="77777777" w:rsidTr="00EA0EE3">
        <w:trPr>
          <w:jc w:val="right"/>
        </w:trPr>
        <w:tc>
          <w:tcPr>
            <w:tcW w:w="9466" w:type="dxa"/>
            <w:shd w:val="pct5" w:color="auto" w:fill="FFFFFF"/>
          </w:tcPr>
          <w:p w14:paraId="6091E955" w14:textId="77777777" w:rsidR="00371363" w:rsidRPr="008E1FA7" w:rsidRDefault="00371363" w:rsidP="000F78DC">
            <w:pPr>
              <w:keepNext/>
              <w:keepLines/>
              <w:autoSpaceDE w:val="0"/>
              <w:autoSpaceDN w:val="0"/>
              <w:adjustRightInd w:val="0"/>
              <w:spacing w:before="200" w:after="200"/>
              <w:jc w:val="center"/>
              <w:rPr>
                <w:b/>
                <w:bCs/>
                <w:lang w:eastAsia="de-DE"/>
              </w:rPr>
            </w:pPr>
            <w:r w:rsidRPr="008E1FA7">
              <w:rPr>
                <w:b/>
                <w:bCs/>
                <w:lang w:eastAsia="de-DE"/>
              </w:rPr>
              <w:t>V.  Rapport/communication :</w:t>
            </w:r>
          </w:p>
        </w:tc>
      </w:tr>
      <w:tr w:rsidR="00371363" w:rsidRPr="008E1FA7" w14:paraId="5C2F9881" w14:textId="77777777" w:rsidTr="00EA0EE3">
        <w:trPr>
          <w:jc w:val="right"/>
        </w:trPr>
        <w:tc>
          <w:tcPr>
            <w:tcW w:w="9466" w:type="dxa"/>
          </w:tcPr>
          <w:p w14:paraId="2485F9E9" w14:textId="74DAE752" w:rsidR="00371363" w:rsidRPr="008E1FA7" w:rsidRDefault="00371363" w:rsidP="000F78DC">
            <w:pPr>
              <w:keepNext/>
              <w:tabs>
                <w:tab w:val="right" w:leader="dot" w:pos="9185"/>
              </w:tabs>
              <w:autoSpaceDE w:val="0"/>
              <w:autoSpaceDN w:val="0"/>
              <w:adjustRightInd w:val="0"/>
              <w:spacing w:before="120" w:after="80"/>
              <w:rPr>
                <w:b/>
                <w:bCs/>
                <w:lang w:eastAsia="de-DE"/>
              </w:rPr>
            </w:pPr>
            <w:r w:rsidRPr="008E1FA7">
              <w:rPr>
                <w:b/>
                <w:bCs/>
                <w:lang w:eastAsia="de-DE"/>
              </w:rPr>
              <w:t xml:space="preserve">22. Date de la collection des données/de la consultation : </w:t>
            </w:r>
            <w:r w:rsidRPr="008E1FA7">
              <w:rPr>
                <w:bCs/>
                <w:lang w:eastAsia="de-DE"/>
              </w:rPr>
              <w:t>27 novembre 2011</w:t>
            </w:r>
            <w:r w:rsidR="000F78DC" w:rsidRPr="008E1FA7">
              <w:rPr>
                <w:bCs/>
                <w:lang w:eastAsia="de-DE"/>
              </w:rPr>
              <w:tab/>
            </w:r>
          </w:p>
          <w:p w14:paraId="42D12EB2" w14:textId="254CF138" w:rsidR="00371363" w:rsidRPr="008E1FA7" w:rsidRDefault="00371363" w:rsidP="00F02AD9">
            <w:pPr>
              <w:keepNext/>
              <w:tabs>
                <w:tab w:val="right" w:leader="dot" w:pos="9185"/>
              </w:tabs>
              <w:autoSpaceDE w:val="0"/>
              <w:autoSpaceDN w:val="0"/>
              <w:adjustRightInd w:val="0"/>
              <w:spacing w:before="120" w:after="80"/>
              <w:rPr>
                <w:b/>
                <w:bCs/>
                <w:lang w:eastAsia="de-DE"/>
              </w:rPr>
            </w:pPr>
            <w:r w:rsidRPr="008E1FA7">
              <w:rPr>
                <w:b/>
                <w:bCs/>
                <w:lang w:eastAsia="de-DE"/>
              </w:rPr>
              <w:t>23. Nom et adresse de l</w:t>
            </w:r>
            <w:r w:rsidR="001503DA" w:rsidRPr="008E1FA7">
              <w:rPr>
                <w:b/>
                <w:bCs/>
                <w:lang w:eastAsia="de-DE"/>
              </w:rPr>
              <w:t>’</w:t>
            </w:r>
            <w:r w:rsidRPr="008E1FA7">
              <w:rPr>
                <w:b/>
                <w:bCs/>
                <w:lang w:eastAsia="de-DE"/>
              </w:rPr>
              <w:t xml:space="preserve">enquêteur : </w:t>
            </w:r>
            <w:r w:rsidRPr="008E1FA7">
              <w:rPr>
                <w:bCs/>
                <w:lang w:eastAsia="de-DE"/>
              </w:rPr>
              <w:t xml:space="preserve">DJEKADOM RIABE </w:t>
            </w:r>
            <w:r w:rsidR="00F02AD9" w:rsidRPr="008E1FA7">
              <w:rPr>
                <w:bCs/>
                <w:lang w:eastAsia="de-DE"/>
              </w:rPr>
              <w:t>SAMUEL</w:t>
            </w:r>
            <w:r w:rsidRPr="008E1FA7">
              <w:rPr>
                <w:bCs/>
                <w:lang w:eastAsia="de-DE"/>
              </w:rPr>
              <w:t xml:space="preserve">, </w:t>
            </w:r>
            <w:r w:rsidR="00F02AD9" w:rsidRPr="008E1FA7">
              <w:rPr>
                <w:bCs/>
                <w:lang w:eastAsia="de-DE"/>
              </w:rPr>
              <w:br/>
            </w:r>
            <w:r w:rsidRPr="008E1FA7">
              <w:rPr>
                <w:bCs/>
                <w:lang w:eastAsia="de-DE"/>
              </w:rPr>
              <w:t xml:space="preserve">Chef du Département de la </w:t>
            </w:r>
            <w:r w:rsidR="00F02AD9" w:rsidRPr="008E1FA7">
              <w:rPr>
                <w:bCs/>
                <w:lang w:eastAsia="de-DE"/>
              </w:rPr>
              <w:t>s</w:t>
            </w:r>
            <w:r w:rsidRPr="008E1FA7">
              <w:rPr>
                <w:bCs/>
                <w:lang w:eastAsia="de-DE"/>
              </w:rPr>
              <w:t>urveillance, de l</w:t>
            </w:r>
            <w:r w:rsidR="001503DA" w:rsidRPr="008E1FA7">
              <w:rPr>
                <w:bCs/>
                <w:lang w:eastAsia="de-DE"/>
              </w:rPr>
              <w:t>’</w:t>
            </w:r>
            <w:r w:rsidRPr="008E1FA7">
              <w:rPr>
                <w:bCs/>
                <w:lang w:eastAsia="de-DE"/>
              </w:rPr>
              <w:t>intervention et de la logistique, DPVC, N</w:t>
            </w:r>
            <w:r w:rsidR="001503DA" w:rsidRPr="008E1FA7">
              <w:rPr>
                <w:bCs/>
                <w:lang w:eastAsia="de-DE"/>
              </w:rPr>
              <w:t>’</w:t>
            </w:r>
            <w:r w:rsidRPr="008E1FA7">
              <w:rPr>
                <w:bCs/>
                <w:lang w:eastAsia="de-DE"/>
              </w:rPr>
              <w:t>Djamena (Tchad)</w:t>
            </w:r>
            <w:r w:rsidR="00F02AD9" w:rsidRPr="008E1FA7">
              <w:rPr>
                <w:bCs/>
                <w:lang w:eastAsia="de-DE"/>
              </w:rPr>
              <w:br/>
            </w:r>
            <w:r w:rsidR="00F02AD9" w:rsidRPr="008E1FA7">
              <w:rPr>
                <w:bCs/>
                <w:lang w:eastAsia="de-DE"/>
              </w:rPr>
              <w:tab/>
            </w:r>
          </w:p>
          <w:p w14:paraId="6DF92E57" w14:textId="7DD74CF1" w:rsidR="00371363" w:rsidRPr="008E1FA7" w:rsidRDefault="00371363" w:rsidP="00F02AD9">
            <w:pPr>
              <w:keepNext/>
              <w:tabs>
                <w:tab w:val="right" w:leader="dot" w:pos="9185"/>
              </w:tabs>
              <w:autoSpaceDE w:val="0"/>
              <w:autoSpaceDN w:val="0"/>
              <w:adjustRightInd w:val="0"/>
              <w:spacing w:before="120" w:after="80"/>
              <w:rPr>
                <w:b/>
                <w:bCs/>
                <w:lang w:eastAsia="de-DE"/>
              </w:rPr>
            </w:pPr>
            <w:r w:rsidRPr="008E1FA7">
              <w:rPr>
                <w:b/>
                <w:bCs/>
                <w:lang w:eastAsia="de-DE"/>
              </w:rPr>
              <w:t>24. Catégorie de l</w:t>
            </w:r>
            <w:r w:rsidR="001503DA" w:rsidRPr="008E1FA7">
              <w:rPr>
                <w:b/>
                <w:bCs/>
                <w:lang w:eastAsia="de-DE"/>
              </w:rPr>
              <w:t>’</w:t>
            </w:r>
            <w:r w:rsidRPr="008E1FA7">
              <w:rPr>
                <w:b/>
                <w:bCs/>
                <w:lang w:eastAsia="de-DE"/>
              </w:rPr>
              <w:t>enquêteur :</w:t>
            </w:r>
          </w:p>
          <w:p w14:paraId="0B73AAFB" w14:textId="77777777" w:rsidR="00371363" w:rsidRPr="008E1FA7" w:rsidRDefault="00371363" w:rsidP="00371363">
            <w:pPr>
              <w:autoSpaceDE w:val="0"/>
              <w:autoSpaceDN w:val="0"/>
              <w:adjustRightInd w:val="0"/>
              <w:spacing w:beforeLines="40" w:before="96" w:after="120"/>
              <w:ind w:left="318"/>
              <w:rPr>
                <w:bCs/>
                <w:lang w:eastAsia="de-DE"/>
              </w:rPr>
            </w:pPr>
            <w:r w:rsidRPr="008E1FA7">
              <w:rPr>
                <w:bCs/>
                <w:lang w:eastAsia="de-DE"/>
              </w:rPr>
              <w:sym w:font="Wingdings" w:char="F0A8"/>
            </w:r>
            <w:r w:rsidRPr="008E1FA7">
              <w:rPr>
                <w:bCs/>
                <w:lang w:eastAsia="de-DE"/>
              </w:rPr>
              <w:t xml:space="preserve"> </w:t>
            </w:r>
            <w:r w:rsidRPr="008E1FA7">
              <w:rPr>
                <w:bCs/>
                <w:i/>
                <w:iCs/>
                <w:lang w:eastAsia="de-DE"/>
              </w:rPr>
              <w:t>médical</w:t>
            </w:r>
            <w:r w:rsidRPr="008E1FA7">
              <w:rPr>
                <w:bCs/>
                <w:lang w:eastAsia="de-DE"/>
              </w:rPr>
              <w:tab/>
            </w:r>
            <w:r w:rsidRPr="008E1FA7">
              <w:rPr>
                <w:bCs/>
                <w:lang w:eastAsia="de-DE"/>
              </w:rPr>
              <w:tab/>
            </w:r>
            <w:r w:rsidRPr="008E1FA7">
              <w:rPr>
                <w:bCs/>
                <w:lang w:eastAsia="de-DE"/>
              </w:rPr>
              <w:sym w:font="Wingdings" w:char="F0A8"/>
            </w:r>
            <w:r w:rsidRPr="008E1FA7">
              <w:rPr>
                <w:bCs/>
                <w:lang w:eastAsia="de-DE"/>
              </w:rPr>
              <w:t xml:space="preserve"> </w:t>
            </w:r>
            <w:r w:rsidRPr="008E1FA7">
              <w:rPr>
                <w:bCs/>
                <w:i/>
                <w:iCs/>
                <w:lang w:eastAsia="de-DE"/>
              </w:rPr>
              <w:t>paramédical</w:t>
            </w:r>
            <w:r w:rsidRPr="008E1FA7">
              <w:rPr>
                <w:bCs/>
                <w:lang w:eastAsia="de-DE"/>
              </w:rPr>
              <w:tab/>
            </w:r>
            <w:r w:rsidRPr="008E1FA7">
              <w:rPr>
                <w:bCs/>
                <w:lang w:eastAsia="de-DE"/>
              </w:rPr>
              <w:tab/>
              <w:t xml:space="preserve">X </w:t>
            </w:r>
            <w:r w:rsidRPr="008E1FA7">
              <w:rPr>
                <w:bCs/>
                <w:i/>
                <w:iCs/>
                <w:lang w:eastAsia="de-DE"/>
              </w:rPr>
              <w:t>non médical</w:t>
            </w:r>
          </w:p>
          <w:p w14:paraId="6F731DE5" w14:textId="6BCA55DE" w:rsidR="00371363" w:rsidRPr="008E1FA7" w:rsidRDefault="00371363" w:rsidP="00F02AD9">
            <w:pPr>
              <w:tabs>
                <w:tab w:val="right" w:leader="dot" w:pos="9185"/>
              </w:tabs>
              <w:autoSpaceDE w:val="0"/>
              <w:autoSpaceDN w:val="0"/>
              <w:adjustRightInd w:val="0"/>
              <w:spacing w:beforeLines="40" w:before="96" w:after="120"/>
              <w:ind w:left="318"/>
              <w:rPr>
                <w:b/>
                <w:bCs/>
                <w:lang w:eastAsia="de-DE"/>
              </w:rPr>
            </w:pPr>
            <w:r w:rsidRPr="008E1FA7">
              <w:rPr>
                <w:bCs/>
                <w:lang w:eastAsia="de-DE"/>
              </w:rPr>
              <w:t>Si « non médical », veuillez préciser la catégorie (</w:t>
            </w:r>
            <w:r w:rsidRPr="008E1FA7">
              <w:rPr>
                <w:bCs/>
                <w:i/>
                <w:lang w:eastAsia="de-DE"/>
              </w:rPr>
              <w:t>applicateur, formulateur, vendeur, vulgarisateur, superviseur, etc.</w:t>
            </w:r>
            <w:r w:rsidRPr="008E1FA7">
              <w:rPr>
                <w:bCs/>
                <w:lang w:eastAsia="de-DE"/>
              </w:rPr>
              <w:t>) :</w:t>
            </w:r>
            <w:r w:rsidR="00F02AD9" w:rsidRPr="008E1FA7">
              <w:rPr>
                <w:bCs/>
                <w:lang w:eastAsia="de-DE"/>
              </w:rPr>
              <w:t xml:space="preserve"> </w:t>
            </w:r>
            <w:r w:rsidRPr="008E1FA7">
              <w:rPr>
                <w:bCs/>
                <w:lang w:eastAsia="de-DE"/>
              </w:rPr>
              <w:t>superviseur</w:t>
            </w:r>
            <w:r w:rsidR="00F02AD9" w:rsidRPr="008E1FA7">
              <w:rPr>
                <w:bCs/>
                <w:lang w:eastAsia="de-DE"/>
              </w:rPr>
              <w:tab/>
            </w:r>
          </w:p>
          <w:p w14:paraId="2E4EDBAB" w14:textId="77777777" w:rsidR="00371363" w:rsidRPr="008E1FA7" w:rsidRDefault="00371363" w:rsidP="00F02AD9">
            <w:pPr>
              <w:keepNext/>
              <w:tabs>
                <w:tab w:val="right" w:leader="dot" w:pos="9185"/>
              </w:tabs>
              <w:autoSpaceDE w:val="0"/>
              <w:autoSpaceDN w:val="0"/>
              <w:adjustRightInd w:val="0"/>
              <w:spacing w:before="120" w:after="80"/>
              <w:rPr>
                <w:b/>
                <w:bCs/>
                <w:lang w:eastAsia="de-DE"/>
              </w:rPr>
            </w:pPr>
            <w:r w:rsidRPr="008E1FA7">
              <w:rPr>
                <w:b/>
                <w:bCs/>
                <w:lang w:eastAsia="de-DE"/>
              </w:rPr>
              <w:t>25. Coordonnées au cas où de plus amples informations seraient nécessaires :</w:t>
            </w:r>
          </w:p>
          <w:p w14:paraId="224E042B" w14:textId="250FB349" w:rsidR="00371363" w:rsidRPr="008E1FA7" w:rsidRDefault="00371363" w:rsidP="00F02AD9">
            <w:pPr>
              <w:tabs>
                <w:tab w:val="right" w:leader="dot" w:pos="9185"/>
              </w:tabs>
              <w:autoSpaceDE w:val="0"/>
              <w:autoSpaceDN w:val="0"/>
              <w:adjustRightInd w:val="0"/>
              <w:spacing w:beforeLines="40" w:before="96" w:after="120"/>
              <w:ind w:left="318"/>
              <w:rPr>
                <w:bCs/>
                <w:lang w:eastAsia="de-DE"/>
              </w:rPr>
            </w:pPr>
            <w:r w:rsidRPr="008E1FA7">
              <w:rPr>
                <w:bCs/>
                <w:lang w:eastAsia="de-DE"/>
              </w:rPr>
              <w:t xml:space="preserve">Tél. : </w:t>
            </w:r>
            <w:r w:rsidR="00F02AD9" w:rsidRPr="008E1FA7">
              <w:rPr>
                <w:bCs/>
                <w:lang w:eastAsia="de-DE"/>
              </w:rPr>
              <w:tab/>
            </w:r>
          </w:p>
          <w:p w14:paraId="26029F51" w14:textId="199D56FE" w:rsidR="00371363" w:rsidRPr="008E1FA7" w:rsidRDefault="00371363" w:rsidP="00F02AD9">
            <w:pPr>
              <w:tabs>
                <w:tab w:val="right" w:leader="dot" w:pos="9185"/>
              </w:tabs>
              <w:autoSpaceDE w:val="0"/>
              <w:autoSpaceDN w:val="0"/>
              <w:adjustRightInd w:val="0"/>
              <w:spacing w:beforeLines="40" w:before="96" w:after="120"/>
              <w:ind w:left="318"/>
              <w:rPr>
                <w:bCs/>
                <w:lang w:eastAsia="de-DE"/>
              </w:rPr>
            </w:pPr>
            <w:r w:rsidRPr="008E1FA7">
              <w:rPr>
                <w:bCs/>
                <w:lang w:eastAsia="de-DE"/>
              </w:rPr>
              <w:t>Fax :</w:t>
            </w:r>
            <w:r w:rsidR="00F02AD9" w:rsidRPr="008E1FA7">
              <w:rPr>
                <w:bCs/>
                <w:lang w:eastAsia="de-DE"/>
              </w:rPr>
              <w:t xml:space="preserve"> </w:t>
            </w:r>
            <w:r w:rsidR="00F02AD9" w:rsidRPr="008E1FA7">
              <w:rPr>
                <w:bCs/>
                <w:lang w:eastAsia="de-DE"/>
              </w:rPr>
              <w:tab/>
            </w:r>
          </w:p>
          <w:p w14:paraId="4DA6BB05" w14:textId="7678BE90" w:rsidR="00371363" w:rsidRPr="008E1FA7" w:rsidRDefault="00371363" w:rsidP="00F02AD9">
            <w:pPr>
              <w:tabs>
                <w:tab w:val="right" w:leader="dot" w:pos="9185"/>
              </w:tabs>
              <w:autoSpaceDE w:val="0"/>
              <w:autoSpaceDN w:val="0"/>
              <w:adjustRightInd w:val="0"/>
              <w:spacing w:beforeLines="40" w:before="96" w:after="120"/>
              <w:ind w:left="318"/>
              <w:rPr>
                <w:bCs/>
                <w:lang w:eastAsia="de-DE"/>
              </w:rPr>
            </w:pPr>
            <w:r w:rsidRPr="008E1FA7">
              <w:rPr>
                <w:bCs/>
                <w:lang w:eastAsia="de-DE"/>
              </w:rPr>
              <w:t xml:space="preserve">Mél : </w:t>
            </w:r>
            <w:r w:rsidR="00F02AD9" w:rsidRPr="008E1FA7">
              <w:rPr>
                <w:bCs/>
                <w:lang w:eastAsia="de-DE"/>
              </w:rPr>
              <w:tab/>
            </w:r>
          </w:p>
          <w:p w14:paraId="10618B6E" w14:textId="3D0B408D" w:rsidR="00371363" w:rsidRPr="008E1FA7" w:rsidRDefault="00371363" w:rsidP="00F02AD9">
            <w:pPr>
              <w:keepNext/>
              <w:autoSpaceDE w:val="0"/>
              <w:autoSpaceDN w:val="0"/>
              <w:adjustRightInd w:val="0"/>
              <w:spacing w:before="120" w:after="80"/>
              <w:rPr>
                <w:b/>
                <w:bCs/>
                <w:lang w:eastAsia="de-DE"/>
              </w:rPr>
            </w:pPr>
            <w:r w:rsidRPr="008E1FA7">
              <w:rPr>
                <w:b/>
                <w:bCs/>
                <w:lang w:eastAsia="de-DE"/>
              </w:rPr>
              <w:t>26. L</w:t>
            </w:r>
            <w:r w:rsidR="001503DA" w:rsidRPr="008E1FA7">
              <w:rPr>
                <w:b/>
                <w:bCs/>
                <w:lang w:eastAsia="de-DE"/>
              </w:rPr>
              <w:t>’</w:t>
            </w:r>
            <w:r w:rsidRPr="008E1FA7">
              <w:rPr>
                <w:b/>
                <w:bCs/>
                <w:lang w:eastAsia="de-DE"/>
              </w:rPr>
              <w:t>incident a</w:t>
            </w:r>
            <w:r w:rsidRPr="008E1FA7">
              <w:rPr>
                <w:b/>
                <w:bCs/>
                <w:lang w:eastAsia="de-DE"/>
              </w:rPr>
              <w:noBreakHyphen/>
              <w:t>t</w:t>
            </w:r>
            <w:r w:rsidRPr="008E1FA7">
              <w:rPr>
                <w:b/>
                <w:bCs/>
                <w:lang w:eastAsia="de-DE"/>
              </w:rPr>
              <w:noBreakHyphen/>
              <w:t>il été rapporté par ailleurs ?</w:t>
            </w:r>
            <w:r w:rsidRPr="008E1FA7">
              <w:rPr>
                <w:lang w:eastAsia="de-DE"/>
              </w:rPr>
              <w:tab/>
            </w:r>
            <w:r w:rsidRPr="008E1FA7">
              <w:rPr>
                <w:lang w:eastAsia="de-DE"/>
              </w:rPr>
              <w:tab/>
            </w:r>
            <w:r w:rsidRPr="008E1FA7">
              <w:rPr>
                <w:b/>
                <w:bCs/>
                <w:lang w:eastAsia="de-DE"/>
              </w:rPr>
              <w:t>X</w:t>
            </w:r>
            <w:r w:rsidRPr="008E1FA7">
              <w:rPr>
                <w:lang w:eastAsia="de-DE"/>
              </w:rPr>
              <w:t xml:space="preserve"> Non</w:t>
            </w:r>
            <w:r w:rsidRPr="008E1FA7">
              <w:rPr>
                <w:lang w:eastAsia="de-DE"/>
              </w:rPr>
              <w:tab/>
            </w:r>
            <w:r w:rsidRPr="008E1FA7">
              <w:rPr>
                <w:lang w:eastAsia="de-DE"/>
              </w:rPr>
              <w:tab/>
            </w:r>
            <w:r w:rsidRPr="008E1FA7">
              <w:rPr>
                <w:lang w:eastAsia="de-DE"/>
              </w:rPr>
              <w:sym w:font="Wingdings" w:char="F0A8"/>
            </w:r>
            <w:r w:rsidRPr="008E1FA7">
              <w:rPr>
                <w:lang w:eastAsia="de-DE"/>
              </w:rPr>
              <w:t xml:space="preserve"> Oui</w:t>
            </w:r>
          </w:p>
          <w:p w14:paraId="092EC1EC" w14:textId="4012E132" w:rsidR="00371363" w:rsidRPr="008E1FA7" w:rsidRDefault="00371363" w:rsidP="00F02AD9">
            <w:pPr>
              <w:tabs>
                <w:tab w:val="right" w:leader="dot" w:pos="9185"/>
              </w:tabs>
              <w:autoSpaceDE w:val="0"/>
              <w:autoSpaceDN w:val="0"/>
              <w:adjustRightInd w:val="0"/>
              <w:spacing w:beforeLines="40" w:before="96" w:after="120"/>
              <w:ind w:left="318"/>
              <w:rPr>
                <w:bCs/>
                <w:lang w:eastAsia="de-DE"/>
              </w:rPr>
            </w:pPr>
            <w:r w:rsidRPr="008E1FA7">
              <w:rPr>
                <w:bCs/>
                <w:lang w:eastAsia="de-DE"/>
              </w:rPr>
              <w:t xml:space="preserve">Si oui, où : </w:t>
            </w:r>
            <w:r w:rsidR="00F02AD9" w:rsidRPr="008E1FA7">
              <w:rPr>
                <w:bCs/>
                <w:lang w:eastAsia="de-DE"/>
              </w:rPr>
              <w:tab/>
            </w:r>
          </w:p>
          <w:p w14:paraId="61D22EBC" w14:textId="7CD5D0F5" w:rsidR="00371363" w:rsidRPr="008E1FA7" w:rsidRDefault="00371363" w:rsidP="00F02AD9">
            <w:pPr>
              <w:autoSpaceDE w:val="0"/>
              <w:autoSpaceDN w:val="0"/>
              <w:adjustRightInd w:val="0"/>
              <w:spacing w:before="200" w:after="120"/>
              <w:jc w:val="center"/>
              <w:rPr>
                <w:b/>
                <w:bCs/>
                <w:lang w:eastAsia="de-DE"/>
              </w:rPr>
            </w:pPr>
            <w:r w:rsidRPr="008E1FA7">
              <w:rPr>
                <w:b/>
                <w:bCs/>
                <w:lang w:eastAsia="de-DE"/>
              </w:rPr>
              <w:t>Veuillez transmettre ce formulaire à l</w:t>
            </w:r>
            <w:r w:rsidR="001503DA" w:rsidRPr="008E1FA7">
              <w:rPr>
                <w:b/>
                <w:bCs/>
                <w:lang w:eastAsia="de-DE"/>
              </w:rPr>
              <w:t>’</w:t>
            </w:r>
            <w:r w:rsidRPr="008E1FA7">
              <w:rPr>
                <w:b/>
                <w:bCs/>
                <w:lang w:eastAsia="de-DE"/>
              </w:rPr>
              <w:t>autorité nationale désignée de votre pays.</w:t>
            </w:r>
          </w:p>
          <w:p w14:paraId="5757BE62" w14:textId="0CA92B96" w:rsidR="00E650E3" w:rsidRPr="008E1FA7" w:rsidRDefault="00371363" w:rsidP="00E650E3">
            <w:pPr>
              <w:autoSpaceDE w:val="0"/>
              <w:autoSpaceDN w:val="0"/>
              <w:adjustRightInd w:val="0"/>
              <w:spacing w:beforeLines="40" w:before="96" w:after="120"/>
              <w:jc w:val="center"/>
              <w:rPr>
                <w:b/>
                <w:bCs/>
                <w:lang w:eastAsia="de-DE"/>
              </w:rPr>
            </w:pPr>
            <w:r w:rsidRPr="008E1FA7">
              <w:rPr>
                <w:b/>
                <w:bCs/>
                <w:lang w:eastAsia="de-DE"/>
              </w:rPr>
              <w:t>(Nom et adresse de l</w:t>
            </w:r>
            <w:r w:rsidR="001503DA" w:rsidRPr="008E1FA7">
              <w:rPr>
                <w:b/>
                <w:bCs/>
                <w:lang w:eastAsia="de-DE"/>
              </w:rPr>
              <w:t>’</w:t>
            </w:r>
            <w:r w:rsidRPr="008E1FA7">
              <w:rPr>
                <w:b/>
                <w:bCs/>
                <w:lang w:eastAsia="de-DE"/>
              </w:rPr>
              <w:t>autorité nationale désignée)</w:t>
            </w:r>
          </w:p>
        </w:tc>
      </w:tr>
    </w:tbl>
    <w:p w14:paraId="28FA8413" w14:textId="77777777" w:rsidR="00371363" w:rsidRPr="008E1FA7" w:rsidRDefault="00371363" w:rsidP="00371363">
      <w:pPr>
        <w:autoSpaceDE w:val="0"/>
        <w:autoSpaceDN w:val="0"/>
        <w:adjustRightInd w:val="0"/>
        <w:rPr>
          <w:b/>
        </w:rPr>
      </w:pPr>
    </w:p>
    <w:p w14:paraId="6684AC99" w14:textId="77777777" w:rsidR="00371363" w:rsidRPr="008E1FA7" w:rsidRDefault="00371363" w:rsidP="00371363">
      <w:pPr>
        <w:autoSpaceDE w:val="0"/>
        <w:autoSpaceDN w:val="0"/>
        <w:adjustRightInd w:val="0"/>
        <w:rPr>
          <w:b/>
          <w:sz w:val="4"/>
          <w:szCs w:val="4"/>
        </w:rPr>
      </w:pPr>
      <w:r w:rsidRPr="008E1FA7">
        <w:rPr>
          <w: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0F87ACF9" w14:textId="77777777" w:rsidTr="003422E8">
        <w:trPr>
          <w:cantSplit/>
          <w:jc w:val="right"/>
        </w:trPr>
        <w:tc>
          <w:tcPr>
            <w:tcW w:w="9504" w:type="dxa"/>
            <w:tcBorders>
              <w:top w:val="single" w:sz="6" w:space="0" w:color="808080"/>
              <w:bottom w:val="single" w:sz="6" w:space="0" w:color="808080"/>
            </w:tcBorders>
            <w:shd w:val="pct12" w:color="000000" w:fill="FFFFFF"/>
          </w:tcPr>
          <w:p w14:paraId="0ADE5C4D" w14:textId="77777777" w:rsidR="00371363" w:rsidRPr="008E1FA7" w:rsidRDefault="00371363" w:rsidP="00371363">
            <w:pPr>
              <w:spacing w:before="40" w:after="60"/>
              <w:outlineLvl w:val="0"/>
              <w:rPr>
                <w:b/>
                <w:bCs/>
                <w:kern w:val="28"/>
                <w:szCs w:val="24"/>
              </w:rPr>
            </w:pPr>
            <w:r w:rsidRPr="008E1FA7">
              <w:rPr>
                <w:b/>
                <w:bCs/>
                <w:kern w:val="28"/>
                <w:szCs w:val="24"/>
              </w:rPr>
              <w:br w:type="page"/>
            </w:r>
            <w:r w:rsidRPr="008E1FA7">
              <w:rPr>
                <w:b/>
                <w:bCs/>
                <w:snapToGrid w:val="0"/>
                <w:kern w:val="28"/>
                <w:szCs w:val="24"/>
              </w:rPr>
              <w:br w:type="page"/>
            </w:r>
            <w:r w:rsidRPr="008E1FA7">
              <w:rPr>
                <w:b/>
                <w:bCs/>
                <w:kern w:val="28"/>
                <w:szCs w:val="24"/>
              </w:rPr>
              <w:br w:type="page"/>
            </w:r>
            <w:r w:rsidRPr="008E1FA7">
              <w:rPr>
                <w:b/>
                <w:bCs/>
                <w:kern w:val="28"/>
                <w:szCs w:val="24"/>
              </w:rPr>
              <w:br w:type="page"/>
            </w:r>
            <w:r w:rsidRPr="008E1FA7">
              <w:rPr>
                <w:b/>
                <w:bCs/>
                <w:kern w:val="28"/>
                <w:szCs w:val="24"/>
              </w:rPr>
              <w:br w:type="page"/>
              <w:t>Annexe III</w:t>
            </w:r>
            <w:r w:rsidRPr="008E1FA7">
              <w:rPr>
                <w:b/>
                <w:bCs/>
                <w:kern w:val="28"/>
                <w:szCs w:val="24"/>
              </w:rPr>
              <w:tab/>
              <w:t>Fiche de sécurité chimique sur le principe actif du pesticide</w:t>
            </w:r>
          </w:p>
        </w:tc>
      </w:tr>
    </w:tbl>
    <w:p w14:paraId="63038C5E" w14:textId="77777777" w:rsidR="00371363" w:rsidRPr="008E1FA7" w:rsidRDefault="00371363" w:rsidP="00371363">
      <w:pPr>
        <w:tabs>
          <w:tab w:val="left" w:pos="-720"/>
          <w:tab w:val="left" w:pos="0"/>
          <w:tab w:val="left" w:pos="720"/>
        </w:tabs>
        <w:suppressAutoHyphens/>
      </w:pPr>
    </w:p>
    <w:p w14:paraId="1A2CF008" w14:textId="0861F17E"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de-DE"/>
        </w:rPr>
      </w:pPr>
      <w:r w:rsidRPr="008E1FA7">
        <w:rPr>
          <w:lang w:eastAsia="de-DE"/>
        </w:rPr>
        <w:t>Note : On n</w:t>
      </w:r>
      <w:r w:rsidR="001503DA" w:rsidRPr="008E1FA7">
        <w:rPr>
          <w:lang w:eastAsia="de-DE"/>
        </w:rPr>
        <w:t>’</w:t>
      </w:r>
      <w:r w:rsidRPr="008E1FA7">
        <w:rPr>
          <w:lang w:eastAsia="de-DE"/>
        </w:rPr>
        <w:t>a trouvé aucune fiche de sécurité chimique pour le produit Fenthion 640 ULV.</w:t>
      </w:r>
    </w:p>
    <w:p w14:paraId="49011C60"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de-DE"/>
        </w:rPr>
      </w:pPr>
    </w:p>
    <w:p w14:paraId="4AAA74ED"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noProof/>
          <w:color w:val="0000FF"/>
          <w:lang w:eastAsia="fr-FR"/>
        </w:rPr>
        <w:drawing>
          <wp:inline distT="0" distB="0" distL="0" distR="0" wp14:anchorId="266AD7A1" wp14:editId="6BDF042B">
            <wp:extent cx="6005830" cy="621665"/>
            <wp:effectExtent l="0" t="0" r="0" b="6985"/>
            <wp:docPr id="29" name="Picture 29" descr="Description: IPCS INCHEM Hom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IPCS INCHEM Hom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05830" cy="621665"/>
                    </a:xfrm>
                    <a:prstGeom prst="rect">
                      <a:avLst/>
                    </a:prstGeom>
                    <a:noFill/>
                    <a:ln>
                      <a:noFill/>
                    </a:ln>
                  </pic:spPr>
                </pic:pic>
              </a:graphicData>
            </a:graphic>
          </wp:inline>
        </w:drawing>
      </w:r>
    </w:p>
    <w:p w14:paraId="08549113"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de-DE"/>
        </w:rPr>
      </w:pPr>
    </w:p>
    <w:p w14:paraId="2F4E4BBD" w14:textId="77777777" w:rsidR="00371363" w:rsidRPr="00C31740"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C31740">
        <w:rPr>
          <w:rFonts w:ascii="Courier New" w:hAnsi="Courier New" w:cs="Courier New"/>
          <w:lang w:val="en-US" w:eastAsia="de-DE"/>
        </w:rPr>
        <w:t>WORLD HEALTH ORGANIZATION                     FOOD AND AGRICULTURE</w:t>
      </w:r>
    </w:p>
    <w:p w14:paraId="69BC5039"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C31740">
        <w:rPr>
          <w:rFonts w:ascii="Courier New" w:hAnsi="Courier New" w:cs="Courier New"/>
          <w:lang w:val="en-US" w:eastAsia="de-DE"/>
        </w:rPr>
        <w:t xml:space="preserve">                                              </w:t>
      </w:r>
      <w:r w:rsidRPr="008E1FA7">
        <w:rPr>
          <w:rFonts w:ascii="Courier New" w:hAnsi="Courier New" w:cs="Courier New"/>
          <w:lang w:eastAsia="de-DE"/>
        </w:rPr>
        <w:t>ORGANIZATION</w:t>
      </w:r>
    </w:p>
    <w:p w14:paraId="785E8E3E"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5E83E42C" w14:textId="38922616"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ORGANISATION MONDIALE DE LA SANT</w:t>
      </w:r>
      <w:r w:rsidR="00DE2072" w:rsidRPr="008E1FA7">
        <w:rPr>
          <w:rFonts w:ascii="Courier New" w:hAnsi="Courier New" w:cs="Courier New"/>
          <w:lang w:eastAsia="de-DE"/>
        </w:rPr>
        <w:t>É</w:t>
      </w:r>
      <w:r w:rsidRPr="008E1FA7">
        <w:rPr>
          <w:rFonts w:ascii="Courier New" w:hAnsi="Courier New" w:cs="Courier New"/>
          <w:lang w:eastAsia="de-DE"/>
        </w:rPr>
        <w:t xml:space="preserve">           </w:t>
      </w:r>
      <w:r w:rsidR="00BB69FF" w:rsidRPr="008E1FA7">
        <w:rPr>
          <w:rFonts w:ascii="Courier New" w:hAnsi="Courier New" w:cs="Courier New"/>
          <w:lang w:eastAsia="de-DE"/>
        </w:rPr>
        <w:t xml:space="preserve"> </w:t>
      </w:r>
      <w:r w:rsidRPr="008E1FA7">
        <w:rPr>
          <w:rFonts w:ascii="Courier New" w:hAnsi="Courier New" w:cs="Courier New"/>
          <w:lang w:eastAsia="de-DE"/>
        </w:rPr>
        <w:t xml:space="preserve"> ORGANISATION POUR L</w:t>
      </w:r>
      <w:r w:rsidR="001503DA" w:rsidRPr="008E1FA7">
        <w:rPr>
          <w:rFonts w:ascii="Courier New" w:hAnsi="Courier New" w:cs="Courier New"/>
          <w:lang w:eastAsia="de-DE"/>
        </w:rPr>
        <w:t>’</w:t>
      </w:r>
      <w:r w:rsidRPr="008E1FA7">
        <w:rPr>
          <w:rFonts w:ascii="Courier New" w:hAnsi="Courier New" w:cs="Courier New"/>
          <w:lang w:eastAsia="de-DE"/>
        </w:rPr>
        <w:t>ALIMENTATION</w:t>
      </w:r>
    </w:p>
    <w:p w14:paraId="04D54B5F" w14:textId="68B9B642"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ET L</w:t>
      </w:r>
      <w:r w:rsidR="001503DA" w:rsidRPr="008E1FA7">
        <w:rPr>
          <w:rFonts w:ascii="Courier New" w:hAnsi="Courier New" w:cs="Courier New"/>
          <w:lang w:eastAsia="de-DE"/>
        </w:rPr>
        <w:t>’</w:t>
      </w:r>
      <w:r w:rsidRPr="008E1FA7">
        <w:rPr>
          <w:rFonts w:ascii="Courier New" w:hAnsi="Courier New" w:cs="Courier New"/>
          <w:lang w:eastAsia="de-DE"/>
        </w:rPr>
        <w:t>AGRICULTURE</w:t>
      </w:r>
    </w:p>
    <w:p w14:paraId="05B937C2"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D9CC274"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VBC/DS/77.23</w:t>
      </w:r>
    </w:p>
    <w:p w14:paraId="71DC9FB9"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7E87644"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FRANÇAIS</w:t>
      </w:r>
    </w:p>
    <w:p w14:paraId="6C0DE47E"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C03B526"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ORIGINAL : ANGLAIS</w:t>
      </w:r>
    </w:p>
    <w:p w14:paraId="65496AEA"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C977371"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6934871F" w14:textId="744F7EA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b/>
          <w:bCs/>
          <w:color w:val="FF0000"/>
          <w:lang w:eastAsia="de-DE"/>
        </w:rPr>
        <w:t>FICHE DE DONNÉES SUR LES PESTICIDES N° 23</w:t>
      </w:r>
    </w:p>
    <w:p w14:paraId="1F309EA2" w14:textId="23E660F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74275AF" w14:textId="5823E37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décembre 1976</w:t>
      </w:r>
    </w:p>
    <w:p w14:paraId="3BA98355" w14:textId="73D9207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12015AA" w14:textId="6BC075A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b/>
          <w:bCs/>
          <w:color w:val="FF0000"/>
          <w:lang w:eastAsia="de-DE"/>
        </w:rPr>
        <w:t>FENTHION</w:t>
      </w:r>
    </w:p>
    <w:p w14:paraId="76EC0707" w14:textId="516FBAC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7D68383" w14:textId="465D360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B802F0D" w14:textId="6ACF641B"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         La publication d</w:t>
      </w:r>
      <w:r w:rsidR="001503DA" w:rsidRPr="008E1FA7">
        <w:rPr>
          <w:rFonts w:ascii="Courier New" w:hAnsi="Courier New" w:cs="Courier New"/>
          <w:lang w:eastAsia="de-DE"/>
        </w:rPr>
        <w:t>’</w:t>
      </w:r>
      <w:r w:rsidR="00371363" w:rsidRPr="008E1FA7">
        <w:rPr>
          <w:rFonts w:ascii="Courier New" w:hAnsi="Courier New" w:cs="Courier New"/>
          <w:lang w:eastAsia="de-DE"/>
        </w:rPr>
        <w:t>une fiche de données pour un pesticide</w:t>
      </w:r>
      <w:r w:rsidRPr="008E1FA7">
        <w:rPr>
          <w:rFonts w:ascii="Courier New" w:hAnsi="Courier New" w:cs="Courier New"/>
          <w:lang w:eastAsia="de-DE"/>
        </w:rPr>
        <w:t xml:space="preserve"> </w:t>
      </w:r>
      <w:r w:rsidRPr="008E1FA7">
        <w:rPr>
          <w:rFonts w:ascii="Courier New" w:hAnsi="Courier New" w:cs="Courier New"/>
          <w:lang w:eastAsia="de-DE"/>
        </w:rPr>
        <w:br/>
        <w:t xml:space="preserve">    </w:t>
      </w:r>
      <w:r w:rsidR="00371363" w:rsidRPr="008E1FA7">
        <w:rPr>
          <w:rFonts w:ascii="Courier New" w:hAnsi="Courier New" w:cs="Courier New"/>
          <w:lang w:eastAsia="de-DE"/>
        </w:rPr>
        <w:t>particulier n</w:t>
      </w:r>
      <w:r w:rsidR="001503DA" w:rsidRPr="008E1FA7">
        <w:rPr>
          <w:rFonts w:ascii="Courier New" w:hAnsi="Courier New" w:cs="Courier New"/>
          <w:lang w:eastAsia="de-DE"/>
        </w:rPr>
        <w:t>’</w:t>
      </w:r>
      <w:r w:rsidR="00371363" w:rsidRPr="008E1FA7">
        <w:rPr>
          <w:rFonts w:ascii="Courier New" w:hAnsi="Courier New" w:cs="Courier New"/>
          <w:lang w:eastAsia="de-DE"/>
        </w:rPr>
        <w:t>implique de la part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OMS ou de la FAO aucune approbation </w:t>
      </w:r>
      <w:r w:rsidRPr="008E1FA7">
        <w:rPr>
          <w:rFonts w:ascii="Courier New" w:hAnsi="Courier New" w:cs="Courier New"/>
          <w:lang w:eastAsia="de-DE"/>
        </w:rPr>
        <w:br/>
        <w:t xml:space="preserve">    </w:t>
      </w:r>
      <w:r w:rsidR="00371363" w:rsidRPr="008E1FA7">
        <w:rPr>
          <w:rFonts w:ascii="Courier New" w:hAnsi="Courier New" w:cs="Courier New"/>
          <w:lang w:eastAsia="de-DE"/>
        </w:rPr>
        <w:t>du</w:t>
      </w:r>
      <w:r w:rsidRPr="008E1FA7">
        <w:rPr>
          <w:rFonts w:ascii="Courier New" w:hAnsi="Courier New" w:cs="Courier New"/>
          <w:lang w:eastAsia="de-DE"/>
        </w:rPr>
        <w:t xml:space="preserve"> </w:t>
      </w:r>
      <w:r w:rsidR="00371363" w:rsidRPr="008E1FA7">
        <w:rPr>
          <w:rFonts w:ascii="Courier New" w:hAnsi="Courier New" w:cs="Courier New"/>
          <w:lang w:eastAsia="de-DE"/>
        </w:rPr>
        <w:t>pesticide pour une quelconque utilisation, ni n</w:t>
      </w:r>
      <w:r w:rsidR="001503DA" w:rsidRPr="008E1FA7">
        <w:rPr>
          <w:rFonts w:ascii="Courier New" w:hAnsi="Courier New" w:cs="Courier New"/>
          <w:lang w:eastAsia="de-DE"/>
        </w:rPr>
        <w:t>’</w:t>
      </w:r>
      <w:r w:rsidR="00371363" w:rsidRPr="008E1FA7">
        <w:rPr>
          <w:rFonts w:ascii="Courier New" w:hAnsi="Courier New" w:cs="Courier New"/>
          <w:lang w:eastAsia="de-DE"/>
        </w:rPr>
        <w:t>en exclut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utilisation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à des fins autres que celles indiquées. Bien que les informations fournies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soient considérées comme exactes, compte tenu des données disponibles au </w:t>
      </w:r>
      <w:r w:rsidRPr="008E1FA7">
        <w:rPr>
          <w:rFonts w:ascii="Courier New" w:hAnsi="Courier New" w:cs="Courier New"/>
          <w:lang w:eastAsia="de-DE"/>
        </w:rPr>
        <w:br/>
        <w:t xml:space="preserve">    </w:t>
      </w:r>
      <w:r w:rsidR="00371363" w:rsidRPr="008E1FA7">
        <w:rPr>
          <w:rFonts w:ascii="Courier New" w:hAnsi="Courier New" w:cs="Courier New"/>
          <w:lang w:eastAsia="de-DE"/>
        </w:rPr>
        <w:t>moment où la fiche a été établie, ni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OMS ni la FAO ne seront tenus </w:t>
      </w:r>
      <w:r w:rsidRPr="008E1FA7">
        <w:rPr>
          <w:rFonts w:ascii="Courier New" w:hAnsi="Courier New" w:cs="Courier New"/>
          <w:lang w:eastAsia="de-DE"/>
        </w:rPr>
        <w:br/>
        <w:t xml:space="preserve">    </w:t>
      </w:r>
      <w:r w:rsidR="00371363" w:rsidRPr="008E1FA7">
        <w:rPr>
          <w:rFonts w:ascii="Courier New" w:hAnsi="Courier New" w:cs="Courier New"/>
          <w:lang w:eastAsia="de-DE"/>
        </w:rPr>
        <w:t>responsables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aucune erreur ou omission ni des conséquences qui pourraient </w:t>
      </w:r>
      <w:r w:rsidRPr="008E1FA7">
        <w:rPr>
          <w:rFonts w:ascii="Courier New" w:hAnsi="Courier New" w:cs="Courier New"/>
          <w:lang w:eastAsia="de-DE"/>
        </w:rPr>
        <w:br/>
        <w:t xml:space="preserve">    </w:t>
      </w:r>
      <w:r w:rsidR="00371363" w:rsidRPr="008E1FA7">
        <w:rPr>
          <w:rFonts w:ascii="Courier New" w:hAnsi="Courier New" w:cs="Courier New"/>
          <w:lang w:eastAsia="de-DE"/>
        </w:rPr>
        <w:t>en découler.</w:t>
      </w:r>
    </w:p>
    <w:p w14:paraId="5F99E63B"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E223D7A" w14:textId="096C58C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The issue of </w:t>
      </w:r>
      <w:proofErr w:type="spellStart"/>
      <w:r w:rsidR="00371363" w:rsidRPr="008E1FA7">
        <w:rPr>
          <w:rFonts w:ascii="Courier New" w:hAnsi="Courier New" w:cs="Courier New"/>
          <w:lang w:eastAsia="de-DE"/>
        </w:rPr>
        <w:t>this</w:t>
      </w:r>
      <w:proofErr w:type="spellEnd"/>
      <w:r w:rsidR="00371363" w:rsidRPr="008E1FA7">
        <w:rPr>
          <w:rFonts w:ascii="Courier New" w:hAnsi="Courier New" w:cs="Courier New"/>
          <w:lang w:eastAsia="de-DE"/>
        </w:rPr>
        <w:t xml:space="preserve"> document </w:t>
      </w:r>
      <w:proofErr w:type="spellStart"/>
      <w:r w:rsidR="00371363" w:rsidRPr="008E1FA7">
        <w:rPr>
          <w:rFonts w:ascii="Courier New" w:hAnsi="Courier New" w:cs="Courier New"/>
          <w:lang w:eastAsia="de-DE"/>
        </w:rPr>
        <w:t>does</w:t>
      </w:r>
      <w:proofErr w:type="spellEnd"/>
      <w:r w:rsidR="00371363" w:rsidRPr="008E1FA7">
        <w:rPr>
          <w:rFonts w:ascii="Courier New" w:hAnsi="Courier New" w:cs="Courier New"/>
          <w:lang w:eastAsia="de-DE"/>
        </w:rPr>
        <w:t xml:space="preserve">    Ce document ne constitue pas une </w:t>
      </w:r>
    </w:p>
    <w:p w14:paraId="729D3534" w14:textId="1C977C6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not </w:t>
      </w:r>
      <w:proofErr w:type="spellStart"/>
      <w:r w:rsidR="00371363" w:rsidRPr="008E1FA7">
        <w:rPr>
          <w:rFonts w:ascii="Courier New" w:hAnsi="Courier New" w:cs="Courier New"/>
          <w:lang w:eastAsia="de-DE"/>
        </w:rPr>
        <w:t>constitute</w:t>
      </w:r>
      <w:proofErr w:type="spellEnd"/>
      <w:r w:rsidR="00371363"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formal</w:t>
      </w:r>
      <w:proofErr w:type="spellEnd"/>
      <w:r w:rsidR="00371363" w:rsidRPr="008E1FA7">
        <w:rPr>
          <w:rFonts w:ascii="Courier New" w:hAnsi="Courier New" w:cs="Courier New"/>
          <w:lang w:eastAsia="de-DE"/>
        </w:rPr>
        <w:t xml:space="preserve">              publication. Il ne doit faire</w:t>
      </w:r>
    </w:p>
    <w:p w14:paraId="140EFB76" w14:textId="13D5C38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publication. It </w:t>
      </w:r>
      <w:proofErr w:type="spellStart"/>
      <w:r w:rsidR="00371363" w:rsidRPr="008E1FA7">
        <w:rPr>
          <w:rFonts w:ascii="Courier New" w:hAnsi="Courier New" w:cs="Courier New"/>
          <w:lang w:eastAsia="de-DE"/>
        </w:rPr>
        <w:t>should</w:t>
      </w:r>
      <w:proofErr w:type="spellEnd"/>
      <w:r w:rsidR="00371363" w:rsidRPr="008E1FA7">
        <w:rPr>
          <w:rFonts w:ascii="Courier New" w:hAnsi="Courier New" w:cs="Courier New"/>
          <w:lang w:eastAsia="de-DE"/>
        </w:rPr>
        <w:t xml:space="preserve"> not </w:t>
      </w:r>
      <w:proofErr w:type="spellStart"/>
      <w:r w:rsidR="00371363" w:rsidRPr="008E1FA7">
        <w:rPr>
          <w:rFonts w:ascii="Courier New" w:hAnsi="Courier New" w:cs="Courier New"/>
          <w:lang w:eastAsia="de-DE"/>
        </w:rPr>
        <w:t>be</w:t>
      </w:r>
      <w:proofErr w:type="spellEnd"/>
      <w:r w:rsidR="00371363" w:rsidRPr="008E1FA7">
        <w:rPr>
          <w:rFonts w:ascii="Courier New" w:hAnsi="Courier New" w:cs="Courier New"/>
          <w:lang w:eastAsia="de-DE"/>
        </w:rPr>
        <w:t xml:space="preserve">      l</w:t>
      </w:r>
      <w:r w:rsidR="001503DA" w:rsidRPr="008E1FA7">
        <w:rPr>
          <w:rFonts w:ascii="Courier New" w:hAnsi="Courier New" w:cs="Courier New"/>
          <w:lang w:eastAsia="de-DE"/>
        </w:rPr>
        <w:t>’</w:t>
      </w:r>
      <w:r w:rsidR="00371363" w:rsidRPr="008E1FA7">
        <w:rPr>
          <w:rFonts w:ascii="Courier New" w:hAnsi="Courier New" w:cs="Courier New"/>
          <w:lang w:eastAsia="de-DE"/>
        </w:rPr>
        <w:t>objet d</w:t>
      </w:r>
      <w:r w:rsidR="001503DA" w:rsidRPr="008E1FA7">
        <w:rPr>
          <w:rFonts w:ascii="Courier New" w:hAnsi="Courier New" w:cs="Courier New"/>
          <w:lang w:eastAsia="de-DE"/>
        </w:rPr>
        <w:t>’</w:t>
      </w:r>
      <w:r w:rsidR="00371363" w:rsidRPr="008E1FA7">
        <w:rPr>
          <w:rFonts w:ascii="Courier New" w:hAnsi="Courier New" w:cs="Courier New"/>
          <w:lang w:eastAsia="de-DE"/>
        </w:rPr>
        <w:t>aucun compte rendu ou</w:t>
      </w:r>
    </w:p>
    <w:p w14:paraId="1DD1A32E" w14:textId="36C8B89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reviewed</w:t>
      </w:r>
      <w:proofErr w:type="spellEnd"/>
      <w:r w:rsidR="00371363"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abstracted</w:t>
      </w:r>
      <w:proofErr w:type="spellEnd"/>
      <w:r w:rsidR="00371363" w:rsidRPr="008E1FA7">
        <w:rPr>
          <w:rFonts w:ascii="Courier New" w:hAnsi="Courier New" w:cs="Courier New"/>
          <w:lang w:eastAsia="de-DE"/>
        </w:rPr>
        <w:t xml:space="preserve"> or </w:t>
      </w:r>
      <w:proofErr w:type="spellStart"/>
      <w:r w:rsidR="00371363" w:rsidRPr="008E1FA7">
        <w:rPr>
          <w:rFonts w:ascii="Courier New" w:hAnsi="Courier New" w:cs="Courier New"/>
          <w:lang w:eastAsia="de-DE"/>
        </w:rPr>
        <w:t>quoted</w:t>
      </w:r>
      <w:proofErr w:type="spellEnd"/>
      <w:r w:rsidR="00371363" w:rsidRPr="008E1FA7">
        <w:rPr>
          <w:rFonts w:ascii="Courier New" w:hAnsi="Courier New" w:cs="Courier New"/>
          <w:lang w:eastAsia="de-DE"/>
        </w:rPr>
        <w:t xml:space="preserve">     résumé ni d</w:t>
      </w:r>
      <w:r w:rsidR="001503DA" w:rsidRPr="008E1FA7">
        <w:rPr>
          <w:rFonts w:ascii="Courier New" w:hAnsi="Courier New" w:cs="Courier New"/>
          <w:lang w:eastAsia="de-DE"/>
        </w:rPr>
        <w:t>’</w:t>
      </w:r>
      <w:r w:rsidR="00371363" w:rsidRPr="008E1FA7">
        <w:rPr>
          <w:rFonts w:ascii="Courier New" w:hAnsi="Courier New" w:cs="Courier New"/>
          <w:lang w:eastAsia="de-DE"/>
        </w:rPr>
        <w:t>aucune citation sans</w:t>
      </w:r>
    </w:p>
    <w:p w14:paraId="0E6DCFDD" w14:textId="707C83C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without</w:t>
      </w:r>
      <w:proofErr w:type="spellEnd"/>
      <w:r w:rsidR="00371363" w:rsidRPr="008E1FA7">
        <w:rPr>
          <w:rFonts w:ascii="Courier New" w:hAnsi="Courier New" w:cs="Courier New"/>
          <w:lang w:eastAsia="de-DE"/>
        </w:rPr>
        <w:t xml:space="preserve"> the agreement of the       l</w:t>
      </w:r>
      <w:r w:rsidR="001503DA" w:rsidRPr="008E1FA7">
        <w:rPr>
          <w:rFonts w:ascii="Courier New" w:hAnsi="Courier New" w:cs="Courier New"/>
          <w:lang w:eastAsia="de-DE"/>
        </w:rPr>
        <w:t>’</w:t>
      </w:r>
      <w:r w:rsidR="00371363" w:rsidRPr="008E1FA7">
        <w:rPr>
          <w:rFonts w:ascii="Courier New" w:hAnsi="Courier New" w:cs="Courier New"/>
          <w:lang w:eastAsia="de-DE"/>
        </w:rPr>
        <w:t>autorisation de l</w:t>
      </w:r>
      <w:r w:rsidR="001503DA" w:rsidRPr="008E1FA7">
        <w:rPr>
          <w:rFonts w:ascii="Courier New" w:hAnsi="Courier New" w:cs="Courier New"/>
          <w:lang w:eastAsia="de-DE"/>
        </w:rPr>
        <w:t>’</w:t>
      </w:r>
      <w:r w:rsidR="00371363" w:rsidRPr="008E1FA7">
        <w:rPr>
          <w:rFonts w:ascii="Courier New" w:hAnsi="Courier New" w:cs="Courier New"/>
          <w:lang w:eastAsia="de-DE"/>
        </w:rPr>
        <w:t>Organisation</w:t>
      </w:r>
    </w:p>
    <w:p w14:paraId="25CC14F3" w14:textId="23AF298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Food  and Agriculture              des Nations Unies pour</w:t>
      </w:r>
    </w:p>
    <w:p w14:paraId="214C6294" w14:textId="1F9D9EE8" w:rsidR="00371363" w:rsidRPr="00C31740"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8E1FA7">
        <w:rPr>
          <w:rFonts w:ascii="Courier New" w:hAnsi="Courier New" w:cs="Courier New"/>
          <w:lang w:eastAsia="de-DE"/>
        </w:rPr>
        <w:t xml:space="preserve">    </w:t>
      </w:r>
      <w:r w:rsidR="00371363" w:rsidRPr="00C31740">
        <w:rPr>
          <w:rFonts w:ascii="Courier New" w:hAnsi="Courier New" w:cs="Courier New"/>
          <w:lang w:val="en-US" w:eastAsia="de-DE"/>
        </w:rPr>
        <w:t xml:space="preserve">Organization of the United         </w:t>
      </w:r>
      <w:proofErr w:type="spellStart"/>
      <w:r w:rsidR="00371363" w:rsidRPr="00C31740">
        <w:rPr>
          <w:rFonts w:ascii="Courier New" w:hAnsi="Courier New" w:cs="Courier New"/>
          <w:lang w:val="en-US" w:eastAsia="de-DE"/>
        </w:rPr>
        <w:t>l</w:t>
      </w:r>
      <w:r w:rsidR="001503DA" w:rsidRPr="00C31740">
        <w:rPr>
          <w:rFonts w:ascii="Courier New" w:hAnsi="Courier New" w:cs="Courier New"/>
          <w:lang w:val="en-US" w:eastAsia="de-DE"/>
        </w:rPr>
        <w:t>’</w:t>
      </w:r>
      <w:r w:rsidR="00371363" w:rsidRPr="00C31740">
        <w:rPr>
          <w:rFonts w:ascii="Courier New" w:hAnsi="Courier New" w:cs="Courier New"/>
          <w:lang w:val="en-US" w:eastAsia="de-DE"/>
        </w:rPr>
        <w:t>Alimentation</w:t>
      </w:r>
      <w:proofErr w:type="spellEnd"/>
      <w:r w:rsidR="00371363" w:rsidRPr="00C31740">
        <w:rPr>
          <w:rFonts w:ascii="Courier New" w:hAnsi="Courier New" w:cs="Courier New"/>
          <w:lang w:val="en-US" w:eastAsia="de-DE"/>
        </w:rPr>
        <w:t xml:space="preserve"> et </w:t>
      </w:r>
      <w:proofErr w:type="spellStart"/>
      <w:r w:rsidR="00371363" w:rsidRPr="00C31740">
        <w:rPr>
          <w:rFonts w:ascii="Courier New" w:hAnsi="Courier New" w:cs="Courier New"/>
          <w:lang w:val="en-US" w:eastAsia="de-DE"/>
        </w:rPr>
        <w:t>l</w:t>
      </w:r>
      <w:r w:rsidR="001503DA" w:rsidRPr="00C31740">
        <w:rPr>
          <w:rFonts w:ascii="Courier New" w:hAnsi="Courier New" w:cs="Courier New"/>
          <w:lang w:val="en-US" w:eastAsia="de-DE"/>
        </w:rPr>
        <w:t>’</w:t>
      </w:r>
      <w:r w:rsidR="00371363" w:rsidRPr="00C31740">
        <w:rPr>
          <w:rFonts w:ascii="Courier New" w:hAnsi="Courier New" w:cs="Courier New"/>
          <w:lang w:val="en-US" w:eastAsia="de-DE"/>
        </w:rPr>
        <w:t>Agriculture</w:t>
      </w:r>
      <w:proofErr w:type="spellEnd"/>
    </w:p>
    <w:p w14:paraId="0A6E995E" w14:textId="1A5F22CE" w:rsidR="00371363" w:rsidRPr="00C31740"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C31740">
        <w:rPr>
          <w:rFonts w:ascii="Courier New" w:hAnsi="Courier New" w:cs="Courier New"/>
          <w:lang w:val="en-US" w:eastAsia="de-DE"/>
        </w:rPr>
        <w:t xml:space="preserve">    </w:t>
      </w:r>
      <w:r w:rsidR="00371363" w:rsidRPr="00C31740">
        <w:rPr>
          <w:rFonts w:ascii="Courier New" w:hAnsi="Courier New" w:cs="Courier New"/>
          <w:lang w:val="en-US" w:eastAsia="de-DE"/>
        </w:rPr>
        <w:t xml:space="preserve">Nations or of the World Health     </w:t>
      </w:r>
      <w:proofErr w:type="spellStart"/>
      <w:r w:rsidR="00371363" w:rsidRPr="00C31740">
        <w:rPr>
          <w:rFonts w:ascii="Courier New" w:hAnsi="Courier New" w:cs="Courier New"/>
          <w:lang w:val="en-US" w:eastAsia="de-DE"/>
        </w:rPr>
        <w:t>ou</w:t>
      </w:r>
      <w:proofErr w:type="spellEnd"/>
      <w:r w:rsidR="00371363" w:rsidRPr="00C31740">
        <w:rPr>
          <w:rFonts w:ascii="Courier New" w:hAnsi="Courier New" w:cs="Courier New"/>
          <w:lang w:val="en-US" w:eastAsia="de-DE"/>
        </w:rPr>
        <w:t xml:space="preserve"> de </w:t>
      </w:r>
      <w:proofErr w:type="spellStart"/>
      <w:r w:rsidR="00371363" w:rsidRPr="00C31740">
        <w:rPr>
          <w:rFonts w:ascii="Courier New" w:hAnsi="Courier New" w:cs="Courier New"/>
          <w:lang w:val="en-US" w:eastAsia="de-DE"/>
        </w:rPr>
        <w:t>l</w:t>
      </w:r>
      <w:r w:rsidR="001503DA" w:rsidRPr="00C31740">
        <w:rPr>
          <w:rFonts w:ascii="Courier New" w:hAnsi="Courier New" w:cs="Courier New"/>
          <w:lang w:val="en-US" w:eastAsia="de-DE"/>
        </w:rPr>
        <w:t>’</w:t>
      </w:r>
      <w:r w:rsidR="00371363" w:rsidRPr="00C31740">
        <w:rPr>
          <w:rFonts w:ascii="Courier New" w:hAnsi="Courier New" w:cs="Courier New"/>
          <w:lang w:val="en-US" w:eastAsia="de-DE"/>
        </w:rPr>
        <w:t>Organisation</w:t>
      </w:r>
      <w:proofErr w:type="spellEnd"/>
      <w:r w:rsidR="00371363" w:rsidRPr="00C31740">
        <w:rPr>
          <w:rFonts w:ascii="Courier New" w:hAnsi="Courier New" w:cs="Courier New"/>
          <w:lang w:val="en-US" w:eastAsia="de-DE"/>
        </w:rPr>
        <w:t xml:space="preserve"> Mondiale de</w:t>
      </w:r>
    </w:p>
    <w:p w14:paraId="4FFE5735" w14:textId="48C93D8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C31740">
        <w:rPr>
          <w:rFonts w:ascii="Courier New" w:hAnsi="Courier New" w:cs="Courier New"/>
          <w:lang w:val="en-US" w:eastAsia="de-DE"/>
        </w:rPr>
        <w:t xml:space="preserve">    </w:t>
      </w:r>
      <w:r w:rsidR="00371363" w:rsidRPr="00C31740">
        <w:rPr>
          <w:rFonts w:ascii="Courier New" w:hAnsi="Courier New" w:cs="Courier New"/>
          <w:lang w:val="en-US" w:eastAsia="de-DE"/>
        </w:rPr>
        <w:t xml:space="preserve">Organization.                      </w:t>
      </w:r>
      <w:r w:rsidR="00371363" w:rsidRPr="008E1FA7">
        <w:rPr>
          <w:rFonts w:ascii="Courier New" w:hAnsi="Courier New" w:cs="Courier New"/>
          <w:lang w:eastAsia="de-DE"/>
        </w:rPr>
        <w:t>la Santé.</w:t>
      </w:r>
    </w:p>
    <w:p w14:paraId="6B645E99" w14:textId="6B4A69A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rFonts w:ascii="Courier New" w:hAnsi="Courier New" w:cs="Courier New"/>
          <w:lang w:eastAsia="de-DE"/>
        </w:rPr>
      </w:pPr>
      <w:r w:rsidRPr="008E1FA7">
        <w:rPr>
          <w:rFonts w:ascii="Courier New" w:hAnsi="Courier New" w:cs="Courier New"/>
          <w:lang w:eastAsia="de-DE"/>
        </w:rPr>
        <w:t xml:space="preserve">    </w:t>
      </w:r>
    </w:p>
    <w:p w14:paraId="048E0554" w14:textId="20C38D4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76F10CD" w14:textId="090E8D9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0" w:name="PartTitle:Part_1_-_General_Information"/>
      <w:bookmarkEnd w:id="0"/>
      <w:r w:rsidRPr="008E1FA7">
        <w:rPr>
          <w:rFonts w:ascii="Courier New" w:hAnsi="Courier New" w:cs="Courier New"/>
          <w:lang w:eastAsia="de-DE"/>
        </w:rPr>
        <w:t xml:space="preserve">    </w:t>
      </w:r>
      <w:r w:rsidR="00371363" w:rsidRPr="008E1FA7">
        <w:rPr>
          <w:rFonts w:ascii="Courier New" w:hAnsi="Courier New" w:cs="Courier New"/>
          <w:color w:val="008000"/>
          <w:lang w:eastAsia="de-DE"/>
        </w:rPr>
        <w:t>Partie 1 – Informations générales</w:t>
      </w:r>
    </w:p>
    <w:p w14:paraId="5AE46588"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0718032D"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CLASSIFICATION:</w:t>
      </w:r>
    </w:p>
    <w:p w14:paraId="3F3E96FC"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Utilisation primaire :     Insecticide</w:t>
      </w:r>
    </w:p>
    <w:p w14:paraId="5F331FE1"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75AEEE1"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Utilisation secondaire :   Avicide, Acaricide</w:t>
      </w:r>
    </w:p>
    <w:p w14:paraId="068AF60C"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C0DE8B4"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Groupe chimique :          Composé organophosphoré</w:t>
      </w:r>
    </w:p>
    <w:p w14:paraId="5CA4F9A9"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400AB20B"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Fiche de données n° :      23</w:t>
      </w:r>
    </w:p>
    <w:p w14:paraId="755D2E2E"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2C180EB"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Date de publication :      décembre 1976</w:t>
      </w:r>
    </w:p>
    <w:p w14:paraId="247B618F"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C5A688B"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23695BD0" w14:textId="0E5BB72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 w:name="SectionTitle:1.1__COMMON_NAME:_FENTHION_"/>
      <w:bookmarkEnd w:id="1"/>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1.1  NOM USUEL :</w:t>
      </w:r>
      <w:r w:rsidR="00371363" w:rsidRPr="008E1FA7">
        <w:rPr>
          <w:rFonts w:ascii="Courier New" w:hAnsi="Courier New" w:cs="Courier New"/>
          <w:lang w:eastAsia="de-DE"/>
        </w:rPr>
        <w:t xml:space="preserve"> FENTHION (ISO)</w:t>
      </w:r>
    </w:p>
    <w:p w14:paraId="1BF400B3" w14:textId="6F8EE57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ACB8719" w14:textId="580678F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2" w:name="SubSectionTitle:1.1.1__Identity:"/>
      <w:bookmarkEnd w:id="2"/>
      <w:r w:rsidRPr="008E1FA7">
        <w:rPr>
          <w:rFonts w:ascii="Courier New" w:hAnsi="Courier New" w:cs="Courier New"/>
          <w:lang w:eastAsia="de-DE"/>
        </w:rPr>
        <w:t xml:space="preserve">    </w:t>
      </w:r>
      <w:r w:rsidR="00371363" w:rsidRPr="008E1FA7">
        <w:rPr>
          <w:rFonts w:ascii="Courier New" w:hAnsi="Courier New" w:cs="Courier New"/>
          <w:lang w:eastAsia="de-DE"/>
        </w:rPr>
        <w:t>1.1.1  Identité :</w:t>
      </w:r>
    </w:p>
    <w:p w14:paraId="6D0AD380" w14:textId="0B5CBC4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360B46F" w14:textId="6DDC8B9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diméthyl</w:t>
      </w:r>
      <w:proofErr w:type="spellEnd"/>
      <w:r w:rsidR="00371363" w:rsidRPr="008E1FA7">
        <w:rPr>
          <w:rFonts w:ascii="Courier New" w:hAnsi="Courier New" w:cs="Courier New"/>
          <w:lang w:eastAsia="de-DE"/>
        </w:rPr>
        <w:t xml:space="preserve"> 3-méthyl-4-méthylthiophényl </w:t>
      </w:r>
      <w:proofErr w:type="spellStart"/>
      <w:r w:rsidR="00371363" w:rsidRPr="008E1FA7">
        <w:rPr>
          <w:rFonts w:ascii="Courier New" w:hAnsi="Courier New" w:cs="Courier New"/>
          <w:lang w:eastAsia="de-DE"/>
        </w:rPr>
        <w:t>phosphorothionate</w:t>
      </w:r>
      <w:proofErr w:type="spellEnd"/>
      <w:r w:rsidR="00371363" w:rsidRPr="008E1FA7">
        <w:rPr>
          <w:rFonts w:ascii="Courier New" w:hAnsi="Courier New" w:cs="Courier New"/>
          <w:lang w:eastAsia="de-DE"/>
        </w:rPr>
        <w:t>.</w:t>
      </w:r>
    </w:p>
    <w:p w14:paraId="3FF6E58F" w14:textId="779A19C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DD1739D" w14:textId="40E3E9A9"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422E8" w:rsidRPr="008E1FA7">
        <w:rPr>
          <w:rFonts w:ascii="Courier New" w:hAnsi="Courier New" w:cs="Courier New"/>
          <w:lang w:eastAsia="de-DE"/>
        </w:rPr>
        <w:t xml:space="preserve">    </w:t>
      </w:r>
      <w:r w:rsidRPr="008E1FA7">
        <w:rPr>
          <w:rFonts w:ascii="Courier New" w:hAnsi="Courier New" w:cs="Courier New"/>
          <w:noProof/>
          <w:lang w:eastAsia="fr-FR"/>
        </w:rPr>
        <w:drawing>
          <wp:inline distT="0" distB="0" distL="0" distR="0" wp14:anchorId="65AFC6CD" wp14:editId="236A96F1">
            <wp:extent cx="2860040" cy="716915"/>
            <wp:effectExtent l="0" t="0" r="0" b="6985"/>
            <wp:docPr id="28" name="Picture 28" descr="Description: CHEMICAL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Description: CHEMICAL STRU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60040" cy="716915"/>
                    </a:xfrm>
                    <a:prstGeom prst="rect">
                      <a:avLst/>
                    </a:prstGeom>
                    <a:noFill/>
                    <a:ln>
                      <a:noFill/>
                    </a:ln>
                  </pic:spPr>
                </pic:pic>
              </a:graphicData>
            </a:graphic>
          </wp:inline>
        </w:drawing>
      </w:r>
    </w:p>
    <w:p w14:paraId="674D57FA"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1D34FB19" w14:textId="0287CF1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3" w:name=":1.1.1__Identity:"/>
      <w:bookmarkStart w:id="4" w:name="SubSectionTitle:1.1.2"/>
      <w:bookmarkEnd w:id="3"/>
      <w:bookmarkEnd w:id="4"/>
      <w:r w:rsidRPr="008E1FA7">
        <w:rPr>
          <w:rFonts w:ascii="Courier New" w:hAnsi="Courier New" w:cs="Courier New"/>
          <w:lang w:eastAsia="de-DE"/>
        </w:rPr>
        <w:t xml:space="preserve">    </w:t>
      </w:r>
      <w:r w:rsidR="00371363" w:rsidRPr="008E1FA7">
        <w:rPr>
          <w:rFonts w:ascii="Courier New" w:hAnsi="Courier New" w:cs="Courier New"/>
          <w:lang w:eastAsia="de-DE"/>
        </w:rPr>
        <w:t>1.1.2</w:t>
      </w:r>
    </w:p>
    <w:p w14:paraId="1491A96E" w14:textId="77777777" w:rsidR="00371363" w:rsidRPr="008E1FA7" w:rsidRDefault="00371363"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p>
    <w:p w14:paraId="331D8F0B" w14:textId="2F205EE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Synonymes</w:t>
      </w:r>
      <w:r w:rsidR="00371363" w:rsidRPr="008E1FA7">
        <w:rPr>
          <w:rFonts w:ascii="Courier New" w:hAnsi="Courier New" w:cs="Courier New"/>
          <w:lang w:eastAsia="de-DE"/>
        </w:rPr>
        <w:t xml:space="preserve">     </w:t>
      </w:r>
      <w:proofErr w:type="spellStart"/>
      <w:r w:rsidR="00371363" w:rsidRPr="008E1FA7">
        <w:rPr>
          <w:rFonts w:ascii="Courier New" w:hAnsi="Courier New" w:cs="Courier New"/>
          <w:u w:val="single"/>
          <w:lang w:eastAsia="de-DE"/>
        </w:rPr>
        <w:t>Synonymes</w:t>
      </w:r>
      <w:proofErr w:type="spellEnd"/>
      <w:r w:rsidR="00371363" w:rsidRPr="008E1FA7">
        <w:rPr>
          <w:rFonts w:ascii="Courier New" w:hAnsi="Courier New" w:cs="Courier New"/>
          <w:u w:val="single"/>
          <w:lang w:eastAsia="de-DE"/>
        </w:rPr>
        <w:t xml:space="preserve"> locaux</w:t>
      </w:r>
    </w:p>
    <w:p w14:paraId="100567AD" w14:textId="07E58A9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Baytex</w:t>
      </w:r>
      <w:proofErr w:type="spellEnd"/>
    </w:p>
    <w:p w14:paraId="3A6700AF" w14:textId="0C02254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Lebaycid</w:t>
      </w:r>
      <w:proofErr w:type="spellEnd"/>
    </w:p>
    <w:p w14:paraId="1C921331" w14:textId="495C387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Queletox</w:t>
      </w:r>
      <w:proofErr w:type="spellEnd"/>
    </w:p>
    <w:p w14:paraId="2AF6FB92" w14:textId="71EFA8E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Tignvon</w:t>
      </w:r>
      <w:proofErr w:type="spellEnd"/>
    </w:p>
    <w:p w14:paraId="601DCF6D" w14:textId="122FF7D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OMS-2</w:t>
      </w:r>
    </w:p>
    <w:p w14:paraId="72AB7C0F" w14:textId="5544D7F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7C34821" w14:textId="4D1EE4A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5" w:name=":1.1.2"/>
      <w:bookmarkStart w:id="6" w:name="EndSectionTitle:1.1__COMMON_NAME:_FENTHI"/>
      <w:bookmarkStart w:id="7" w:name="SectionTitle:1.2__SYNOPSIS"/>
      <w:bookmarkEnd w:id="5"/>
      <w:bookmarkEnd w:id="6"/>
      <w:bookmarkEnd w:id="7"/>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1.2  SYNOPSIS</w:t>
      </w:r>
    </w:p>
    <w:p w14:paraId="59B2FD6B" w14:textId="3537533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2B0CD22" w14:textId="00ECCC0F"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un insecticide organophosphoré modérément toxique pour les </w:t>
      </w:r>
      <w:r w:rsidRPr="008E1FA7">
        <w:rPr>
          <w:rFonts w:ascii="Courier New" w:hAnsi="Courier New" w:cs="Courier New"/>
          <w:lang w:eastAsia="de-DE"/>
        </w:rPr>
        <w:br/>
        <w:t xml:space="preserve">    </w:t>
      </w:r>
      <w:r w:rsidR="00371363" w:rsidRPr="008E1FA7">
        <w:rPr>
          <w:rFonts w:ascii="Courier New" w:hAnsi="Courier New" w:cs="Courier New"/>
          <w:lang w:eastAsia="de-DE"/>
        </w:rPr>
        <w:t>mammifères, susceptible d</w:t>
      </w:r>
      <w:r w:rsidR="001503DA" w:rsidRPr="008E1FA7">
        <w:rPr>
          <w:rFonts w:ascii="Courier New" w:hAnsi="Courier New" w:cs="Courier New"/>
          <w:lang w:eastAsia="de-DE"/>
        </w:rPr>
        <w:t>’</w:t>
      </w:r>
      <w:r w:rsidR="00371363" w:rsidRPr="008E1FA7">
        <w:rPr>
          <w:rFonts w:ascii="Courier New" w:hAnsi="Courier New" w:cs="Courier New"/>
          <w:lang w:eastAsia="de-DE"/>
        </w:rPr>
        <w:t>être absorbé par voies cutanée et gastro-</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intestinale et par inhalation. Il est actif après transformation par le </w:t>
      </w:r>
      <w:r w:rsidRPr="008E1FA7">
        <w:rPr>
          <w:rFonts w:ascii="Courier New" w:hAnsi="Courier New" w:cs="Courier New"/>
          <w:lang w:eastAsia="de-DE"/>
        </w:rPr>
        <w:br/>
        <w:t xml:space="preserve">    </w:t>
      </w:r>
      <w:r w:rsidR="00371363" w:rsidRPr="008E1FA7">
        <w:rPr>
          <w:rFonts w:ascii="Courier New" w:hAnsi="Courier New" w:cs="Courier New"/>
          <w:lang w:eastAsia="de-DE"/>
        </w:rPr>
        <w:t>métabolisme en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analogue oxygéné plus toxique. En général, les symptômes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intoxication aiguë sont prolongés.</w:t>
      </w:r>
    </w:p>
    <w:p w14:paraId="730DB8B1" w14:textId="7CFFD74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0735A01" w14:textId="7DF1DDA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8" w:name="EndSectionTitle:1.2__SYNOPSIS"/>
      <w:bookmarkStart w:id="9" w:name="SectionTitle:1.3__SELECTED_PROPERTIES"/>
      <w:bookmarkEnd w:id="8"/>
      <w:bookmarkEnd w:id="9"/>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1.3  PROPRIÉTÉS PARTICULIÈRES</w:t>
      </w:r>
    </w:p>
    <w:p w14:paraId="1450D45F" w14:textId="42D2733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BF00BA9" w14:textId="1E99F8F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0" w:name="SubSectionTitle:1.3.1__Physical_characte"/>
      <w:bookmarkEnd w:id="10"/>
      <w:r w:rsidRPr="008E1FA7">
        <w:rPr>
          <w:rFonts w:ascii="Courier New" w:hAnsi="Courier New" w:cs="Courier New"/>
          <w:lang w:eastAsia="de-DE"/>
        </w:rPr>
        <w:t xml:space="preserve">    </w:t>
      </w:r>
      <w:r w:rsidR="00371363" w:rsidRPr="008E1FA7">
        <w:rPr>
          <w:rFonts w:ascii="Courier New" w:hAnsi="Courier New" w:cs="Courier New"/>
          <w:lang w:eastAsia="de-DE"/>
        </w:rPr>
        <w:t>1.3.1  Caractéristiques physiques</w:t>
      </w:r>
    </w:p>
    <w:p w14:paraId="7015A610"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60A9D1E" w14:textId="16988EC1"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À l</w:t>
      </w:r>
      <w:r w:rsidR="001503DA" w:rsidRPr="008E1FA7">
        <w:rPr>
          <w:rFonts w:ascii="Courier New" w:hAnsi="Courier New" w:cs="Courier New"/>
          <w:lang w:eastAsia="de-DE"/>
        </w:rPr>
        <w:t>’</w:t>
      </w:r>
      <w:r w:rsidR="00371363" w:rsidRPr="008E1FA7">
        <w:rPr>
          <w:rFonts w:ascii="Courier New" w:hAnsi="Courier New" w:cs="Courier New"/>
          <w:lang w:eastAsia="de-DE"/>
        </w:rPr>
        <w:t>état pur, le fenthion se présente sous la forme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 liquide incolore </w:t>
      </w:r>
      <w:r w:rsidRPr="008E1FA7">
        <w:rPr>
          <w:rFonts w:ascii="Courier New" w:hAnsi="Courier New" w:cs="Courier New"/>
          <w:lang w:eastAsia="de-DE"/>
        </w:rPr>
        <w:br/>
        <w:t xml:space="preserve">    </w:t>
      </w:r>
      <w:r w:rsidR="00371363" w:rsidRPr="008E1FA7">
        <w:rPr>
          <w:rFonts w:ascii="Courier New" w:hAnsi="Courier New" w:cs="Courier New"/>
          <w:lang w:eastAsia="de-DE"/>
        </w:rPr>
        <w:t>et presque inodore, dont le point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ébullition se situe à 87 °C à </w:t>
      </w:r>
      <w:r w:rsidRPr="008E1FA7">
        <w:rPr>
          <w:rFonts w:ascii="Courier New" w:hAnsi="Courier New" w:cs="Courier New"/>
          <w:lang w:eastAsia="de-DE"/>
        </w:rPr>
        <w:br/>
        <w:t xml:space="preserve">    </w:t>
      </w:r>
      <w:r w:rsidR="00371363" w:rsidRPr="008E1FA7">
        <w:rPr>
          <w:rFonts w:ascii="Courier New" w:hAnsi="Courier New" w:cs="Courier New"/>
          <w:lang w:eastAsia="de-DE"/>
        </w:rPr>
        <w:t>0.01 </w:t>
      </w:r>
      <w:proofErr w:type="spellStart"/>
      <w:r w:rsidR="00371363" w:rsidRPr="008E1FA7">
        <w:rPr>
          <w:rFonts w:ascii="Courier New" w:hAnsi="Courier New" w:cs="Courier New"/>
          <w:lang w:eastAsia="de-DE"/>
        </w:rPr>
        <w:t>mmHg</w:t>
      </w:r>
      <w:proofErr w:type="spellEnd"/>
      <w:r w:rsidR="00371363" w:rsidRPr="008E1FA7">
        <w:rPr>
          <w:rFonts w:ascii="Courier New" w:hAnsi="Courier New" w:cs="Courier New"/>
          <w:lang w:eastAsia="de-DE"/>
        </w:rPr>
        <w:t xml:space="preserve">. Le produit technique, pur à 95-98 %, est un liquide huileux brun </w:t>
      </w:r>
      <w:r w:rsidRPr="008E1FA7">
        <w:rPr>
          <w:rFonts w:ascii="Courier New" w:hAnsi="Courier New" w:cs="Courier New"/>
          <w:lang w:eastAsia="de-DE"/>
        </w:rPr>
        <w:br/>
        <w:t xml:space="preserve">    </w:t>
      </w:r>
      <w:r w:rsidR="00371363" w:rsidRPr="008E1FA7">
        <w:rPr>
          <w:rFonts w:ascii="Courier New" w:hAnsi="Courier New" w:cs="Courier New"/>
          <w:lang w:eastAsia="de-DE"/>
        </w:rPr>
        <w:t>caractérisé par une légère odeur d</w:t>
      </w:r>
      <w:r w:rsidR="001503DA" w:rsidRPr="008E1FA7">
        <w:rPr>
          <w:rFonts w:ascii="Courier New" w:hAnsi="Courier New" w:cs="Courier New"/>
          <w:lang w:eastAsia="de-DE"/>
        </w:rPr>
        <w:t>’</w:t>
      </w:r>
      <w:r w:rsidR="00371363" w:rsidRPr="008E1FA7">
        <w:rPr>
          <w:rFonts w:ascii="Courier New" w:hAnsi="Courier New" w:cs="Courier New"/>
          <w:lang w:eastAsia="de-DE"/>
        </w:rPr>
        <w:t>ail.</w:t>
      </w:r>
    </w:p>
    <w:p w14:paraId="403A675B" w14:textId="5F8A611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B9BF7A3" w14:textId="5ABC6BA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1" w:name=":1.3.1__Physical_characteristics"/>
      <w:bookmarkStart w:id="12" w:name="SubSectionTitle:1.3.2__Solubility"/>
      <w:bookmarkEnd w:id="11"/>
      <w:bookmarkEnd w:id="12"/>
      <w:r w:rsidRPr="008E1FA7">
        <w:rPr>
          <w:rFonts w:ascii="Courier New" w:hAnsi="Courier New" w:cs="Courier New"/>
          <w:lang w:eastAsia="de-DE"/>
        </w:rPr>
        <w:t xml:space="preserve">    </w:t>
      </w:r>
      <w:r w:rsidR="00371363" w:rsidRPr="008E1FA7">
        <w:rPr>
          <w:rFonts w:ascii="Courier New" w:hAnsi="Courier New" w:cs="Courier New"/>
          <w:lang w:eastAsia="de-DE"/>
        </w:rPr>
        <w:t>1.3.2  Solubilité</w:t>
      </w:r>
    </w:p>
    <w:p w14:paraId="4977D911" w14:textId="0979CE0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5CF4B80" w14:textId="7A09160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 fenthion est soluble dans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eau à 20 °C, à raison de 54-56 ppm, et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aisément soluble dans la plupart des matériaux organiques et des huiles </w:t>
      </w:r>
      <w:r w:rsidRPr="008E1FA7">
        <w:rPr>
          <w:rFonts w:ascii="Courier New" w:hAnsi="Courier New" w:cs="Courier New"/>
          <w:lang w:eastAsia="de-DE"/>
        </w:rPr>
        <w:br/>
        <w:t xml:space="preserve">    </w:t>
      </w:r>
      <w:proofErr w:type="spellStart"/>
      <w:r w:rsidR="00371363" w:rsidRPr="008E1FA7">
        <w:rPr>
          <w:rFonts w:ascii="Courier New" w:hAnsi="Courier New" w:cs="Courier New"/>
          <w:lang w:eastAsia="de-DE"/>
        </w:rPr>
        <w:t>glycéridiques</w:t>
      </w:r>
      <w:proofErr w:type="spellEnd"/>
      <w:r w:rsidR="00371363" w:rsidRPr="008E1FA7">
        <w:rPr>
          <w:rFonts w:ascii="Courier New" w:hAnsi="Courier New" w:cs="Courier New"/>
          <w:lang w:eastAsia="de-DE"/>
        </w:rPr>
        <w:t>.</w:t>
      </w:r>
    </w:p>
    <w:p w14:paraId="4C903DAC" w14:textId="46FA940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49AD6F6" w14:textId="160D3E3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3" w:name=":1.3.2__Solubility"/>
      <w:bookmarkStart w:id="14" w:name="SubSectionTitle:1.3.3__Stability"/>
      <w:bookmarkEnd w:id="13"/>
      <w:bookmarkEnd w:id="14"/>
      <w:r w:rsidRPr="008E1FA7">
        <w:rPr>
          <w:rFonts w:ascii="Courier New" w:hAnsi="Courier New" w:cs="Courier New"/>
          <w:lang w:eastAsia="de-DE"/>
        </w:rPr>
        <w:t xml:space="preserve">    </w:t>
      </w:r>
      <w:r w:rsidR="00371363" w:rsidRPr="008E1FA7">
        <w:rPr>
          <w:rFonts w:ascii="Courier New" w:hAnsi="Courier New" w:cs="Courier New"/>
          <w:lang w:eastAsia="de-DE"/>
        </w:rPr>
        <w:t>1.3.3  Stabilité</w:t>
      </w:r>
    </w:p>
    <w:p w14:paraId="53356F49" w14:textId="15177E0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3FB2E24" w14:textId="41F216C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 fenthion est stable jusqu</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à 160 °C et résiste à la lumière et à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hydrolyse alcaline.</w:t>
      </w:r>
    </w:p>
    <w:p w14:paraId="16260721" w14:textId="20ED44D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BEC2D9E" w14:textId="49766CE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5" w:name=":1.3.3__Stability"/>
      <w:bookmarkStart w:id="16" w:name="SubSectionTitle:1.3.4__Vapour_pressure_("/>
      <w:bookmarkEnd w:id="15"/>
      <w:bookmarkEnd w:id="16"/>
      <w:r w:rsidRPr="008E1FA7">
        <w:rPr>
          <w:rFonts w:ascii="Courier New" w:hAnsi="Courier New" w:cs="Courier New"/>
          <w:lang w:eastAsia="de-DE"/>
        </w:rPr>
        <w:t xml:space="preserve">    </w:t>
      </w:r>
      <w:r w:rsidR="00371363" w:rsidRPr="008E1FA7">
        <w:rPr>
          <w:rFonts w:ascii="Courier New" w:hAnsi="Courier New" w:cs="Courier New"/>
          <w:lang w:eastAsia="de-DE"/>
        </w:rPr>
        <w:t>1.3.4  Pression de vapeur (volatilité)</w:t>
      </w:r>
    </w:p>
    <w:p w14:paraId="3E9EDBD1" w14:textId="5F3DC03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F63BD76" w14:textId="08C8D4E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4 x 10</w:t>
      </w:r>
      <w:r w:rsidR="00371363" w:rsidRPr="008E1FA7">
        <w:rPr>
          <w:rFonts w:ascii="Courier New" w:hAnsi="Courier New" w:cs="Courier New"/>
          <w:vertAlign w:val="superscript"/>
          <w:lang w:eastAsia="de-DE"/>
        </w:rPr>
        <w:t>-5</w:t>
      </w:r>
      <w:r w:rsidR="00371363" w:rsidRPr="008E1FA7">
        <w:rPr>
          <w:rFonts w:ascii="Courier New" w:hAnsi="Courier New" w:cs="Courier New"/>
          <w:lang w:eastAsia="de-DE"/>
        </w:rPr>
        <w:t> </w:t>
      </w:r>
      <w:proofErr w:type="spellStart"/>
      <w:r w:rsidR="00371363" w:rsidRPr="008E1FA7">
        <w:rPr>
          <w:rFonts w:ascii="Courier New" w:hAnsi="Courier New" w:cs="Courier New"/>
          <w:lang w:eastAsia="de-DE"/>
        </w:rPr>
        <w:t>mmHg</w:t>
      </w:r>
      <w:proofErr w:type="spellEnd"/>
      <w:r w:rsidR="00371363" w:rsidRPr="008E1FA7">
        <w:rPr>
          <w:rFonts w:ascii="Courier New" w:hAnsi="Courier New" w:cs="Courier New"/>
          <w:lang w:eastAsia="de-DE"/>
        </w:rPr>
        <w:t xml:space="preserve"> à 20 °C. La pression de vapeur du fenthion est faible, mais </w:t>
      </w:r>
      <w:r w:rsidRPr="008E1FA7">
        <w:rPr>
          <w:rFonts w:ascii="Courier New" w:hAnsi="Courier New" w:cs="Courier New"/>
          <w:lang w:eastAsia="de-DE"/>
        </w:rPr>
        <w:br/>
        <w:t xml:space="preserve">    </w:t>
      </w:r>
      <w:r w:rsidR="00371363" w:rsidRPr="008E1FA7">
        <w:rPr>
          <w:rFonts w:ascii="Courier New" w:hAnsi="Courier New" w:cs="Courier New"/>
          <w:lang w:eastAsia="de-DE"/>
        </w:rPr>
        <w:t>ce composé est hautement volatile.</w:t>
      </w:r>
    </w:p>
    <w:p w14:paraId="60683E38" w14:textId="1B9C713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A27C8FB" w14:textId="5BAF456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7" w:name=":1.3.4__Vapour_pressure_(volatility)"/>
      <w:bookmarkStart w:id="18" w:name="EndSectionTitle:1.3__SELECTED_PROPERTIES"/>
      <w:bookmarkStart w:id="19" w:name="SectionTitle:1.4__AGRICULTURE,_HORTICULT"/>
      <w:bookmarkEnd w:id="17"/>
      <w:bookmarkEnd w:id="18"/>
      <w:bookmarkEnd w:id="19"/>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1.4  AGRICULTURE, HORTICULTURE ET FORESTERIE</w:t>
      </w:r>
    </w:p>
    <w:p w14:paraId="03560879" w14:textId="6E059F9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68FC1C8" w14:textId="68C909C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20" w:name="SubSectionTitle:1.4.1__Common_formulatio"/>
      <w:bookmarkEnd w:id="20"/>
      <w:r w:rsidRPr="008E1FA7">
        <w:rPr>
          <w:rFonts w:ascii="Courier New" w:hAnsi="Courier New" w:cs="Courier New"/>
          <w:lang w:eastAsia="de-DE"/>
        </w:rPr>
        <w:t xml:space="preserve">    </w:t>
      </w:r>
      <w:r w:rsidR="00371363" w:rsidRPr="008E1FA7">
        <w:rPr>
          <w:rFonts w:ascii="Courier New" w:hAnsi="Courier New" w:cs="Courier New"/>
          <w:lang w:eastAsia="de-DE"/>
        </w:rPr>
        <w:t>1.4.1  Préparations courantes</w:t>
      </w:r>
    </w:p>
    <w:p w14:paraId="2409D57F" w14:textId="0389C72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85039B0" w14:textId="702E9646"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Concentrés pour nébulisation à 40 % et 60 %; poudres mouillables entre 25 %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et 40 %; concentrés émulsionnables à 50 %; poudres pour poudrage à 3  %; </w:t>
      </w:r>
      <w:r w:rsidRPr="008E1FA7">
        <w:rPr>
          <w:rFonts w:ascii="Courier New" w:hAnsi="Courier New" w:cs="Courier New"/>
          <w:lang w:eastAsia="de-DE"/>
        </w:rPr>
        <w:br/>
        <w:t xml:space="preserve">    </w:t>
      </w:r>
      <w:r w:rsidR="00371363" w:rsidRPr="008E1FA7">
        <w:rPr>
          <w:rFonts w:ascii="Courier New" w:hAnsi="Courier New" w:cs="Courier New"/>
          <w:lang w:eastAsia="de-DE"/>
        </w:rPr>
        <w:t>liquides pour pulvérisation à ultra bas volume à 1 000 g/l.</w:t>
      </w:r>
    </w:p>
    <w:p w14:paraId="28C1D288" w14:textId="4647EDD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EB66AB9" w14:textId="507C5F65" w:rsidR="00371363" w:rsidRPr="008E1FA7" w:rsidRDefault="003422E8" w:rsidP="0037136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21" w:name=":1.4.1__Common_formulations"/>
      <w:bookmarkStart w:id="22" w:name="SubSectionTitle:1.4.2__Pests_mainly_cont"/>
      <w:bookmarkEnd w:id="21"/>
      <w:bookmarkEnd w:id="22"/>
      <w:r w:rsidRPr="008E1FA7">
        <w:rPr>
          <w:rFonts w:ascii="Courier New" w:hAnsi="Courier New" w:cs="Courier New"/>
          <w:lang w:eastAsia="de-DE"/>
        </w:rPr>
        <w:t xml:space="preserve">    </w:t>
      </w:r>
      <w:r w:rsidR="00371363" w:rsidRPr="008E1FA7">
        <w:rPr>
          <w:rFonts w:ascii="Courier New" w:hAnsi="Courier New" w:cs="Courier New"/>
          <w:lang w:eastAsia="de-DE"/>
        </w:rPr>
        <w:t>1.4.2  Principaux ravageurs sensibles</w:t>
      </w:r>
    </w:p>
    <w:p w14:paraId="27290157" w14:textId="4E647D0F" w:rsidR="00371363" w:rsidRPr="008E1FA7" w:rsidRDefault="003422E8" w:rsidP="0037136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B25410B" w14:textId="38453DAC" w:rsidR="00371363" w:rsidRPr="008E1FA7" w:rsidRDefault="003422E8" w:rsidP="0037136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 fenthion est employé comme insecticide de contact et d</w:t>
      </w:r>
      <w:r w:rsidR="001503DA" w:rsidRPr="008E1FA7">
        <w:rPr>
          <w:rFonts w:ascii="Courier New" w:hAnsi="Courier New" w:cs="Courier New"/>
          <w:lang w:eastAsia="de-DE"/>
        </w:rPr>
        <w:t>’</w:t>
      </w:r>
      <w:r w:rsidR="00371363" w:rsidRPr="008E1FA7">
        <w:rPr>
          <w:rFonts w:ascii="Courier New" w:hAnsi="Courier New" w:cs="Courier New"/>
          <w:lang w:eastAsia="de-DE"/>
        </w:rPr>
        <w:t>ingestion et est</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hautement </w:t>
      </w:r>
      <w:proofErr w:type="spellStart"/>
      <w:r w:rsidR="00371363" w:rsidRPr="008E1FA7">
        <w:rPr>
          <w:rFonts w:ascii="Courier New" w:hAnsi="Courier New" w:cs="Courier New"/>
          <w:lang w:eastAsia="de-DE"/>
        </w:rPr>
        <w:t>persistant.Il</w:t>
      </w:r>
      <w:proofErr w:type="spellEnd"/>
      <w:r w:rsidR="00371363" w:rsidRPr="008E1FA7">
        <w:rPr>
          <w:rFonts w:ascii="Courier New" w:hAnsi="Courier New" w:cs="Courier New"/>
          <w:lang w:eastAsia="de-DE"/>
        </w:rPr>
        <w:t xml:space="preserve"> est efficace contre les mouches du fruit, les</w:t>
      </w:r>
      <w:r w:rsidRPr="008E1FA7">
        <w:rPr>
          <w:rFonts w:ascii="Courier New" w:hAnsi="Courier New" w:cs="Courier New"/>
          <w:lang w:eastAsia="de-DE"/>
        </w:rPr>
        <w:t xml:space="preserv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cicadelles, les punaises des céréales, les oiseaux tisserins, les parasites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animaux, les acariens, les aphides et les pyrales de la pomme.</w:t>
      </w:r>
    </w:p>
    <w:p w14:paraId="0F3D260E" w14:textId="77C5C94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7E99FA8" w14:textId="0244927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23" w:name=":1.4.2__Pests_mainly_controlled"/>
      <w:bookmarkStart w:id="24" w:name="SubSectionTitle:1.4.3__Use_pattern"/>
      <w:bookmarkEnd w:id="23"/>
      <w:bookmarkEnd w:id="24"/>
      <w:r w:rsidRPr="008E1FA7">
        <w:rPr>
          <w:rFonts w:ascii="Courier New" w:hAnsi="Courier New" w:cs="Courier New"/>
          <w:lang w:eastAsia="de-DE"/>
        </w:rPr>
        <w:t xml:space="preserve">    </w:t>
      </w:r>
      <w:r w:rsidR="00371363" w:rsidRPr="008E1FA7">
        <w:rPr>
          <w:rFonts w:ascii="Courier New" w:hAnsi="Courier New" w:cs="Courier New"/>
          <w:lang w:eastAsia="de-DE"/>
        </w:rPr>
        <w:t>1.4.3  Mode d</w:t>
      </w:r>
      <w:r w:rsidR="001503DA" w:rsidRPr="008E1FA7">
        <w:rPr>
          <w:rFonts w:ascii="Courier New" w:hAnsi="Courier New" w:cs="Courier New"/>
          <w:lang w:eastAsia="de-DE"/>
        </w:rPr>
        <w:t>’</w:t>
      </w:r>
      <w:r w:rsidR="00371363" w:rsidRPr="008E1FA7">
        <w:rPr>
          <w:rFonts w:ascii="Courier New" w:hAnsi="Courier New" w:cs="Courier New"/>
          <w:lang w:eastAsia="de-DE"/>
        </w:rPr>
        <w:t>emploi</w:t>
      </w:r>
    </w:p>
    <w:p w14:paraId="495694A9" w14:textId="1991F5CF"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F7F5881" w14:textId="6A173D8F"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employé avant récolte dans la culture de la canne à sucre,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du riz, du maïs de plein champ, de la betterave, des fruits à pépins et à </w:t>
      </w:r>
      <w:r w:rsidRPr="008E1FA7">
        <w:rPr>
          <w:rFonts w:ascii="Courier New" w:hAnsi="Courier New" w:cs="Courier New"/>
          <w:lang w:eastAsia="de-DE"/>
        </w:rPr>
        <w:br/>
        <w:t xml:space="preserve">    </w:t>
      </w:r>
      <w:r w:rsidR="00371363" w:rsidRPr="008E1FA7">
        <w:rPr>
          <w:rFonts w:ascii="Courier New" w:hAnsi="Courier New" w:cs="Courier New"/>
          <w:lang w:eastAsia="de-DE"/>
        </w:rPr>
        <w:t>noyau, des agrumes, de la pistache et du coton jusqu</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à des doses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2 kg/ha. La matière active est aussi utilisée dans la culture des olives, </w:t>
      </w:r>
      <w:r w:rsidRPr="008E1FA7">
        <w:rPr>
          <w:rFonts w:ascii="Courier New" w:hAnsi="Courier New" w:cs="Courier New"/>
          <w:lang w:eastAsia="de-DE"/>
        </w:rPr>
        <w:br/>
        <w:t xml:space="preserve">    </w:t>
      </w:r>
      <w:r w:rsidR="00371363" w:rsidRPr="008E1FA7">
        <w:rPr>
          <w:rFonts w:ascii="Courier New" w:hAnsi="Courier New" w:cs="Courier New"/>
          <w:lang w:eastAsia="de-DE"/>
        </w:rPr>
        <w:t>du café, du cacao, des légumes, de la vigne et du maïs jusqu</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à des doses de </w:t>
      </w:r>
      <w:r w:rsidRPr="008E1FA7">
        <w:rPr>
          <w:rFonts w:ascii="Courier New" w:hAnsi="Courier New" w:cs="Courier New"/>
          <w:lang w:eastAsia="de-DE"/>
        </w:rPr>
        <w:br/>
        <w:t xml:space="preserve">    </w:t>
      </w:r>
      <w:r w:rsidR="00371363" w:rsidRPr="008E1FA7">
        <w:rPr>
          <w:rFonts w:ascii="Courier New" w:hAnsi="Courier New" w:cs="Courier New"/>
          <w:lang w:eastAsia="de-DE"/>
        </w:rPr>
        <w:t>1 kg/ha.</w:t>
      </w:r>
    </w:p>
    <w:p w14:paraId="07557955"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25" w:name=":1.4.3__Use_pattern"/>
      <w:bookmarkStart w:id="26" w:name="SubSectionTitle:1.4.4__Unintended_effect"/>
      <w:bookmarkEnd w:id="25"/>
      <w:bookmarkEnd w:id="26"/>
    </w:p>
    <w:p w14:paraId="1FF4A35B" w14:textId="751C60DB"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1.4.4  Effets non intentionnels</w:t>
      </w:r>
    </w:p>
    <w:p w14:paraId="570E41F4" w14:textId="590504A2"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D8E0AAF" w14:textId="0AB82E3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 fenthion n</w:t>
      </w:r>
      <w:r w:rsidR="001503DA" w:rsidRPr="008E1FA7">
        <w:rPr>
          <w:rFonts w:ascii="Courier New" w:hAnsi="Courier New" w:cs="Courier New"/>
          <w:lang w:eastAsia="de-DE"/>
        </w:rPr>
        <w:t>’</w:t>
      </w:r>
      <w:r w:rsidR="00371363" w:rsidRPr="008E1FA7">
        <w:rPr>
          <w:rFonts w:ascii="Courier New" w:hAnsi="Courier New" w:cs="Courier New"/>
          <w:lang w:eastAsia="de-DE"/>
        </w:rPr>
        <w:t>est pas phytotoxique s</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il est employé aux doses recommandées. </w:t>
      </w:r>
      <w:r w:rsidRPr="008E1FA7">
        <w:rPr>
          <w:rFonts w:ascii="Courier New" w:hAnsi="Courier New" w:cs="Courier New"/>
          <w:lang w:eastAsia="de-DE"/>
        </w:rPr>
        <w:br/>
        <w:t xml:space="preserve">    </w:t>
      </w:r>
      <w:r w:rsidR="00371363" w:rsidRPr="008E1FA7">
        <w:rPr>
          <w:rFonts w:ascii="Courier New" w:hAnsi="Courier New" w:cs="Courier New"/>
          <w:lang w:eastAsia="de-DE"/>
        </w:rPr>
        <w:t>Ses applications ne sont pas susceptibles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entraîner la contamination des </w:t>
      </w:r>
      <w:r w:rsidRPr="008E1FA7">
        <w:rPr>
          <w:rFonts w:ascii="Courier New" w:hAnsi="Courier New" w:cs="Courier New"/>
          <w:lang w:eastAsia="de-DE"/>
        </w:rPr>
        <w:br/>
        <w:t xml:space="preserve">    </w:t>
      </w:r>
      <w:r w:rsidR="00371363" w:rsidRPr="008E1FA7">
        <w:rPr>
          <w:rFonts w:ascii="Courier New" w:hAnsi="Courier New" w:cs="Courier New"/>
          <w:lang w:eastAsia="de-DE"/>
        </w:rPr>
        <w:t>aliments.</w:t>
      </w:r>
    </w:p>
    <w:p w14:paraId="0CC974AB"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27" w:name=":1.4.4__Unintended_effects"/>
      <w:bookmarkStart w:id="28" w:name="EndSectionTitle:1.4__AGRICULTURE,_HORTIC"/>
      <w:bookmarkStart w:id="29" w:name="SectionTitle:1.5__PUBLIC_HEALTH_PROGRAMM"/>
      <w:bookmarkEnd w:id="27"/>
      <w:bookmarkEnd w:id="28"/>
      <w:bookmarkEnd w:id="29"/>
    </w:p>
    <w:p w14:paraId="5A67D371" w14:textId="278D8131"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1.5  PROGRAMME DE SANTÉ PUBLIQUE</w:t>
      </w:r>
    </w:p>
    <w:p w14:paraId="06A3339F" w14:textId="77777777" w:rsidR="003422E8"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0B44738" w14:textId="24C3C14D"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essentiellement utilisé comme larvicide dans le cadre de la </w:t>
      </w:r>
      <w:r w:rsidRPr="008E1FA7">
        <w:rPr>
          <w:rFonts w:ascii="Courier New" w:hAnsi="Courier New" w:cs="Courier New"/>
          <w:lang w:eastAsia="de-DE"/>
        </w:rPr>
        <w:br/>
        <w:t xml:space="preserve">    </w:t>
      </w:r>
      <w:r w:rsidR="00371363" w:rsidRPr="008E1FA7">
        <w:rPr>
          <w:rFonts w:ascii="Courier New" w:hAnsi="Courier New" w:cs="Courier New"/>
          <w:lang w:eastAsia="de-DE"/>
        </w:rPr>
        <w:t>lutte anti</w:t>
      </w:r>
      <w:r w:rsidR="00371363" w:rsidRPr="008E1FA7">
        <w:rPr>
          <w:rFonts w:ascii="Courier New" w:hAnsi="Courier New" w:cs="Courier New"/>
          <w:lang w:eastAsia="de-DE"/>
        </w:rPr>
        <w:noBreakHyphen/>
        <w:t xml:space="preserve">moustiques. Son emploi pour la pulvérisation intérieure à effets </w:t>
      </w:r>
      <w:r w:rsidRPr="008E1FA7">
        <w:rPr>
          <w:rFonts w:ascii="Courier New" w:hAnsi="Courier New" w:cs="Courier New"/>
          <w:lang w:eastAsia="de-DE"/>
        </w:rPr>
        <w:br/>
        <w:t xml:space="preserve">    </w:t>
      </w:r>
      <w:r w:rsidR="00371363" w:rsidRPr="008E1FA7">
        <w:rPr>
          <w:rFonts w:ascii="Courier New" w:hAnsi="Courier New" w:cs="Courier New"/>
          <w:lang w:eastAsia="de-DE"/>
        </w:rPr>
        <w:t>rémanents est contre</w:t>
      </w:r>
      <w:r w:rsidR="00371363" w:rsidRPr="008E1FA7">
        <w:rPr>
          <w:rFonts w:ascii="Courier New" w:hAnsi="Courier New" w:cs="Courier New"/>
          <w:lang w:eastAsia="de-DE"/>
        </w:rPr>
        <w:noBreakHyphen/>
        <w:t xml:space="preserve">indiqué en raison de sa toxicité relativement élevée </w:t>
      </w:r>
      <w:r w:rsidRPr="008E1FA7">
        <w:rPr>
          <w:rFonts w:ascii="Courier New" w:hAnsi="Courier New" w:cs="Courier New"/>
          <w:lang w:eastAsia="de-DE"/>
        </w:rPr>
        <w:br/>
        <w:t xml:space="preserve">    </w:t>
      </w:r>
      <w:r w:rsidR="00371363" w:rsidRPr="008E1FA7">
        <w:rPr>
          <w:rFonts w:ascii="Courier New" w:hAnsi="Courier New" w:cs="Courier New"/>
          <w:lang w:eastAsia="de-DE"/>
        </w:rPr>
        <w:t>pour les mammifères.</w:t>
      </w:r>
    </w:p>
    <w:p w14:paraId="75038221"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30" w:name="EndSectionTitle:1.5__PUBLIC_HEALTH_PROGR"/>
      <w:bookmarkStart w:id="31" w:name="SectionTitle:1.6__HOUSEHOLD_USE"/>
      <w:bookmarkEnd w:id="30"/>
      <w:bookmarkEnd w:id="31"/>
    </w:p>
    <w:p w14:paraId="2E5C981B" w14:textId="22A43496"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1.6  USAGES DOMESTIQUES</w:t>
      </w:r>
    </w:p>
    <w:p w14:paraId="31441B53" w14:textId="1082171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CD91EFD" w14:textId="69BB9FF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Contre</w:t>
      </w:r>
      <w:r w:rsidR="00371363" w:rsidRPr="008E1FA7">
        <w:rPr>
          <w:rFonts w:ascii="Courier New" w:hAnsi="Courier New" w:cs="Courier New"/>
          <w:lang w:eastAsia="de-DE"/>
        </w:rPr>
        <w:noBreakHyphen/>
        <w:t>indiqué pour les utilisations en intérieur.</w:t>
      </w:r>
    </w:p>
    <w:p w14:paraId="50868F99" w14:textId="5DF4E12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53FC98E" w14:textId="166EA33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32" w:name="EndSectionTitle:1.6__HOUSEHOLD_USE"/>
      <w:bookmarkStart w:id="33" w:name="EndPartTitle:Part_1_-_General_Informatio"/>
      <w:bookmarkStart w:id="34" w:name="PartTitle:Part_2_-_Toxicology_and_risks"/>
      <w:bookmarkEnd w:id="32"/>
      <w:bookmarkEnd w:id="33"/>
      <w:bookmarkEnd w:id="34"/>
      <w:r w:rsidRPr="008E1FA7">
        <w:rPr>
          <w:rFonts w:ascii="Courier New" w:hAnsi="Courier New" w:cs="Courier New"/>
          <w:lang w:eastAsia="de-DE"/>
        </w:rPr>
        <w:t xml:space="preserve">    </w:t>
      </w:r>
      <w:r w:rsidR="00371363" w:rsidRPr="008E1FA7">
        <w:rPr>
          <w:rFonts w:ascii="Courier New" w:hAnsi="Courier New" w:cs="Courier New"/>
          <w:color w:val="008000"/>
          <w:lang w:eastAsia="de-DE"/>
        </w:rPr>
        <w:t>Partie 2 – Toxicologie et risques</w:t>
      </w:r>
    </w:p>
    <w:p w14:paraId="1E7B53F8"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35" w:name="SectionTitle:2.1__TOXICOLOGY-MAMMALS"/>
      <w:bookmarkEnd w:id="35"/>
      <w:r w:rsidRPr="008E1FA7">
        <w:rPr>
          <w:rFonts w:ascii="Courier New" w:hAnsi="Courier New" w:cs="Courier New"/>
          <w:lang w:eastAsia="de-DE"/>
        </w:rPr>
        <w:t xml:space="preserve">    </w:t>
      </w:r>
    </w:p>
    <w:p w14:paraId="07A33597" w14:textId="7C511D8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2.1  TOXICOLOGIE - MAMMIFÈRES</w:t>
      </w:r>
    </w:p>
    <w:p w14:paraId="1B4B88AC" w14:textId="4EE65BA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BC6E568" w14:textId="1E66171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36" w:name="SubSectionTitle:2.1.1__Absorption_route"/>
      <w:bookmarkEnd w:id="36"/>
      <w:r w:rsidRPr="008E1FA7">
        <w:rPr>
          <w:rFonts w:ascii="Courier New" w:hAnsi="Courier New" w:cs="Courier New"/>
          <w:lang w:eastAsia="de-DE"/>
        </w:rPr>
        <w:t xml:space="preserve">    </w:t>
      </w:r>
      <w:r w:rsidR="00371363" w:rsidRPr="008E1FA7">
        <w:rPr>
          <w:rFonts w:ascii="Courier New" w:hAnsi="Courier New" w:cs="Courier New"/>
          <w:lang w:eastAsia="de-DE"/>
        </w:rPr>
        <w:t>2.1.1  Voies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absorption </w:t>
      </w:r>
    </w:p>
    <w:p w14:paraId="585BA617" w14:textId="75F195D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EFF9BFE" w14:textId="587B98F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absorbé par contact avec la peau, même non lésée, par </w:t>
      </w:r>
      <w:r w:rsidRPr="008E1FA7">
        <w:rPr>
          <w:rFonts w:ascii="Courier New" w:hAnsi="Courier New" w:cs="Courier New"/>
          <w:lang w:eastAsia="de-DE"/>
        </w:rPr>
        <w:br/>
        <w:t xml:space="preserve">    </w:t>
      </w:r>
      <w:r w:rsidR="00371363" w:rsidRPr="008E1FA7">
        <w:rPr>
          <w:rFonts w:ascii="Courier New" w:hAnsi="Courier New" w:cs="Courier New"/>
          <w:lang w:eastAsia="de-DE"/>
        </w:rPr>
        <w:t>inhalation ou par les voies gastro-intestinales.</w:t>
      </w:r>
    </w:p>
    <w:p w14:paraId="3F103EBC" w14:textId="18A7D7F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D437581" w14:textId="1B68D09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37" w:name=":2.1.1__Absorption_route"/>
      <w:bookmarkStart w:id="38" w:name="SubSectionTitle:2.1.2__Mode_of_action"/>
      <w:bookmarkEnd w:id="37"/>
      <w:bookmarkEnd w:id="38"/>
      <w:r w:rsidRPr="008E1FA7">
        <w:rPr>
          <w:rFonts w:ascii="Courier New" w:hAnsi="Courier New" w:cs="Courier New"/>
          <w:lang w:eastAsia="de-DE"/>
        </w:rPr>
        <w:t xml:space="preserve">    </w:t>
      </w:r>
      <w:r w:rsidR="00371363" w:rsidRPr="008E1FA7">
        <w:rPr>
          <w:rFonts w:ascii="Courier New" w:hAnsi="Courier New" w:cs="Courier New"/>
          <w:lang w:eastAsia="de-DE"/>
        </w:rPr>
        <w:t>2.1.2  Mode d</w:t>
      </w:r>
      <w:r w:rsidR="001503DA" w:rsidRPr="008E1FA7">
        <w:rPr>
          <w:rFonts w:ascii="Courier New" w:hAnsi="Courier New" w:cs="Courier New"/>
          <w:lang w:eastAsia="de-DE"/>
        </w:rPr>
        <w:t>’</w:t>
      </w:r>
      <w:r w:rsidR="00371363" w:rsidRPr="008E1FA7">
        <w:rPr>
          <w:rFonts w:ascii="Courier New" w:hAnsi="Courier New" w:cs="Courier New"/>
          <w:lang w:eastAsia="de-DE"/>
        </w:rPr>
        <w:t>action</w:t>
      </w:r>
    </w:p>
    <w:p w14:paraId="4FFFD371" w14:textId="2590446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45F8060" w14:textId="6CE0C7F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induit une effet anticholinestérasique après transformation </w:t>
      </w:r>
      <w:r w:rsidRPr="008E1FA7">
        <w:rPr>
          <w:rFonts w:ascii="Courier New" w:hAnsi="Courier New" w:cs="Courier New"/>
          <w:lang w:eastAsia="de-DE"/>
        </w:rPr>
        <w:br/>
        <w:t xml:space="preserve">    </w:t>
      </w:r>
      <w:r w:rsidR="00371363" w:rsidRPr="008E1FA7">
        <w:rPr>
          <w:rFonts w:ascii="Courier New" w:hAnsi="Courier New" w:cs="Courier New"/>
          <w:lang w:eastAsia="de-DE"/>
        </w:rPr>
        <w:t>dans l</w:t>
      </w:r>
      <w:r w:rsidR="001503DA" w:rsidRPr="008E1FA7">
        <w:rPr>
          <w:rFonts w:ascii="Courier New" w:hAnsi="Courier New" w:cs="Courier New"/>
          <w:lang w:eastAsia="de-DE"/>
        </w:rPr>
        <w:t>’</w:t>
      </w:r>
      <w:r w:rsidR="00371363" w:rsidRPr="008E1FA7">
        <w:rPr>
          <w:rFonts w:ascii="Courier New" w:hAnsi="Courier New" w:cs="Courier New"/>
          <w:lang w:eastAsia="de-DE"/>
        </w:rPr>
        <w:t>organisme en l</w:t>
      </w:r>
      <w:r w:rsidR="001503DA" w:rsidRPr="008E1FA7">
        <w:rPr>
          <w:rFonts w:ascii="Courier New" w:hAnsi="Courier New" w:cs="Courier New"/>
          <w:lang w:eastAsia="de-DE"/>
        </w:rPr>
        <w:t>’</w:t>
      </w:r>
      <w:r w:rsidR="00371363" w:rsidRPr="008E1FA7">
        <w:rPr>
          <w:rFonts w:ascii="Courier New" w:hAnsi="Courier New" w:cs="Courier New"/>
          <w:lang w:eastAsia="de-DE"/>
        </w:rPr>
        <w:t>analogue oxygéné.</w:t>
      </w:r>
    </w:p>
    <w:p w14:paraId="7ECCB30B" w14:textId="014914B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DFDBAD7" w14:textId="6BAD98F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39" w:name=":2.1.2__Mode_of_action"/>
      <w:bookmarkStart w:id="40" w:name="SubSectionTitle:2.1.3__Excretion"/>
      <w:bookmarkEnd w:id="39"/>
      <w:bookmarkEnd w:id="40"/>
      <w:r w:rsidRPr="008E1FA7">
        <w:rPr>
          <w:rFonts w:ascii="Courier New" w:hAnsi="Courier New" w:cs="Courier New"/>
          <w:lang w:eastAsia="de-DE"/>
        </w:rPr>
        <w:t xml:space="preserve">    </w:t>
      </w:r>
      <w:r w:rsidR="00371363" w:rsidRPr="008E1FA7">
        <w:rPr>
          <w:rFonts w:ascii="Courier New" w:hAnsi="Courier New" w:cs="Courier New"/>
          <w:lang w:eastAsia="de-DE"/>
        </w:rPr>
        <w:t>2.1.3  Excrétion</w:t>
      </w:r>
    </w:p>
    <w:p w14:paraId="59F577BC" w14:textId="7DD1EA5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8FF58E4" w14:textId="02F2EC69"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Chez le rat, 86 %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dose orale sont éliminés en sept jours (45 % dans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urine et 40 % dans les fèces). Les métabolites sont notamment les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sulfones et les </w:t>
      </w:r>
      <w:proofErr w:type="spellStart"/>
      <w:r w:rsidR="00371363" w:rsidRPr="008E1FA7">
        <w:rPr>
          <w:rFonts w:ascii="Courier New" w:hAnsi="Courier New" w:cs="Courier New"/>
          <w:lang w:eastAsia="de-DE"/>
        </w:rPr>
        <w:t>sulfoxydes</w:t>
      </w:r>
      <w:proofErr w:type="spellEnd"/>
      <w:r w:rsidR="00371363" w:rsidRPr="008E1FA7">
        <w:rPr>
          <w:rFonts w:ascii="Courier New" w:hAnsi="Courier New" w:cs="Courier New"/>
          <w:lang w:eastAsia="de-DE"/>
        </w:rPr>
        <w:t xml:space="preserve"> du composé parent et de l</w:t>
      </w:r>
      <w:r w:rsidR="001503DA" w:rsidRPr="008E1FA7">
        <w:rPr>
          <w:rFonts w:ascii="Courier New" w:hAnsi="Courier New" w:cs="Courier New"/>
          <w:lang w:eastAsia="de-DE"/>
        </w:rPr>
        <w:t>’</w:t>
      </w:r>
      <w:r w:rsidR="00371363" w:rsidRPr="008E1FA7">
        <w:rPr>
          <w:rFonts w:ascii="Courier New" w:hAnsi="Courier New" w:cs="Courier New"/>
          <w:lang w:eastAsia="de-DE"/>
        </w:rPr>
        <w:t>analogue oxygéné.</w:t>
      </w:r>
    </w:p>
    <w:p w14:paraId="20280756"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41" w:name=":2.1.3__Excretion"/>
      <w:bookmarkStart w:id="42" w:name="SubSectionTitle:2.1.4__Toxicity,_single_"/>
      <w:bookmarkEnd w:id="41"/>
      <w:bookmarkEnd w:id="42"/>
    </w:p>
    <w:p w14:paraId="5EA3A7B1" w14:textId="3AAE36EC"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2.1.4  Toxicité, dose unique</w:t>
      </w:r>
    </w:p>
    <w:p w14:paraId="47652990" w14:textId="487DDCE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4EBCFBF" w14:textId="16C23EEE"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Voie orale, DL</w:t>
      </w:r>
      <w:r w:rsidR="00371363" w:rsidRPr="008E1FA7">
        <w:rPr>
          <w:rFonts w:ascii="Courier New" w:hAnsi="Courier New" w:cs="Courier New"/>
          <w:vertAlign w:val="subscript"/>
          <w:lang w:eastAsia="de-DE"/>
        </w:rPr>
        <w:t>50</w:t>
      </w:r>
      <w:r w:rsidR="00371363" w:rsidRPr="008E1FA7">
        <w:rPr>
          <w:rFonts w:ascii="Courier New" w:hAnsi="Courier New" w:cs="Courier New"/>
          <w:lang w:eastAsia="de-DE"/>
        </w:rPr>
        <w:t>, rat (M) 215 mg/kg    Voie cutanée, DL</w:t>
      </w:r>
      <w:r w:rsidR="00371363" w:rsidRPr="008E1FA7">
        <w:rPr>
          <w:rFonts w:ascii="Courier New" w:hAnsi="Courier New" w:cs="Courier New"/>
          <w:vertAlign w:val="subscript"/>
          <w:lang w:eastAsia="de-DE"/>
        </w:rPr>
        <w:t>50</w:t>
      </w:r>
      <w:r w:rsidR="00371363" w:rsidRPr="008E1FA7">
        <w:rPr>
          <w:rFonts w:ascii="Courier New" w:hAnsi="Courier New" w:cs="Courier New"/>
          <w:lang w:eastAsia="de-DE"/>
        </w:rPr>
        <w:t>, rat (M) 330 mg/kg</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                     (F) 245 mg/kg                           (F) 330 mg/kg</w:t>
      </w:r>
    </w:p>
    <w:p w14:paraId="120D1610"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AE372E6" w14:textId="1B142C0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Voie cutanée, DL</w:t>
      </w:r>
      <w:r w:rsidR="00371363" w:rsidRPr="008E1FA7">
        <w:rPr>
          <w:rFonts w:ascii="Courier New" w:hAnsi="Courier New" w:cs="Courier New"/>
          <w:vertAlign w:val="subscript"/>
          <w:lang w:eastAsia="de-DE"/>
        </w:rPr>
        <w:t>50</w:t>
      </w:r>
      <w:r w:rsidR="00371363" w:rsidRPr="008E1FA7">
        <w:rPr>
          <w:rFonts w:ascii="Courier New" w:hAnsi="Courier New" w:cs="Courier New"/>
          <w:lang w:eastAsia="de-DE"/>
        </w:rPr>
        <w:t>, lapin (M) 150 mg/kg</w:t>
      </w:r>
    </w:p>
    <w:p w14:paraId="018F1562"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A5B1D78" w14:textId="6933F9B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Espèces les plus sensibles</w:t>
      </w:r>
    </w:p>
    <w:p w14:paraId="44867224" w14:textId="0A0096C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4D597FB" w14:textId="53A57B2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Veau – voie orale, DL</w:t>
      </w:r>
      <w:r w:rsidR="00371363" w:rsidRPr="008E1FA7">
        <w:rPr>
          <w:rFonts w:ascii="Courier New" w:hAnsi="Courier New" w:cs="Courier New"/>
          <w:vertAlign w:val="subscript"/>
          <w:lang w:eastAsia="de-DE"/>
        </w:rPr>
        <w:t>50</w:t>
      </w:r>
      <w:r w:rsidR="00371363" w:rsidRPr="008E1FA7">
        <w:rPr>
          <w:rFonts w:ascii="Courier New" w:hAnsi="Courier New" w:cs="Courier New"/>
          <w:lang w:eastAsia="de-DE"/>
        </w:rPr>
        <w:t xml:space="preserve"> environ 40 mg/kg</w:t>
      </w:r>
    </w:p>
    <w:p w14:paraId="40964974" w14:textId="608CD05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43" w:name=":2.1.4__Toxicity,_single_dose"/>
      <w:bookmarkStart w:id="44" w:name="SubSectionTitle:2.1.5__Toxicity,_repeate"/>
      <w:bookmarkEnd w:id="43"/>
      <w:bookmarkEnd w:id="44"/>
      <w:r w:rsidRPr="008E1FA7">
        <w:rPr>
          <w:rFonts w:ascii="Courier New" w:hAnsi="Courier New" w:cs="Courier New"/>
          <w:lang w:eastAsia="de-DE"/>
        </w:rPr>
        <w:t xml:space="preserve">    </w:t>
      </w:r>
    </w:p>
    <w:p w14:paraId="41346E45" w14:textId="3350DF6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2.1.5  Toxicité, doses répétées</w:t>
      </w:r>
    </w:p>
    <w:p w14:paraId="13773119" w14:textId="3F792C8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EA3525D" w14:textId="1521745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Par voie orale</w:t>
      </w:r>
    </w:p>
    <w:p w14:paraId="3A9BA229" w14:textId="26AE521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FA8D9B4" w14:textId="4167E67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Des doses répétées de 10, 25, 50 et 100 mg/kg ont été administrées pendant </w:t>
      </w:r>
      <w:r w:rsidRPr="008E1FA7">
        <w:rPr>
          <w:rFonts w:ascii="Courier New" w:hAnsi="Courier New" w:cs="Courier New"/>
          <w:lang w:eastAsia="de-DE"/>
        </w:rPr>
        <w:br/>
        <w:t xml:space="preserve">    </w:t>
      </w:r>
      <w:r w:rsidR="00371363" w:rsidRPr="008E1FA7">
        <w:rPr>
          <w:rFonts w:ascii="Courier New" w:hAnsi="Courier New" w:cs="Courier New"/>
          <w:lang w:eastAsia="de-DE"/>
        </w:rPr>
        <w:t>cinq jours par voie orale à des rats des deux sexes. On n</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observait aucun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décès aux doses de 10 et 25 mg/kg. Un animal sur quatre décédait à 50 mg/kg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et tous les animaux à 100 mg/kg. Des fasciculations apparaissaient après </w:t>
      </w:r>
      <w:r w:rsidRPr="008E1FA7">
        <w:rPr>
          <w:rFonts w:ascii="Courier New" w:hAnsi="Courier New" w:cs="Courier New"/>
          <w:lang w:eastAsia="de-DE"/>
        </w:rPr>
        <w:br/>
        <w:t xml:space="preserve">    </w:t>
      </w:r>
      <w:r w:rsidR="00371363" w:rsidRPr="008E1FA7">
        <w:rPr>
          <w:rFonts w:ascii="Courier New" w:hAnsi="Courier New" w:cs="Courier New"/>
          <w:lang w:eastAsia="de-DE"/>
        </w:rPr>
        <w:t>administration d</w:t>
      </w:r>
      <w:r w:rsidR="001503DA" w:rsidRPr="008E1FA7">
        <w:rPr>
          <w:rFonts w:ascii="Courier New" w:hAnsi="Courier New" w:cs="Courier New"/>
          <w:lang w:eastAsia="de-DE"/>
        </w:rPr>
        <w:t>’</w:t>
      </w:r>
      <w:r w:rsidR="00371363" w:rsidRPr="008E1FA7">
        <w:rPr>
          <w:rFonts w:ascii="Courier New" w:hAnsi="Courier New" w:cs="Courier New"/>
          <w:lang w:eastAsia="de-DE"/>
        </w:rPr>
        <w:t>une dose unique de 25 mg/kg.</w:t>
      </w:r>
    </w:p>
    <w:p w14:paraId="1F4C0D41"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340E523" w14:textId="3A8C226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Des doses journalières de 25 mg/kg administrées par voie orale à 30 rats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pendant 75 jours, à raison de six jours par semaine, entraînaient le décès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 12 de ces animaux. Des doses journalières de 30 mg/kg administrées par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voie orale à des rats mâles pendant 13 semaines, à raison de cinq jours par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semaine, induisaient un taux de mortalité de 30 % et une réduction de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activité de la cholinestérase de 80-90 %. Le rétablissement des taux de </w:t>
      </w:r>
      <w:r w:rsidRPr="008E1FA7">
        <w:rPr>
          <w:rFonts w:ascii="Courier New" w:hAnsi="Courier New" w:cs="Courier New"/>
          <w:lang w:eastAsia="de-DE"/>
        </w:rPr>
        <w:br/>
        <w:t xml:space="preserve">    </w:t>
      </w:r>
      <w:r w:rsidR="00371363" w:rsidRPr="008E1FA7">
        <w:rPr>
          <w:rFonts w:ascii="Courier New" w:hAnsi="Courier New" w:cs="Courier New"/>
          <w:lang w:eastAsia="de-DE"/>
        </w:rPr>
        <w:t>cholinestérase était lent et nécessitait jusqu</w:t>
      </w:r>
      <w:r w:rsidR="001503DA" w:rsidRPr="008E1FA7">
        <w:rPr>
          <w:rFonts w:ascii="Courier New" w:hAnsi="Courier New" w:cs="Courier New"/>
          <w:lang w:eastAsia="de-DE"/>
        </w:rPr>
        <w:t>’</w:t>
      </w:r>
      <w:r w:rsidR="00371363" w:rsidRPr="008E1FA7">
        <w:rPr>
          <w:rFonts w:ascii="Courier New" w:hAnsi="Courier New" w:cs="Courier New"/>
          <w:lang w:eastAsia="de-DE"/>
        </w:rPr>
        <w:t>à 40 jours.</w:t>
      </w:r>
    </w:p>
    <w:p w14:paraId="75D052B4"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2523DDF" w14:textId="5401AB51"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Par inhalation</w:t>
      </w:r>
    </w:p>
    <w:p w14:paraId="481C610A" w14:textId="5F1619D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3C38BFC" w14:textId="102F34C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Des rats femelles toléraient une exposition journalière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heure, par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inhalation, à 0,163 mg/l de fenthion pendant 30 jours, qui provoquait un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effet anticholinestérasique mais aucun décès. À 0,415 mg/l, tous les </w:t>
      </w:r>
      <w:r w:rsidRPr="008E1FA7">
        <w:rPr>
          <w:rFonts w:ascii="Courier New" w:hAnsi="Courier New" w:cs="Courier New"/>
          <w:lang w:eastAsia="de-DE"/>
        </w:rPr>
        <w:br/>
        <w:t xml:space="preserve">    </w:t>
      </w:r>
      <w:r w:rsidR="00371363" w:rsidRPr="008E1FA7">
        <w:rPr>
          <w:rFonts w:ascii="Courier New" w:hAnsi="Courier New" w:cs="Courier New"/>
          <w:lang w:eastAsia="de-DE"/>
        </w:rPr>
        <w:t>animaux décédaient dans un délai de 10 jours.</w:t>
      </w:r>
    </w:p>
    <w:p w14:paraId="7FDE03BB" w14:textId="35DD2BC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3421E30" w14:textId="00E65F9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Par voie cutanée</w:t>
      </w:r>
    </w:p>
    <w:p w14:paraId="1A8CD7A7" w14:textId="20EF0BD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839EEB3" w14:textId="08CC5A8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administration de doses de 14,5 et 25 mg/kg de fenthion par voie cutanée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pendant 60 jours chez le rat entraînait un taux de mortalité de 40 % au </w:t>
      </w:r>
      <w:r w:rsidRPr="008E1FA7">
        <w:rPr>
          <w:rFonts w:ascii="Courier New" w:hAnsi="Courier New" w:cs="Courier New"/>
          <w:lang w:eastAsia="de-DE"/>
        </w:rPr>
        <w:br/>
        <w:t xml:space="preserve">    </w:t>
      </w:r>
      <w:r w:rsidR="00371363" w:rsidRPr="008E1FA7">
        <w:rPr>
          <w:rFonts w:ascii="Courier New" w:hAnsi="Courier New" w:cs="Courier New"/>
          <w:lang w:eastAsia="de-DE"/>
        </w:rPr>
        <w:t>sein du groupe ayant reçu la dose la plus élevée.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activité de la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cholinestérase sanguine chutait à 20 % du niveau normal au sein du groupe </w:t>
      </w:r>
      <w:r w:rsidRPr="008E1FA7">
        <w:rPr>
          <w:rFonts w:ascii="Courier New" w:hAnsi="Courier New" w:cs="Courier New"/>
          <w:lang w:eastAsia="de-DE"/>
        </w:rPr>
        <w:br/>
        <w:t xml:space="preserve">    </w:t>
      </w:r>
      <w:r w:rsidR="00371363" w:rsidRPr="008E1FA7">
        <w:rPr>
          <w:rFonts w:ascii="Courier New" w:hAnsi="Courier New" w:cs="Courier New"/>
          <w:lang w:eastAsia="de-DE"/>
        </w:rPr>
        <w:t>ayant reçu la dose la plus faible. On a déterminé une DL</w:t>
      </w:r>
      <w:r w:rsidR="00371363" w:rsidRPr="008E1FA7">
        <w:rPr>
          <w:rFonts w:ascii="Courier New" w:hAnsi="Courier New" w:cs="Courier New"/>
          <w:vertAlign w:val="subscript"/>
          <w:lang w:eastAsia="de-DE"/>
        </w:rPr>
        <w:t>50</w:t>
      </w:r>
      <w:r w:rsidR="00371363" w:rsidRPr="008E1FA7">
        <w:rPr>
          <w:rFonts w:ascii="Courier New" w:hAnsi="Courier New" w:cs="Courier New"/>
          <w:lang w:eastAsia="de-DE"/>
        </w:rPr>
        <w:t xml:space="preserve"> pour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exposition par voie cutanée pendant cinq jours égale à 73 mg/kg/jour chez </w:t>
      </w:r>
      <w:r w:rsidRPr="008E1FA7">
        <w:rPr>
          <w:rFonts w:ascii="Courier New" w:hAnsi="Courier New" w:cs="Courier New"/>
          <w:lang w:eastAsia="de-DE"/>
        </w:rPr>
        <w:br/>
        <w:t xml:space="preserve">    </w:t>
      </w:r>
      <w:r w:rsidR="00371363" w:rsidRPr="008E1FA7">
        <w:rPr>
          <w:rFonts w:ascii="Courier New" w:hAnsi="Courier New" w:cs="Courier New"/>
          <w:lang w:eastAsia="de-DE"/>
        </w:rPr>
        <w:t>le rat (dose totale égale à 365 mg/kg).</w:t>
      </w:r>
    </w:p>
    <w:p w14:paraId="51870904" w14:textId="7DAC64A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471BCF0" w14:textId="599EAC5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Bioaccumulation des composés</w:t>
      </w:r>
    </w:p>
    <w:p w14:paraId="5A6A1EE6" w14:textId="3745824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43043FC" w14:textId="73E652E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 fenthion n</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est pas sujet à la bioaccumulation. Cependant, le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rétablissement des taux de cholinestérase est lent après inhibition par ce </w:t>
      </w:r>
      <w:r w:rsidRPr="008E1FA7">
        <w:rPr>
          <w:rFonts w:ascii="Courier New" w:hAnsi="Courier New" w:cs="Courier New"/>
          <w:lang w:eastAsia="de-DE"/>
        </w:rPr>
        <w:br/>
        <w:t xml:space="preserve">    </w:t>
      </w:r>
      <w:r w:rsidR="00371363" w:rsidRPr="008E1FA7">
        <w:rPr>
          <w:rFonts w:ascii="Courier New" w:hAnsi="Courier New" w:cs="Courier New"/>
          <w:lang w:eastAsia="de-DE"/>
        </w:rPr>
        <w:t>composé.</w:t>
      </w:r>
    </w:p>
    <w:p w14:paraId="0DE18102"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42619CF" w14:textId="1F1EE0CD"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u w:val="single"/>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Effets cumulatifs</w:t>
      </w:r>
    </w:p>
    <w:p w14:paraId="14B8DAA4" w14:textId="7EA2DF5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BE7A850" w14:textId="611C3D81"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exposition répétée au fenthion peut induire des effets cumulatifs sur la </w:t>
      </w:r>
    </w:p>
    <w:p w14:paraId="12A88126" w14:textId="3130FA8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cholinestérase.</w:t>
      </w:r>
    </w:p>
    <w:p w14:paraId="656F51CA" w14:textId="3F08C5D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AA19B0E" w14:textId="4E9BBCE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45" w:name=":2.1.5__Toxicity,_repeated_doses"/>
      <w:bookmarkStart w:id="46" w:name="SubSectionTitle:2.1.6__Dietary_studies"/>
      <w:bookmarkEnd w:id="45"/>
      <w:bookmarkEnd w:id="46"/>
      <w:r w:rsidRPr="008E1FA7">
        <w:rPr>
          <w:rFonts w:ascii="Courier New" w:hAnsi="Courier New" w:cs="Courier New"/>
          <w:lang w:eastAsia="de-DE"/>
        </w:rPr>
        <w:t xml:space="preserve">    </w:t>
      </w:r>
      <w:r w:rsidR="00371363" w:rsidRPr="008E1FA7">
        <w:rPr>
          <w:rFonts w:ascii="Courier New" w:hAnsi="Courier New" w:cs="Courier New"/>
          <w:lang w:eastAsia="de-DE"/>
        </w:rPr>
        <w:t>2.1.6  Études alimentaires</w:t>
      </w:r>
    </w:p>
    <w:p w14:paraId="24C65EC6" w14:textId="47AAA8E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92EA0FA" w14:textId="791FA97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À court terme</w:t>
      </w:r>
    </w:p>
    <w:p w14:paraId="3CE288DD" w14:textId="4EB4655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9A94B4B" w14:textId="42BC36F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Des doses alimentaires de fenthion égales à 0,25, 0,50, 2,5 et 5,0 mg/kg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ont été administrées pendant trois mois à des rats des deux sexes. On </w:t>
      </w:r>
      <w:r w:rsidRPr="008E1FA7">
        <w:rPr>
          <w:rFonts w:ascii="Courier New" w:hAnsi="Courier New" w:cs="Courier New"/>
          <w:lang w:eastAsia="de-DE"/>
        </w:rPr>
        <w:br/>
        <w:t xml:space="preserve">    </w:t>
      </w:r>
      <w:r w:rsidR="00371363" w:rsidRPr="008E1FA7">
        <w:rPr>
          <w:rFonts w:ascii="Courier New" w:hAnsi="Courier New" w:cs="Courier New"/>
          <w:lang w:eastAsia="de-DE"/>
        </w:rPr>
        <w:t>observait une réduction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activité de la cholinestérase érythrocytaire à </w:t>
      </w:r>
      <w:r w:rsidRPr="008E1FA7">
        <w:rPr>
          <w:rFonts w:ascii="Courier New" w:hAnsi="Courier New" w:cs="Courier New"/>
          <w:lang w:eastAsia="de-DE"/>
        </w:rPr>
        <w:br/>
        <w:t xml:space="preserve">    </w:t>
      </w:r>
      <w:r w:rsidR="00371363" w:rsidRPr="008E1FA7">
        <w:rPr>
          <w:rFonts w:ascii="Courier New" w:hAnsi="Courier New" w:cs="Courier New"/>
          <w:lang w:eastAsia="de-DE"/>
        </w:rPr>
        <w:t>toutes ces doses. À la dose la plus faible, soit 0,25 mg/kg,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inhibition </w:t>
      </w:r>
      <w:r w:rsidRPr="008E1FA7">
        <w:rPr>
          <w:rFonts w:ascii="Courier New" w:hAnsi="Courier New" w:cs="Courier New"/>
          <w:lang w:eastAsia="de-DE"/>
        </w:rPr>
        <w:br/>
        <w:t xml:space="preserve">    </w:t>
      </w:r>
      <w:r w:rsidR="00371363" w:rsidRPr="008E1FA7">
        <w:rPr>
          <w:rFonts w:ascii="Courier New" w:hAnsi="Courier New" w:cs="Courier New"/>
          <w:lang w:eastAsia="de-DE"/>
        </w:rPr>
        <w:t>s</w:t>
      </w:r>
      <w:r w:rsidR="001503DA" w:rsidRPr="008E1FA7">
        <w:rPr>
          <w:rFonts w:ascii="Courier New" w:hAnsi="Courier New" w:cs="Courier New"/>
          <w:lang w:eastAsia="de-DE"/>
        </w:rPr>
        <w:t>’</w:t>
      </w:r>
      <w:r w:rsidR="00371363" w:rsidRPr="008E1FA7">
        <w:rPr>
          <w:rFonts w:ascii="Courier New" w:hAnsi="Courier New" w:cs="Courier New"/>
          <w:lang w:eastAsia="de-DE"/>
        </w:rPr>
        <w:t>élevait à environ 10-20 % et n</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évoluait pas dans le temps. On constatait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des décès chez les femelles à 5,0 mg/kg, les animaux décédés présentant des </w:t>
      </w:r>
      <w:r w:rsidRPr="008E1FA7">
        <w:rPr>
          <w:rFonts w:ascii="Courier New" w:hAnsi="Courier New" w:cs="Courier New"/>
          <w:lang w:eastAsia="de-DE"/>
        </w:rPr>
        <w:br/>
        <w:t xml:space="preserve">    </w:t>
      </w:r>
      <w:r w:rsidR="00371363" w:rsidRPr="008E1FA7">
        <w:rPr>
          <w:rFonts w:ascii="Courier New" w:hAnsi="Courier New" w:cs="Courier New"/>
          <w:lang w:eastAsia="de-DE"/>
        </w:rPr>
        <w:t>signes d</w:t>
      </w:r>
      <w:r w:rsidR="001503DA" w:rsidRPr="008E1FA7">
        <w:rPr>
          <w:rFonts w:ascii="Courier New" w:hAnsi="Courier New" w:cs="Courier New"/>
          <w:lang w:eastAsia="de-DE"/>
        </w:rPr>
        <w:t>’</w:t>
      </w:r>
      <w:r w:rsidR="00371363" w:rsidRPr="008E1FA7">
        <w:rPr>
          <w:rFonts w:ascii="Courier New" w:hAnsi="Courier New" w:cs="Courier New"/>
          <w:lang w:eastAsia="de-DE"/>
        </w:rPr>
        <w:t>effets muscariniques et nicotiniques.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examen histologique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montrait une diminution de la spermatogénèse dans les testicules et une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atrophie des glandes prostatiques aux doses alimentaires les plus élevées, </w:t>
      </w:r>
      <w:r w:rsidRPr="008E1FA7">
        <w:rPr>
          <w:rFonts w:ascii="Courier New" w:hAnsi="Courier New" w:cs="Courier New"/>
          <w:lang w:eastAsia="de-DE"/>
        </w:rPr>
        <w:br/>
        <w:t xml:space="preserve">    </w:t>
      </w:r>
      <w:r w:rsidR="00371363" w:rsidRPr="008E1FA7">
        <w:rPr>
          <w:rFonts w:ascii="Courier New" w:hAnsi="Courier New" w:cs="Courier New"/>
          <w:lang w:eastAsia="de-DE"/>
        </w:rPr>
        <w:t>soit 2,5 et 5,0 mg/kg.</w:t>
      </w:r>
    </w:p>
    <w:p w14:paraId="4EBA6140" w14:textId="4D52F0D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F31A865" w14:textId="01EE16B7" w:rsidR="00371363" w:rsidRPr="008E1FA7" w:rsidRDefault="003422E8" w:rsidP="00E6327D">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À long terme</w:t>
      </w:r>
    </w:p>
    <w:p w14:paraId="0F1603DC" w14:textId="25EA1D35" w:rsidR="00371363" w:rsidRPr="008E1FA7" w:rsidRDefault="003422E8" w:rsidP="00E6327D">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874CAA4" w14:textId="632E5AC4" w:rsidR="00371363" w:rsidRPr="008E1FA7" w:rsidRDefault="003422E8" w:rsidP="00E6327D">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Des doses alimentaires de 2, 3, 5, 25 et 100 ppm de fenthion ont été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administrées pendant un an à six groupes composés de 25 rats mâles et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25 rats femelles. Chez les mâles, la survie était légèrement réduite à la </w:t>
      </w:r>
      <w:r w:rsidRPr="008E1FA7">
        <w:rPr>
          <w:rFonts w:ascii="Courier New" w:hAnsi="Courier New" w:cs="Courier New"/>
          <w:lang w:eastAsia="de-DE"/>
        </w:rPr>
        <w:br/>
        <w:t xml:space="preserve">    </w:t>
      </w:r>
      <w:r w:rsidR="00371363" w:rsidRPr="008E1FA7">
        <w:rPr>
          <w:rFonts w:ascii="Courier New" w:hAnsi="Courier New" w:cs="Courier New"/>
          <w:lang w:eastAsia="de-DE"/>
        </w:rPr>
        <w:t>dose de 25 ppm et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activité de la cholinestérase diminuait aux doses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supérieures ou égales à 5 ppm; seuls les animaux ayant reçu les doses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2 ppm et 3 ppm ne présentaient aucun effet enzymatique nocif. On constatait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une </w:t>
      </w:r>
      <w:proofErr w:type="spellStart"/>
      <w:r w:rsidR="00371363" w:rsidRPr="008E1FA7">
        <w:rPr>
          <w:rFonts w:ascii="Courier New" w:hAnsi="Courier New" w:cs="Courier New"/>
          <w:lang w:eastAsia="de-DE"/>
        </w:rPr>
        <w:t>hémosidérose</w:t>
      </w:r>
      <w:proofErr w:type="spellEnd"/>
      <w:r w:rsidR="00371363" w:rsidRPr="008E1FA7">
        <w:rPr>
          <w:rFonts w:ascii="Courier New" w:hAnsi="Courier New" w:cs="Courier New"/>
          <w:lang w:eastAsia="de-DE"/>
        </w:rPr>
        <w:t xml:space="preserve"> dans la rate des animaux à la dose de 100 ppm.</w:t>
      </w:r>
      <w:r w:rsidRPr="008E1FA7">
        <w:rPr>
          <w:rFonts w:ascii="Courier New" w:hAnsi="Courier New" w:cs="Courier New"/>
          <w:lang w:eastAsia="de-DE"/>
        </w:rPr>
        <w:br/>
        <w:t xml:space="preserve">    </w:t>
      </w:r>
    </w:p>
    <w:p w14:paraId="538EC06E" w14:textId="0A87A0B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47" w:name=":2.1.6__Dietary_studies"/>
      <w:bookmarkStart w:id="48" w:name="SubSectionTitle:2.1.7__Supplementary_stu"/>
      <w:bookmarkEnd w:id="47"/>
      <w:bookmarkEnd w:id="48"/>
      <w:r w:rsidRPr="008E1FA7">
        <w:rPr>
          <w:rFonts w:ascii="Courier New" w:hAnsi="Courier New" w:cs="Courier New"/>
          <w:lang w:eastAsia="de-DE"/>
        </w:rPr>
        <w:t xml:space="preserve">    </w:t>
      </w:r>
      <w:r w:rsidR="00371363" w:rsidRPr="008E1FA7">
        <w:rPr>
          <w:rFonts w:ascii="Courier New" w:hAnsi="Courier New" w:cs="Courier New"/>
          <w:lang w:eastAsia="de-DE"/>
        </w:rPr>
        <w:t>2.1.7  Études de toxicité supplémentaires</w:t>
      </w:r>
    </w:p>
    <w:p w14:paraId="78F80AD2" w14:textId="5EC412D9"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0E9ACC2" w14:textId="230103B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Carcinogénicité</w:t>
      </w:r>
    </w:p>
    <w:p w14:paraId="6F953822" w14:textId="2313F2B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A977041" w14:textId="4F530ED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Aucune information disponible.</w:t>
      </w:r>
    </w:p>
    <w:p w14:paraId="49E33291"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BAFFAAD" w14:textId="2C17B1B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Tératogénicité</w:t>
      </w:r>
    </w:p>
    <w:p w14:paraId="326E185E"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5C9475C" w14:textId="2CA2E7EA"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On ne constatait aucun effet nocif pour la reproduction dans une étude sur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trois générations de rats, à raison de deux portées par génération, aux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doses de 3,15 et 75 ppm. Seule une légère diminution du poids corporel </w:t>
      </w:r>
      <w:r w:rsidRPr="008E1FA7">
        <w:rPr>
          <w:rFonts w:ascii="Courier New" w:hAnsi="Courier New" w:cs="Courier New"/>
          <w:lang w:eastAsia="de-DE"/>
        </w:rPr>
        <w:br/>
        <w:t xml:space="preserve">    </w:t>
      </w:r>
      <w:r w:rsidR="00371363" w:rsidRPr="008E1FA7">
        <w:rPr>
          <w:rFonts w:ascii="Courier New" w:hAnsi="Courier New" w:cs="Courier New"/>
          <w:lang w:eastAsia="de-DE"/>
        </w:rPr>
        <w:t>était observée à la dose alimentaire la plus élevée.</w:t>
      </w:r>
    </w:p>
    <w:p w14:paraId="62CAE584"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DE9A866" w14:textId="1CD3EE25"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Neurotoxicité</w:t>
      </w:r>
    </w:p>
    <w:p w14:paraId="07EE4785" w14:textId="0963B83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B3A7389" w14:textId="46B2FB12"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On n</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observait aucun trouble neurologique chez la poule, après </w:t>
      </w:r>
      <w:r w:rsidRPr="008E1FA7">
        <w:rPr>
          <w:rFonts w:ascii="Courier New" w:hAnsi="Courier New" w:cs="Courier New"/>
          <w:lang w:eastAsia="de-DE"/>
        </w:rPr>
        <w:br/>
        <w:t xml:space="preserve">    </w:t>
      </w:r>
      <w:r w:rsidR="00371363" w:rsidRPr="008E1FA7">
        <w:rPr>
          <w:rFonts w:ascii="Courier New" w:hAnsi="Courier New" w:cs="Courier New"/>
          <w:lang w:eastAsia="de-DE"/>
        </w:rPr>
        <w:t>administration de fenthion à raison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dose alimentaire unique de </w:t>
      </w:r>
      <w:r w:rsidRPr="008E1FA7">
        <w:rPr>
          <w:rFonts w:ascii="Courier New" w:hAnsi="Courier New" w:cs="Courier New"/>
          <w:lang w:eastAsia="de-DE"/>
        </w:rPr>
        <w:br/>
        <w:t xml:space="preserve">    </w:t>
      </w:r>
      <w:r w:rsidR="00371363" w:rsidRPr="008E1FA7">
        <w:rPr>
          <w:rFonts w:ascii="Courier New" w:hAnsi="Courier New" w:cs="Courier New"/>
          <w:lang w:eastAsia="de-DE"/>
        </w:rPr>
        <w:t>25 mg/kg et jusqu</w:t>
      </w:r>
      <w:r w:rsidR="001503DA" w:rsidRPr="008E1FA7">
        <w:rPr>
          <w:rFonts w:ascii="Courier New" w:hAnsi="Courier New" w:cs="Courier New"/>
          <w:lang w:eastAsia="de-DE"/>
        </w:rPr>
        <w:t>’</w:t>
      </w:r>
      <w:r w:rsidR="00371363" w:rsidRPr="008E1FA7">
        <w:rPr>
          <w:rFonts w:ascii="Courier New" w:hAnsi="Courier New" w:cs="Courier New"/>
          <w:lang w:eastAsia="de-DE"/>
        </w:rPr>
        <w:t>à 100 ppm pendant 30 jours.</w:t>
      </w:r>
    </w:p>
    <w:p w14:paraId="6A596F57"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49" w:name=":2.1.7__Supplementary_studies_of_toxicit"/>
      <w:bookmarkStart w:id="50" w:name="SubSectionTitle:2.1.8__Modifications_of_"/>
      <w:bookmarkEnd w:id="49"/>
      <w:bookmarkEnd w:id="50"/>
    </w:p>
    <w:p w14:paraId="003C116D" w14:textId="041154CC"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2.1.8  Modifications de la toxicité</w:t>
      </w:r>
    </w:p>
    <w:p w14:paraId="0B9A473D"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83B6482" w14:textId="3594CC28"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potentialise la toxicité intrapéritonéale aiguë du malathion,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du dioxathion et du </w:t>
      </w:r>
      <w:proofErr w:type="spellStart"/>
      <w:r w:rsidR="00371363" w:rsidRPr="008E1FA7">
        <w:rPr>
          <w:rFonts w:ascii="Courier New" w:hAnsi="Courier New" w:cs="Courier New"/>
          <w:lang w:eastAsia="de-DE"/>
        </w:rPr>
        <w:t>coumaphos</w:t>
      </w:r>
      <w:proofErr w:type="spellEnd"/>
      <w:r w:rsidR="00371363" w:rsidRPr="008E1FA7">
        <w:rPr>
          <w:rFonts w:ascii="Courier New" w:hAnsi="Courier New" w:cs="Courier New"/>
          <w:lang w:eastAsia="de-DE"/>
        </w:rPr>
        <w:t xml:space="preserve"> chez le rat.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effet de potentialisation le </w:t>
      </w:r>
      <w:r w:rsidRPr="008E1FA7">
        <w:rPr>
          <w:rFonts w:ascii="Courier New" w:hAnsi="Courier New" w:cs="Courier New"/>
          <w:lang w:eastAsia="de-DE"/>
        </w:rPr>
        <w:br/>
        <w:t xml:space="preserve">    </w:t>
      </w:r>
      <w:r w:rsidR="00371363" w:rsidRPr="008E1FA7">
        <w:rPr>
          <w:rFonts w:ascii="Courier New" w:hAnsi="Courier New" w:cs="Courier New"/>
          <w:lang w:eastAsia="de-DE"/>
        </w:rPr>
        <w:t>plus élevé – d</w:t>
      </w:r>
      <w:r w:rsidR="001503DA" w:rsidRPr="008E1FA7">
        <w:rPr>
          <w:rFonts w:ascii="Courier New" w:hAnsi="Courier New" w:cs="Courier New"/>
          <w:lang w:eastAsia="de-DE"/>
        </w:rPr>
        <w:t>’</w:t>
      </w:r>
      <w:r w:rsidR="00371363" w:rsidRPr="008E1FA7">
        <w:rPr>
          <w:rFonts w:ascii="Courier New" w:hAnsi="Courier New" w:cs="Courier New"/>
          <w:lang w:eastAsia="de-DE"/>
        </w:rPr>
        <w:t>un facteur de presque trois –</w:t>
      </w:r>
      <w:r w:rsidR="00371363" w:rsidRPr="008E1FA7">
        <w:t xml:space="preserve"> </w:t>
      </w:r>
      <w:r w:rsidR="00371363" w:rsidRPr="008E1FA7">
        <w:rPr>
          <w:rFonts w:ascii="Courier New" w:hAnsi="Courier New" w:cs="Courier New"/>
          <w:lang w:eastAsia="de-DE"/>
        </w:rPr>
        <w:t xml:space="preserve">était obtenu avec le </w:t>
      </w:r>
      <w:r w:rsidRPr="008E1FA7">
        <w:rPr>
          <w:rFonts w:ascii="Courier New" w:hAnsi="Courier New" w:cs="Courier New"/>
          <w:lang w:eastAsia="de-DE"/>
        </w:rPr>
        <w:br/>
        <w:t xml:space="preserve">    </w:t>
      </w:r>
      <w:proofErr w:type="spellStart"/>
      <w:r w:rsidR="00371363" w:rsidRPr="008E1FA7">
        <w:rPr>
          <w:rFonts w:ascii="Courier New" w:hAnsi="Courier New" w:cs="Courier New"/>
          <w:lang w:eastAsia="de-DE"/>
        </w:rPr>
        <w:t>coumaphos</w:t>
      </w:r>
      <w:proofErr w:type="spellEnd"/>
      <w:r w:rsidR="00371363" w:rsidRPr="008E1FA7">
        <w:rPr>
          <w:rFonts w:ascii="Courier New" w:hAnsi="Courier New" w:cs="Courier New"/>
          <w:lang w:eastAsia="de-DE"/>
        </w:rPr>
        <w:t>. En outre,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association de fenthion et de </w:t>
      </w:r>
      <w:proofErr w:type="spellStart"/>
      <w:r w:rsidR="00371363" w:rsidRPr="008E1FA7">
        <w:rPr>
          <w:rFonts w:ascii="Courier New" w:hAnsi="Courier New" w:cs="Courier New"/>
          <w:lang w:eastAsia="de-DE"/>
        </w:rPr>
        <w:t>coumaphos</w:t>
      </w:r>
      <w:proofErr w:type="spellEnd"/>
      <w:r w:rsidR="00371363" w:rsidRPr="008E1FA7">
        <w:rPr>
          <w:rFonts w:ascii="Courier New" w:hAnsi="Courier New" w:cs="Courier New"/>
          <w:lang w:eastAsia="de-DE"/>
        </w:rPr>
        <w:t xml:space="preserve"> dans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alimentation potentialisait la réduction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activité de la </w:t>
      </w:r>
      <w:r w:rsidRPr="008E1FA7">
        <w:rPr>
          <w:rFonts w:ascii="Courier New" w:hAnsi="Courier New" w:cs="Courier New"/>
          <w:lang w:eastAsia="de-DE"/>
        </w:rPr>
        <w:br/>
        <w:t xml:space="preserve">    </w:t>
      </w:r>
      <w:r w:rsidR="00371363" w:rsidRPr="008E1FA7">
        <w:rPr>
          <w:rFonts w:ascii="Courier New" w:hAnsi="Courier New" w:cs="Courier New"/>
          <w:lang w:eastAsia="de-DE"/>
        </w:rPr>
        <w:t>cholinestérase chez le chien.</w:t>
      </w:r>
    </w:p>
    <w:p w14:paraId="198BBECC" w14:textId="3316F96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1235D6C" w14:textId="1369DA4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51" w:name=":2.1.8__Modifications_of_toxicity"/>
      <w:bookmarkStart w:id="52" w:name="EndSectionTitle:2.1__TOXICOLOGY-MAMMALS"/>
      <w:bookmarkStart w:id="53" w:name="SectionTitle:2.2__TOXICOLOGY-MAN"/>
      <w:bookmarkEnd w:id="51"/>
      <w:bookmarkEnd w:id="52"/>
      <w:bookmarkEnd w:id="53"/>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2.2  TOXICOLOGIE – ÊTRES HUMAINS</w:t>
      </w:r>
    </w:p>
    <w:p w14:paraId="64C3AC62" w14:textId="5EE6A52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1B915A0" w14:textId="515BF76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54" w:name="SubSectionTitle:2.2.1__Absorption"/>
      <w:bookmarkEnd w:id="54"/>
      <w:r w:rsidRPr="008E1FA7">
        <w:rPr>
          <w:rFonts w:ascii="Courier New" w:hAnsi="Courier New" w:cs="Courier New"/>
          <w:lang w:eastAsia="de-DE"/>
        </w:rPr>
        <w:t xml:space="preserve">    </w:t>
      </w:r>
      <w:r w:rsidR="00371363" w:rsidRPr="008E1FA7">
        <w:rPr>
          <w:rFonts w:ascii="Courier New" w:hAnsi="Courier New" w:cs="Courier New"/>
          <w:lang w:eastAsia="de-DE"/>
        </w:rPr>
        <w:t>2.2.1  Absorption</w:t>
      </w:r>
    </w:p>
    <w:p w14:paraId="347726AE"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8D697FB" w14:textId="2AFD6463"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ingestion constitue une cause importante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sévère liée à ce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composé. Le fenthion peut aussi être absorbé par contact avec la peau ou </w:t>
      </w:r>
      <w:r w:rsidRPr="008E1FA7">
        <w:rPr>
          <w:rFonts w:ascii="Courier New" w:hAnsi="Courier New" w:cs="Courier New"/>
          <w:lang w:eastAsia="de-DE"/>
        </w:rPr>
        <w:br/>
        <w:t xml:space="preserve">    </w:t>
      </w:r>
      <w:r w:rsidR="00371363" w:rsidRPr="008E1FA7">
        <w:rPr>
          <w:rFonts w:ascii="Courier New" w:hAnsi="Courier New" w:cs="Courier New"/>
          <w:lang w:eastAsia="de-DE"/>
        </w:rPr>
        <w:t>par inhalation de particules de poudres.</w:t>
      </w:r>
    </w:p>
    <w:p w14:paraId="7154EA3F"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Courier New" w:hAnsi="Courier New" w:cs="Courier New"/>
          <w:lang w:eastAsia="de-DE"/>
        </w:rPr>
      </w:pPr>
      <w:bookmarkStart w:id="55" w:name=":2.2.1__Absorption"/>
      <w:bookmarkStart w:id="56" w:name="SubSectionTitle:2.2.2__Dangerous_doses"/>
      <w:bookmarkEnd w:id="55"/>
      <w:bookmarkEnd w:id="56"/>
      <w:r w:rsidRPr="008E1FA7">
        <w:rPr>
          <w:rFonts w:ascii="Courier New" w:hAnsi="Courier New" w:cs="Courier New"/>
          <w:lang w:eastAsia="de-DE"/>
        </w:rPr>
        <w:t xml:space="preserve">    </w:t>
      </w:r>
    </w:p>
    <w:p w14:paraId="3B914AAE" w14:textId="61AB6C7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Courier New" w:hAnsi="Courier New" w:cs="Courier New"/>
          <w:lang w:eastAsia="de-DE"/>
        </w:rPr>
      </w:pPr>
      <w:bookmarkStart w:id="57" w:name="_Hlk70333346"/>
      <w:r w:rsidRPr="008E1FA7">
        <w:rPr>
          <w:rFonts w:ascii="Courier New" w:hAnsi="Courier New" w:cs="Courier New"/>
          <w:lang w:eastAsia="de-DE"/>
        </w:rPr>
        <w:t xml:space="preserve">    </w:t>
      </w:r>
      <w:bookmarkEnd w:id="57"/>
      <w:r w:rsidR="00371363" w:rsidRPr="008E1FA7">
        <w:rPr>
          <w:rFonts w:ascii="Courier New" w:hAnsi="Courier New" w:cs="Courier New"/>
          <w:lang w:eastAsia="de-DE"/>
        </w:rPr>
        <w:t>2.2.2  Doses dangereuses</w:t>
      </w:r>
    </w:p>
    <w:p w14:paraId="4FEACE86" w14:textId="22F38F8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E01D84C" w14:textId="5A6D6C8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Unique</w:t>
      </w:r>
      <w:r w:rsidR="00371363" w:rsidRPr="008E1FA7">
        <w:rPr>
          <w:rFonts w:ascii="Courier New" w:hAnsi="Courier New" w:cs="Courier New"/>
          <w:lang w:eastAsia="de-DE"/>
        </w:rPr>
        <w:t> : inconnue.</w:t>
      </w:r>
    </w:p>
    <w:p w14:paraId="27D3D1D9" w14:textId="32E9BB0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4263D97" w14:textId="4BB9E88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Répétées</w:t>
      </w:r>
      <w:r w:rsidR="00371363" w:rsidRPr="008E1FA7">
        <w:rPr>
          <w:rFonts w:ascii="Courier New" w:hAnsi="Courier New" w:cs="Courier New"/>
          <w:lang w:eastAsia="de-DE"/>
        </w:rPr>
        <w:t> : inconnues.</w:t>
      </w:r>
    </w:p>
    <w:p w14:paraId="4A156F78" w14:textId="361A076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3622F7A" w14:textId="1F9A4F5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58" w:name=":2.2.2__Dangerous_doses"/>
      <w:bookmarkStart w:id="59" w:name="SubSectionTitle:2.2.3__Observations_on_o"/>
      <w:bookmarkEnd w:id="58"/>
      <w:bookmarkEnd w:id="59"/>
      <w:r w:rsidRPr="008E1FA7">
        <w:rPr>
          <w:rFonts w:ascii="Courier New" w:hAnsi="Courier New" w:cs="Courier New"/>
          <w:lang w:eastAsia="de-DE"/>
        </w:rPr>
        <w:t xml:space="preserve">    </w:t>
      </w:r>
      <w:r w:rsidR="00371363" w:rsidRPr="008E1FA7">
        <w:rPr>
          <w:rFonts w:ascii="Courier New" w:hAnsi="Courier New" w:cs="Courier New"/>
          <w:lang w:eastAsia="de-DE"/>
        </w:rPr>
        <w:t>2.2.3  Observation de travailleurs exposés sur leur lieu de travail</w:t>
      </w:r>
    </w:p>
    <w:p w14:paraId="58C42FD7" w14:textId="7DE25F1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96C20BF" w14:textId="18EAFCA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rPr>
      </w:pPr>
      <w:r w:rsidRPr="008E1FA7">
        <w:rPr>
          <w:rFonts w:ascii="Courier New" w:hAnsi="Courier New" w:cs="Courier New"/>
          <w:lang w:eastAsia="de-DE"/>
        </w:rPr>
        <w:t xml:space="preserve">    </w:t>
      </w:r>
      <w:r w:rsidR="00371363" w:rsidRPr="008E1FA7">
        <w:rPr>
          <w:rFonts w:ascii="Courier New" w:hAnsi="Courier New" w:cs="Courier New"/>
        </w:rPr>
        <w:t xml:space="preserve">Le fenthion a été largement employé dans de nombreuses régions du monde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dans le cadre de la lutte contre les ravageurs et les moustiques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domestiques. Sur vingt-huit opérateurs ayant procédé à la pulvérisation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intérieure à effets rémanents de fenthion pendant 15 jours, lors d</w:t>
      </w:r>
      <w:r w:rsidR="001503DA" w:rsidRPr="008E1FA7">
        <w:rPr>
          <w:rFonts w:ascii="Courier New" w:hAnsi="Courier New" w:cs="Courier New"/>
        </w:rPr>
        <w:t>’</w:t>
      </w:r>
      <w:r w:rsidR="00371363" w:rsidRPr="008E1FA7">
        <w:rPr>
          <w:rFonts w:ascii="Courier New" w:hAnsi="Courier New" w:cs="Courier New"/>
        </w:rPr>
        <w:t xml:space="preserve">un essai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opérationnel de lutte contre le paludisme, sans prendre les précautions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adéquates, vingt-sept présentaient des signes d</w:t>
      </w:r>
      <w:r w:rsidR="001503DA" w:rsidRPr="008E1FA7">
        <w:rPr>
          <w:rFonts w:ascii="Courier New" w:hAnsi="Courier New" w:cs="Courier New"/>
        </w:rPr>
        <w:t>’</w:t>
      </w:r>
      <w:r w:rsidR="00371363" w:rsidRPr="008E1FA7">
        <w:rPr>
          <w:rFonts w:ascii="Courier New" w:hAnsi="Courier New" w:cs="Courier New"/>
        </w:rPr>
        <w:t xml:space="preserve">intoxication de degrés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divers, notamment, des maux de têtes, des vertiges, des troubles de la vue,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des douleurs musculaires et abdominales, des crampes, des diarrhées et des </w:t>
      </w:r>
      <w:r w:rsidRPr="008E1FA7">
        <w:rPr>
          <w:rFonts w:ascii="Courier New" w:hAnsi="Courier New" w:cs="Courier New"/>
          <w:lang w:eastAsia="de-DE"/>
        </w:rPr>
        <w:t xml:space="preserve">    </w:t>
      </w:r>
      <w:r w:rsidRPr="008E1FA7">
        <w:rPr>
          <w:rFonts w:ascii="Courier New" w:hAnsi="Courier New" w:cs="Courier New"/>
          <w:lang w:eastAsia="de-DE"/>
        </w:rPr>
        <w:br/>
        <w:t xml:space="preserve">    </w:t>
      </w:r>
      <w:r w:rsidR="00371363" w:rsidRPr="008E1FA7">
        <w:rPr>
          <w:rFonts w:ascii="Courier New" w:hAnsi="Courier New" w:cs="Courier New"/>
        </w:rPr>
        <w:t xml:space="preserve">vomissements prolongés. On observait une diminution très sévère de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l</w:t>
      </w:r>
      <w:r w:rsidR="001503DA" w:rsidRPr="008E1FA7">
        <w:rPr>
          <w:rFonts w:ascii="Courier New" w:hAnsi="Courier New" w:cs="Courier New"/>
        </w:rPr>
        <w:t>’</w:t>
      </w:r>
      <w:r w:rsidR="00371363" w:rsidRPr="008E1FA7">
        <w:rPr>
          <w:rFonts w:ascii="Courier New" w:hAnsi="Courier New" w:cs="Courier New"/>
        </w:rPr>
        <w:t xml:space="preserve">activité de la cholinestérase sanguine, qui persistait un mois après la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fin de la pulvérisation. Cependant, lors d</w:t>
      </w:r>
      <w:r w:rsidR="001503DA" w:rsidRPr="008E1FA7">
        <w:rPr>
          <w:rFonts w:ascii="Courier New" w:hAnsi="Courier New" w:cs="Courier New"/>
        </w:rPr>
        <w:t>’</w:t>
      </w:r>
      <w:r w:rsidR="00371363" w:rsidRPr="008E1FA7">
        <w:rPr>
          <w:rFonts w:ascii="Courier New" w:hAnsi="Courier New" w:cs="Courier New"/>
        </w:rPr>
        <w:t xml:space="preserve">une deuxième opération de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pulvérisation à plus faible échelle, où les précautions prises étaient plus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strictes, un seul des douze opérateurs présentait des symptômes légers.</w:t>
      </w:r>
    </w:p>
    <w:p w14:paraId="443130D4" w14:textId="26C653B2"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rPr>
        <w:t>Au cours d</w:t>
      </w:r>
      <w:r w:rsidR="001503DA" w:rsidRPr="008E1FA7">
        <w:rPr>
          <w:rFonts w:ascii="Courier New" w:hAnsi="Courier New" w:cs="Courier New"/>
        </w:rPr>
        <w:t>’</w:t>
      </w:r>
      <w:r w:rsidR="00371363" w:rsidRPr="008E1FA7">
        <w:rPr>
          <w:rFonts w:ascii="Courier New" w:hAnsi="Courier New" w:cs="Courier New"/>
        </w:rPr>
        <w:t>opérations d</w:t>
      </w:r>
      <w:r w:rsidR="001503DA" w:rsidRPr="008E1FA7">
        <w:rPr>
          <w:rFonts w:ascii="Courier New" w:hAnsi="Courier New" w:cs="Courier New"/>
        </w:rPr>
        <w:t>’</w:t>
      </w:r>
      <w:r w:rsidR="00371363" w:rsidRPr="008E1FA7">
        <w:rPr>
          <w:rFonts w:ascii="Courier New" w:hAnsi="Courier New" w:cs="Courier New"/>
        </w:rPr>
        <w:t>élimination de larves de moustiques, l</w:t>
      </w:r>
      <w:r w:rsidR="001503DA" w:rsidRPr="008E1FA7">
        <w:rPr>
          <w:rFonts w:ascii="Courier New" w:hAnsi="Courier New" w:cs="Courier New"/>
        </w:rPr>
        <w:t>’</w:t>
      </w:r>
      <w:r w:rsidR="00371363" w:rsidRPr="008E1FA7">
        <w:rPr>
          <w:rFonts w:ascii="Courier New" w:hAnsi="Courier New" w:cs="Courier New"/>
        </w:rPr>
        <w:t xml:space="preserve">exposition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cutanée s</w:t>
      </w:r>
      <w:r w:rsidR="001503DA" w:rsidRPr="008E1FA7">
        <w:rPr>
          <w:rFonts w:ascii="Courier New" w:hAnsi="Courier New" w:cs="Courier New"/>
        </w:rPr>
        <w:t>’</w:t>
      </w:r>
      <w:r w:rsidR="00371363" w:rsidRPr="008E1FA7">
        <w:rPr>
          <w:rFonts w:ascii="Courier New" w:hAnsi="Courier New" w:cs="Courier New"/>
        </w:rPr>
        <w:t>élevait en moyenne à 3,6 mg/h pour l</w:t>
      </w:r>
      <w:r w:rsidR="001503DA" w:rsidRPr="008E1FA7">
        <w:rPr>
          <w:rFonts w:ascii="Courier New" w:hAnsi="Courier New" w:cs="Courier New"/>
        </w:rPr>
        <w:t>’</w:t>
      </w:r>
      <w:r w:rsidR="00371363" w:rsidRPr="008E1FA7">
        <w:rPr>
          <w:rFonts w:ascii="Courier New" w:hAnsi="Courier New" w:cs="Courier New"/>
        </w:rPr>
        <w:t>application à l</w:t>
      </w:r>
      <w:r w:rsidR="001503DA" w:rsidRPr="008E1FA7">
        <w:rPr>
          <w:rFonts w:ascii="Courier New" w:hAnsi="Courier New" w:cs="Courier New"/>
        </w:rPr>
        <w:t>’</w:t>
      </w:r>
      <w:r w:rsidR="00371363" w:rsidRPr="008E1FA7">
        <w:rPr>
          <w:rFonts w:ascii="Courier New" w:hAnsi="Courier New" w:cs="Courier New"/>
        </w:rPr>
        <w:t xml:space="preserve">aide de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pulvérisateurs motorisés ou à main et à 12,3 mg/h pour l</w:t>
      </w:r>
      <w:r w:rsidR="001503DA" w:rsidRPr="008E1FA7">
        <w:rPr>
          <w:rFonts w:ascii="Courier New" w:hAnsi="Courier New" w:cs="Courier New"/>
        </w:rPr>
        <w:t>’</w:t>
      </w:r>
      <w:r w:rsidR="00371363" w:rsidRPr="008E1FA7">
        <w:rPr>
          <w:rFonts w:ascii="Courier New" w:hAnsi="Courier New" w:cs="Courier New"/>
        </w:rPr>
        <w:t xml:space="preserve">épandage manuel de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 xml:space="preserve">granulés. Certains opérateurs présentaient une légère baisse de la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cholinestérase plasmatique, mais pas de la cholinestérase érythrocytaire</w:t>
      </w:r>
      <w:r w:rsidR="00371363" w:rsidRPr="008E1FA7">
        <w:t>.</w:t>
      </w:r>
    </w:p>
    <w:p w14:paraId="4D8D4521"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60" w:name=":2.2.3__Observations_on_occuptionally_ex"/>
      <w:bookmarkStart w:id="61" w:name="SubSectionTitle:2.2.4__Observations_on_e"/>
      <w:bookmarkEnd w:id="60"/>
      <w:bookmarkEnd w:id="61"/>
    </w:p>
    <w:p w14:paraId="44F138B7" w14:textId="1F0DAEAB"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2.2.4  Observations sur l</w:t>
      </w:r>
      <w:r w:rsidR="001503DA" w:rsidRPr="008E1FA7">
        <w:rPr>
          <w:rFonts w:ascii="Courier New" w:hAnsi="Courier New" w:cs="Courier New"/>
          <w:lang w:eastAsia="de-DE"/>
        </w:rPr>
        <w:t>’</w:t>
      </w:r>
      <w:r w:rsidR="00371363" w:rsidRPr="008E1FA7">
        <w:rPr>
          <w:rFonts w:ascii="Courier New" w:hAnsi="Courier New" w:cs="Courier New"/>
          <w:lang w:eastAsia="de-DE"/>
        </w:rPr>
        <w:t>exposition de la population générale</w:t>
      </w:r>
    </w:p>
    <w:p w14:paraId="75198D62" w14:textId="3EDE0B7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051DEB0" w14:textId="676B52C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Aucune information disponible.</w:t>
      </w:r>
    </w:p>
    <w:p w14:paraId="5EAECE72"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62" w:name=":2.2.4__Observations_on_exposure_of_the_"/>
      <w:bookmarkStart w:id="63" w:name="SubSectionTitle:2.2.5__Observations_of_v"/>
      <w:bookmarkEnd w:id="62"/>
      <w:bookmarkEnd w:id="63"/>
    </w:p>
    <w:p w14:paraId="0F949574" w14:textId="7332C806"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2.2.5  Observations de volontaires</w:t>
      </w:r>
    </w:p>
    <w:p w14:paraId="5AE35551"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81317F5" w14:textId="5E4CEA2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Aucune information disponible.</w:t>
      </w:r>
    </w:p>
    <w:p w14:paraId="5F8ACB8C" w14:textId="47C0B3D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AAFA6E1" w14:textId="46BF08E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64" w:name=":2.2.5__Observations_of_volunteers"/>
      <w:bookmarkStart w:id="65" w:name="SubSectionTitle:2.2.6__Reported_mishaps"/>
      <w:bookmarkEnd w:id="64"/>
      <w:bookmarkEnd w:id="65"/>
      <w:r w:rsidRPr="008E1FA7">
        <w:rPr>
          <w:rFonts w:ascii="Courier New" w:hAnsi="Courier New" w:cs="Courier New"/>
          <w:lang w:eastAsia="de-DE"/>
        </w:rPr>
        <w:t xml:space="preserve">    </w:t>
      </w:r>
      <w:r w:rsidR="00371363" w:rsidRPr="008E1FA7">
        <w:rPr>
          <w:rFonts w:ascii="Courier New" w:hAnsi="Courier New" w:cs="Courier New"/>
          <w:lang w:eastAsia="de-DE"/>
        </w:rPr>
        <w:t>2.2.6  Incidents signalés</w:t>
      </w:r>
    </w:p>
    <w:p w14:paraId="6FA1EA97" w14:textId="29C4832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1B18F6E" w14:textId="09B0D771"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À l</w:t>
      </w:r>
      <w:r w:rsidR="001503DA" w:rsidRPr="008E1FA7">
        <w:rPr>
          <w:rFonts w:ascii="Courier New" w:hAnsi="Courier New" w:cs="Courier New"/>
          <w:lang w:eastAsia="de-DE"/>
        </w:rPr>
        <w:t>’</w:t>
      </w:r>
      <w:r w:rsidR="00371363" w:rsidRPr="008E1FA7">
        <w:rPr>
          <w:rFonts w:ascii="Courier New" w:hAnsi="Courier New" w:cs="Courier New"/>
          <w:lang w:eastAsia="de-DE"/>
        </w:rPr>
        <w:t>exception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incident lié à la </w:t>
      </w:r>
      <w:r w:rsidR="00371363" w:rsidRPr="008E1FA7">
        <w:rPr>
          <w:rFonts w:ascii="Courier New" w:hAnsi="Courier New" w:cs="Courier New"/>
        </w:rPr>
        <w:t xml:space="preserve">pulvérisation intérieure à effets </w:t>
      </w:r>
      <w:r w:rsidRPr="008E1FA7">
        <w:rPr>
          <w:rFonts w:ascii="Courier New" w:hAnsi="Courier New" w:cs="Courier New"/>
        </w:rPr>
        <w:br/>
      </w:r>
      <w:r w:rsidRPr="008E1FA7">
        <w:rPr>
          <w:rFonts w:ascii="Courier New" w:hAnsi="Courier New" w:cs="Courier New"/>
          <w:lang w:eastAsia="de-DE"/>
        </w:rPr>
        <w:t xml:space="preserve">    </w:t>
      </w:r>
      <w:r w:rsidR="00371363" w:rsidRPr="008E1FA7">
        <w:rPr>
          <w:rFonts w:ascii="Courier New" w:hAnsi="Courier New" w:cs="Courier New"/>
        </w:rPr>
        <w:t>rémanents</w:t>
      </w:r>
      <w:r w:rsidR="00371363" w:rsidRPr="008E1FA7">
        <w:rPr>
          <w:rFonts w:ascii="Courier New" w:hAnsi="Courier New" w:cs="Courier New"/>
          <w:lang w:eastAsia="de-DE"/>
        </w:rPr>
        <w:t xml:space="preserve"> de fenthion lors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 </w:t>
      </w:r>
      <w:r w:rsidR="00371363" w:rsidRPr="008E1FA7">
        <w:rPr>
          <w:rFonts w:ascii="Courier New" w:hAnsi="Courier New" w:cs="Courier New"/>
        </w:rPr>
        <w:t>essai</w:t>
      </w:r>
      <w:r w:rsidR="00371363" w:rsidRPr="008E1FA7">
        <w:rPr>
          <w:rFonts w:ascii="Courier New" w:hAnsi="Courier New" w:cs="Courier New"/>
          <w:lang w:eastAsia="de-DE"/>
        </w:rPr>
        <w:t xml:space="preserve">, la plupart des incidents </w:t>
      </w:r>
      <w:r w:rsidRPr="008E1FA7">
        <w:rPr>
          <w:rFonts w:ascii="Courier New" w:hAnsi="Courier New" w:cs="Courier New"/>
          <w:lang w:eastAsia="de-DE"/>
        </w:rPr>
        <w:br/>
        <w:t xml:space="preserve">    </w:t>
      </w:r>
      <w:r w:rsidR="00371363" w:rsidRPr="008E1FA7">
        <w:rPr>
          <w:rFonts w:ascii="Courier New" w:hAnsi="Courier New" w:cs="Courier New"/>
          <w:lang w:eastAsia="de-DE"/>
        </w:rPr>
        <w:t>concernaient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ingestion de fenthion. Dans tous ces cas, les victimes </w:t>
      </w:r>
      <w:r w:rsidRPr="008E1FA7">
        <w:rPr>
          <w:rFonts w:ascii="Courier New" w:hAnsi="Courier New" w:cs="Courier New"/>
          <w:lang w:eastAsia="de-DE"/>
        </w:rPr>
        <w:br/>
        <w:t xml:space="preserve">    </w:t>
      </w:r>
      <w:r w:rsidR="00371363" w:rsidRPr="008E1FA7">
        <w:rPr>
          <w:rFonts w:ascii="Courier New" w:hAnsi="Courier New" w:cs="Courier New"/>
          <w:lang w:eastAsia="de-DE"/>
        </w:rPr>
        <w:t>s</w:t>
      </w:r>
      <w:r w:rsidR="001503DA" w:rsidRPr="008E1FA7">
        <w:rPr>
          <w:rFonts w:ascii="Courier New" w:hAnsi="Courier New" w:cs="Courier New"/>
          <w:lang w:eastAsia="de-DE"/>
        </w:rPr>
        <w:t>’</w:t>
      </w:r>
      <w:r w:rsidR="00371363" w:rsidRPr="008E1FA7">
        <w:rPr>
          <w:rFonts w:ascii="Courier New" w:hAnsi="Courier New" w:cs="Courier New"/>
          <w:lang w:eastAsia="de-DE"/>
        </w:rPr>
        <w:t>étaient rétablies, bien qu</w:t>
      </w:r>
      <w:r w:rsidR="001503DA" w:rsidRPr="008E1FA7">
        <w:rPr>
          <w:rFonts w:ascii="Courier New" w:hAnsi="Courier New" w:cs="Courier New"/>
          <w:lang w:eastAsia="de-DE"/>
        </w:rPr>
        <w:t>’</w:t>
      </w:r>
      <w:r w:rsidR="00371363" w:rsidRPr="008E1FA7">
        <w:rPr>
          <w:rFonts w:ascii="Courier New" w:hAnsi="Courier New" w:cs="Courier New"/>
          <w:lang w:eastAsia="de-DE"/>
        </w:rPr>
        <w:t>ayant souffert d</w:t>
      </w:r>
      <w:r w:rsidR="001503DA" w:rsidRPr="008E1FA7">
        <w:rPr>
          <w:rFonts w:ascii="Courier New" w:hAnsi="Courier New" w:cs="Courier New"/>
          <w:lang w:eastAsia="de-DE"/>
        </w:rPr>
        <w:t>’</w:t>
      </w:r>
      <w:r w:rsidR="00371363" w:rsidRPr="008E1FA7">
        <w:rPr>
          <w:rFonts w:ascii="Courier New" w:hAnsi="Courier New" w:cs="Courier New"/>
          <w:lang w:eastAsia="de-DE"/>
        </w:rPr>
        <w:t>intoxication sévère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elles était comateuse et cyanosée à son arrivée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hôpital). Cependant, </w:t>
      </w:r>
      <w:r w:rsidRPr="008E1FA7">
        <w:rPr>
          <w:rFonts w:ascii="Courier New" w:hAnsi="Courier New" w:cs="Courier New"/>
          <w:lang w:eastAsia="de-DE"/>
        </w:rPr>
        <w:br/>
        <w:t xml:space="preserve">    </w:t>
      </w:r>
      <w:r w:rsidR="00371363" w:rsidRPr="008E1FA7">
        <w:rPr>
          <w:rFonts w:ascii="Courier New" w:hAnsi="Courier New" w:cs="Courier New"/>
          <w:lang w:eastAsia="de-DE"/>
        </w:rPr>
        <w:t>un traitement poussé reposant sur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administration de </w:t>
      </w:r>
      <w:proofErr w:type="spellStart"/>
      <w:r w:rsidR="00371363" w:rsidRPr="008E1FA7">
        <w:rPr>
          <w:rFonts w:ascii="Courier New" w:hAnsi="Courier New" w:cs="Courier New"/>
          <w:lang w:eastAsia="de-DE"/>
        </w:rPr>
        <w:t>pralidoxime</w:t>
      </w:r>
      <w:proofErr w:type="spellEnd"/>
      <w:r w:rsidR="00371363" w:rsidRPr="008E1FA7">
        <w:rPr>
          <w:rFonts w:ascii="Courier New" w:hAnsi="Courier New" w:cs="Courier New"/>
          <w:lang w:eastAsia="de-DE"/>
        </w:rPr>
        <w:t xml:space="preserve"> et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atropine et la mise en œuvre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respiration artificielle, ainsi que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une intubation endotrachéale dans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 des cas, a été nécessaire. Dans </w:t>
      </w:r>
      <w:r w:rsidRPr="008E1FA7">
        <w:rPr>
          <w:rFonts w:ascii="Courier New" w:hAnsi="Courier New" w:cs="Courier New"/>
          <w:lang w:eastAsia="de-DE"/>
        </w:rPr>
        <w:br/>
        <w:t xml:space="preserve">    </w:t>
      </w:r>
      <w:r w:rsidR="00371363" w:rsidRPr="008E1FA7">
        <w:rPr>
          <w:rFonts w:ascii="Courier New" w:hAnsi="Courier New" w:cs="Courier New"/>
          <w:lang w:eastAsia="de-DE"/>
        </w:rPr>
        <w:t>ces cas, les effets aigus étaient prolongés; dans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 des cas, le </w:t>
      </w:r>
      <w:r w:rsidRPr="008E1FA7">
        <w:rPr>
          <w:rFonts w:ascii="Courier New" w:hAnsi="Courier New" w:cs="Courier New"/>
          <w:lang w:eastAsia="de-DE"/>
        </w:rPr>
        <w:br/>
        <w:t xml:space="preserve">    </w:t>
      </w:r>
      <w:r w:rsidR="00371363" w:rsidRPr="008E1FA7">
        <w:rPr>
          <w:rFonts w:ascii="Courier New" w:hAnsi="Courier New" w:cs="Courier New"/>
          <w:lang w:eastAsia="de-DE"/>
        </w:rPr>
        <w:t>rétablissement a nécessité 30 jours.</w:t>
      </w:r>
    </w:p>
    <w:p w14:paraId="03D82A15" w14:textId="62BAB81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6D3272C" w14:textId="3036120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66" w:name=":2.2.6__Reported_mishaps"/>
      <w:bookmarkStart w:id="67" w:name="EndSectionTitle:2.2__TOXICOLOGY-MAN"/>
      <w:bookmarkStart w:id="68" w:name="SectionTitle:2.3__TOXICITY_TO_NON-MAMMAL"/>
      <w:bookmarkEnd w:id="66"/>
      <w:bookmarkEnd w:id="67"/>
      <w:bookmarkEnd w:id="68"/>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2.3  TOXICITÉ CHEZ LES ESPÈCES AUTRES QUE LES MAMMIFÈRES</w:t>
      </w:r>
    </w:p>
    <w:p w14:paraId="5AB536B6"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bookmarkStart w:id="69" w:name="SubSectionTitle:2.3.1__Fish"/>
      <w:bookmarkEnd w:id="69"/>
    </w:p>
    <w:p w14:paraId="37055C78" w14:textId="7500B855"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2.3.1  Poissons</w:t>
      </w:r>
    </w:p>
    <w:p w14:paraId="63B94BC5" w14:textId="37AC9B6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69CBF26" w14:textId="6FD7E67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Obtention d</w:t>
      </w:r>
      <w:r w:rsidR="001503DA" w:rsidRPr="008E1FA7">
        <w:rPr>
          <w:rFonts w:ascii="Courier New" w:hAnsi="Courier New" w:cs="Courier New"/>
          <w:lang w:eastAsia="de-DE"/>
        </w:rPr>
        <w:t>’</w:t>
      </w:r>
      <w:r w:rsidR="00371363" w:rsidRPr="008E1FA7">
        <w:rPr>
          <w:rFonts w:ascii="Courier New" w:hAnsi="Courier New" w:cs="Courier New"/>
          <w:lang w:eastAsia="de-DE"/>
        </w:rPr>
        <w:t>informations en cours.</w:t>
      </w:r>
    </w:p>
    <w:p w14:paraId="565DF4F0" w14:textId="492EBA0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D8A76BF" w14:textId="20A4481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70" w:name=":2.3.1__Fish"/>
      <w:bookmarkStart w:id="71" w:name="SubSectionTitle:2.3.2__Birds"/>
      <w:bookmarkEnd w:id="70"/>
      <w:bookmarkEnd w:id="71"/>
      <w:r w:rsidRPr="008E1FA7">
        <w:rPr>
          <w:rFonts w:ascii="Courier New" w:hAnsi="Courier New" w:cs="Courier New"/>
          <w:lang w:eastAsia="de-DE"/>
        </w:rPr>
        <w:t xml:space="preserve">    </w:t>
      </w:r>
      <w:r w:rsidR="00371363" w:rsidRPr="008E1FA7">
        <w:rPr>
          <w:rFonts w:ascii="Courier New" w:hAnsi="Courier New" w:cs="Courier New"/>
          <w:lang w:eastAsia="de-DE"/>
        </w:rPr>
        <w:t>2.3.2  Oiseaux</w:t>
      </w:r>
    </w:p>
    <w:p w14:paraId="73FA7C3D" w14:textId="596E32C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B7D1DEE" w14:textId="739F04B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Dangereux.</w:t>
      </w:r>
    </w:p>
    <w:p w14:paraId="39F21159" w14:textId="3685979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6904DBD" w14:textId="3E150F9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72" w:name=":2.3.2__Birds"/>
      <w:bookmarkStart w:id="73" w:name="SubSectionTitle:2.3.3__Other_species"/>
      <w:bookmarkEnd w:id="72"/>
      <w:bookmarkEnd w:id="73"/>
      <w:r w:rsidRPr="008E1FA7">
        <w:rPr>
          <w:rFonts w:ascii="Courier New" w:hAnsi="Courier New" w:cs="Courier New"/>
          <w:lang w:eastAsia="de-DE"/>
        </w:rPr>
        <w:t xml:space="preserve">    </w:t>
      </w:r>
      <w:r w:rsidR="00371363" w:rsidRPr="008E1FA7">
        <w:rPr>
          <w:rFonts w:ascii="Courier New" w:hAnsi="Courier New" w:cs="Courier New"/>
          <w:lang w:eastAsia="de-DE"/>
        </w:rPr>
        <w:t>2.3.3  Autres espèces</w:t>
      </w:r>
    </w:p>
    <w:p w14:paraId="39030D4C" w14:textId="4902D86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521FAF2" w14:textId="430D5F3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Obtention d</w:t>
      </w:r>
      <w:r w:rsidR="001503DA" w:rsidRPr="008E1FA7">
        <w:rPr>
          <w:rFonts w:ascii="Courier New" w:hAnsi="Courier New" w:cs="Courier New"/>
          <w:lang w:eastAsia="de-DE"/>
        </w:rPr>
        <w:t>’</w:t>
      </w:r>
      <w:r w:rsidR="00371363" w:rsidRPr="008E1FA7">
        <w:rPr>
          <w:rFonts w:ascii="Courier New" w:hAnsi="Courier New" w:cs="Courier New"/>
          <w:lang w:eastAsia="de-DE"/>
        </w:rPr>
        <w:t>informations en cours.</w:t>
      </w:r>
    </w:p>
    <w:p w14:paraId="3D22625E"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74" w:name=":2.3.3__Other_species"/>
      <w:bookmarkStart w:id="75" w:name="EndSectionTitle:2.3__TOXICITY_TO_NON-MAM"/>
      <w:bookmarkStart w:id="76" w:name="EndPartTitle:Part_2_-_Toxicology_and_ris"/>
      <w:bookmarkStart w:id="77" w:name="PartTitle:Part_3_-_For_regulatory_author"/>
      <w:bookmarkEnd w:id="74"/>
      <w:bookmarkEnd w:id="75"/>
      <w:bookmarkEnd w:id="76"/>
      <w:bookmarkEnd w:id="77"/>
      <w:r w:rsidRPr="008E1FA7">
        <w:rPr>
          <w:rFonts w:ascii="Courier New" w:hAnsi="Courier New" w:cs="Courier New"/>
          <w:lang w:eastAsia="de-DE"/>
        </w:rPr>
        <w:t xml:space="preserve">    </w:t>
      </w:r>
    </w:p>
    <w:p w14:paraId="27BFC59C" w14:textId="1B46CFD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color w:val="008000"/>
          <w:lang w:eastAsia="de-DE"/>
        </w:rPr>
        <w:t>Partie 3 - À l</w:t>
      </w:r>
      <w:r w:rsidR="001503DA" w:rsidRPr="008E1FA7">
        <w:rPr>
          <w:rFonts w:ascii="Courier New" w:hAnsi="Courier New" w:cs="Courier New"/>
          <w:color w:val="008000"/>
          <w:lang w:eastAsia="de-DE"/>
        </w:rPr>
        <w:t>’</w:t>
      </w:r>
      <w:r w:rsidR="00371363" w:rsidRPr="008E1FA7">
        <w:rPr>
          <w:rFonts w:ascii="Courier New" w:hAnsi="Courier New" w:cs="Courier New"/>
          <w:color w:val="008000"/>
          <w:lang w:eastAsia="de-DE"/>
        </w:rPr>
        <w:t>intention des autorités réglementaires</w:t>
      </w:r>
    </w:p>
    <w:p w14:paraId="23ED3FAF"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8C941BA" w14:textId="5FB0D8F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RECOMMANDATIONS CONCERNANT LA RÉGLEMENTATION DU COMPOSÉ</w:t>
      </w:r>
    </w:p>
    <w:p w14:paraId="7BEB3FDB" w14:textId="1E80650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AFDA9C0" w14:textId="3EAFB91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78" w:name="SectionTitle:3.1__RECOMMENDED_RESTRICTIO"/>
      <w:bookmarkEnd w:id="78"/>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3.1  RESTRICTIONS RECOMMANDÉES CONCERNANT LA DISPONIBILITÉ</w:t>
      </w:r>
    </w:p>
    <w:p w14:paraId="4065E186" w14:textId="765BBBF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F89A30E" w14:textId="217DE8C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513F56" w:rsidRPr="008E1FA7">
        <w:rPr>
          <w:rFonts w:ascii="Courier New" w:hAnsi="Courier New" w:cs="Courier New"/>
          <w:lang w:eastAsia="de-DE"/>
        </w:rPr>
        <w:t>(</w:t>
      </w:r>
      <w:r w:rsidR="00371363" w:rsidRPr="008E1FA7">
        <w:rPr>
          <w:rFonts w:ascii="Courier New" w:hAnsi="Courier New" w:cs="Courier New"/>
          <w:lang w:eastAsia="de-DE"/>
        </w:rPr>
        <w:t xml:space="preserve">Pour la définition des catégories, </w:t>
      </w:r>
      <w:r w:rsidR="00371363" w:rsidRPr="008E1FA7">
        <w:rPr>
          <w:rFonts w:ascii="Courier New" w:hAnsi="Courier New" w:cs="Courier New"/>
          <w:color w:val="0000FF"/>
          <w:u w:val="single"/>
          <w:lang w:eastAsia="de-DE"/>
        </w:rPr>
        <w:t>voir l</w:t>
      </w:r>
      <w:r w:rsidR="001503DA" w:rsidRPr="008E1FA7">
        <w:rPr>
          <w:rFonts w:ascii="Courier New" w:hAnsi="Courier New" w:cs="Courier New"/>
          <w:color w:val="0000FF"/>
          <w:u w:val="single"/>
          <w:lang w:eastAsia="de-DE"/>
        </w:rPr>
        <w:t>’</w:t>
      </w:r>
      <w:r w:rsidR="00371363" w:rsidRPr="008E1FA7">
        <w:rPr>
          <w:rFonts w:ascii="Courier New" w:hAnsi="Courier New" w:cs="Courier New"/>
          <w:color w:val="0000FF"/>
          <w:u w:val="single"/>
          <w:lang w:eastAsia="de-DE"/>
        </w:rPr>
        <w:t>introduction</w:t>
      </w:r>
      <w:r w:rsidR="00371363" w:rsidRPr="008E1FA7">
        <w:rPr>
          <w:rFonts w:ascii="Courier New" w:hAnsi="Courier New" w:cs="Courier New"/>
          <w:lang w:eastAsia="de-DE"/>
        </w:rPr>
        <w:t>.)</w:t>
      </w:r>
    </w:p>
    <w:p w14:paraId="7E410D99" w14:textId="568DFBA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0B3ABA8" w14:textId="61213ED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Préparations liquides de teneur supérieure à 10 % : catégorie 3. Toutes les </w:t>
      </w:r>
      <w:r w:rsidRPr="008E1FA7">
        <w:rPr>
          <w:rFonts w:ascii="Courier New" w:hAnsi="Courier New" w:cs="Courier New"/>
          <w:lang w:eastAsia="de-DE"/>
        </w:rPr>
        <w:br/>
        <w:t xml:space="preserve">    </w:t>
      </w:r>
      <w:r w:rsidR="00371363" w:rsidRPr="008E1FA7">
        <w:rPr>
          <w:rFonts w:ascii="Courier New" w:hAnsi="Courier New" w:cs="Courier New"/>
          <w:lang w:eastAsia="de-DE"/>
        </w:rPr>
        <w:t>autres préparations : catégorie 4.</w:t>
      </w:r>
    </w:p>
    <w:p w14:paraId="3C304040"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7CD1649" w14:textId="417EE55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Préparations solides de teneur supérieure à 10 % : catégorie 4. Toutes les </w:t>
      </w:r>
      <w:r w:rsidRPr="008E1FA7">
        <w:rPr>
          <w:rFonts w:ascii="Courier New" w:hAnsi="Courier New" w:cs="Courier New"/>
          <w:lang w:eastAsia="de-DE"/>
        </w:rPr>
        <w:br/>
        <w:t xml:space="preserve">    </w:t>
      </w:r>
      <w:r w:rsidR="00371363" w:rsidRPr="008E1FA7">
        <w:rPr>
          <w:rFonts w:ascii="Courier New" w:hAnsi="Courier New" w:cs="Courier New"/>
          <w:lang w:eastAsia="de-DE"/>
        </w:rPr>
        <w:t>autres préparations : catégorie 5.</w:t>
      </w:r>
    </w:p>
    <w:p w14:paraId="01DCC896" w14:textId="221D995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E07E2B6" w14:textId="64905A06" w:rsidR="00371363" w:rsidRPr="008E1FA7" w:rsidRDefault="003422E8" w:rsidP="000F0FD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79" w:name="EndSectionTitle:3.1__RECOMMENDED_RESTRIC"/>
      <w:bookmarkStart w:id="80" w:name="SectionTitle:3.2__TRANSPORTATION_AND_STO"/>
      <w:bookmarkEnd w:id="79"/>
      <w:bookmarkEnd w:id="80"/>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3.2  TRANSPORT ET STOCKAGE</w:t>
      </w:r>
    </w:p>
    <w:p w14:paraId="4EE6F1F5" w14:textId="77777777" w:rsidR="003422E8" w:rsidRPr="008E1FA7" w:rsidRDefault="003422E8" w:rsidP="000F0FD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9BE0D02" w14:textId="0CDD1288" w:rsidR="00371363" w:rsidRPr="008E1FA7" w:rsidRDefault="003422E8" w:rsidP="000F0FD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Toutes les préparations</w:t>
      </w:r>
    </w:p>
    <w:p w14:paraId="15FC8B53" w14:textId="77777777" w:rsidR="003422E8" w:rsidRPr="008E1FA7" w:rsidRDefault="003422E8" w:rsidP="000F0FD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C10C754" w14:textId="7772580C" w:rsidR="00371363" w:rsidRPr="008E1FA7" w:rsidRDefault="003422E8" w:rsidP="000F0FD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Classification 6.1. de l</w:t>
      </w:r>
      <w:r w:rsidR="001503DA" w:rsidRPr="008E1FA7">
        <w:rPr>
          <w:rFonts w:ascii="Courier New" w:hAnsi="Courier New" w:cs="Courier New"/>
          <w:lang w:eastAsia="de-DE"/>
        </w:rPr>
        <w:t>’</w:t>
      </w:r>
      <w:r w:rsidR="00371363" w:rsidRPr="008E1FA7">
        <w:rPr>
          <w:rFonts w:ascii="Courier New" w:hAnsi="Courier New" w:cs="Courier New"/>
          <w:lang w:eastAsia="de-DE"/>
        </w:rPr>
        <w:t>ONU.</w:t>
      </w:r>
    </w:p>
    <w:p w14:paraId="620A48BC" w14:textId="3F953DCC" w:rsidR="003422E8"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0F24E01" w14:textId="749072FF"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Ces préparations devraient être transportées ou stockées dans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récipients rigides et étanches clairement étiquetés et conservés sous clé,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hors de la portée des enfants et des personnes non autorisées. Aucun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aliment et aucune boisson ne devraient être transportés ni stockés dans le </w:t>
      </w:r>
      <w:r w:rsidRPr="008E1FA7">
        <w:rPr>
          <w:rFonts w:ascii="Courier New" w:hAnsi="Courier New" w:cs="Courier New"/>
          <w:lang w:eastAsia="de-DE"/>
        </w:rPr>
        <w:br/>
        <w:t xml:space="preserve">    </w:t>
      </w:r>
      <w:r w:rsidR="00371363" w:rsidRPr="008E1FA7">
        <w:rPr>
          <w:rFonts w:ascii="Courier New" w:hAnsi="Courier New" w:cs="Courier New"/>
          <w:lang w:eastAsia="de-DE"/>
        </w:rPr>
        <w:t>même compartiment.</w:t>
      </w:r>
    </w:p>
    <w:p w14:paraId="4AA753F4" w14:textId="6498845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04C9E72" w14:textId="4A1ADAFF" w:rsidR="00371363" w:rsidRPr="008E1FA7" w:rsidRDefault="003422E8" w:rsidP="0037136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81" w:name="EndSectionTitle:3.2__TRANSPORTATION_AND_"/>
      <w:bookmarkStart w:id="82" w:name="SectionTitle:3.3__HANDLING"/>
      <w:bookmarkEnd w:id="81"/>
      <w:bookmarkEnd w:id="82"/>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3.3  MANIPULATION</w:t>
      </w:r>
    </w:p>
    <w:p w14:paraId="666736FB" w14:textId="0350421B" w:rsidR="00371363" w:rsidRPr="008E1FA7" w:rsidRDefault="003422E8" w:rsidP="0037136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0B52489" w14:textId="3904B4A4" w:rsidR="00371363" w:rsidRPr="008E1FA7" w:rsidRDefault="003422E8" w:rsidP="00371363">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Préparations des catégories 3 et 4</w:t>
      </w:r>
    </w:p>
    <w:p w14:paraId="60475E14" w14:textId="0492BF3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CF11BF4" w14:textId="25C2832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personnes manipulant ce composé devraient porter une tenue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protection complète. Les installations nécessaires devraient être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disponibles à tout moment lors de la manipulation et à proximité du site où </w:t>
      </w:r>
      <w:r w:rsidRPr="008E1FA7">
        <w:rPr>
          <w:rFonts w:ascii="Courier New" w:hAnsi="Courier New" w:cs="Courier New"/>
          <w:lang w:eastAsia="de-DE"/>
        </w:rPr>
        <w:br/>
        <w:t xml:space="preserve">    </w:t>
      </w:r>
      <w:r w:rsidR="00371363" w:rsidRPr="008E1FA7">
        <w:rPr>
          <w:rFonts w:ascii="Courier New" w:hAnsi="Courier New" w:cs="Courier New"/>
          <w:lang w:eastAsia="de-DE"/>
        </w:rPr>
        <w:t>celle</w:t>
      </w:r>
      <w:r w:rsidR="00371363" w:rsidRPr="008E1FA7">
        <w:rPr>
          <w:rFonts w:ascii="Courier New" w:hAnsi="Courier New" w:cs="Courier New"/>
          <w:lang w:eastAsia="de-DE"/>
        </w:rPr>
        <w:noBreakHyphen/>
        <w:t>ci s</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effectue. Il devrait être interdit de manger, boire et fumer </w:t>
      </w:r>
      <w:r w:rsidRPr="008E1FA7">
        <w:rPr>
          <w:rFonts w:ascii="Courier New" w:hAnsi="Courier New" w:cs="Courier New"/>
          <w:lang w:eastAsia="de-DE"/>
        </w:rPr>
        <w:br/>
        <w:t xml:space="preserve">    </w:t>
      </w:r>
      <w:r w:rsidR="00371363" w:rsidRPr="008E1FA7">
        <w:rPr>
          <w:rFonts w:ascii="Courier New" w:hAnsi="Courier New" w:cs="Courier New"/>
          <w:lang w:eastAsia="de-DE"/>
        </w:rPr>
        <w:t>durant la manipulation et, après la manipulation, avant de s</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être lavé. </w:t>
      </w:r>
    </w:p>
    <w:p w14:paraId="38CA2EB1" w14:textId="1BCF125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F6E07FB" w14:textId="71FEBC1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Préparations de la catégorie 5</w:t>
      </w:r>
    </w:p>
    <w:p w14:paraId="33449E3F"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87C55CE" w14:textId="39315113"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Aucune installation autre que celles nécessaires pour la manipulation de </w:t>
      </w:r>
      <w:r w:rsidRPr="008E1FA7">
        <w:rPr>
          <w:rFonts w:ascii="Courier New" w:hAnsi="Courier New" w:cs="Courier New"/>
          <w:lang w:eastAsia="de-DE"/>
        </w:rPr>
        <w:br/>
        <w:t xml:space="preserve">    </w:t>
      </w:r>
      <w:r w:rsidR="00371363" w:rsidRPr="008E1FA7">
        <w:rPr>
          <w:rFonts w:ascii="Courier New" w:hAnsi="Courier New" w:cs="Courier New"/>
          <w:lang w:eastAsia="de-DE"/>
        </w:rPr>
        <w:t>n</w:t>
      </w:r>
      <w:r w:rsidR="001503DA" w:rsidRPr="008E1FA7">
        <w:rPr>
          <w:rFonts w:ascii="Courier New" w:hAnsi="Courier New" w:cs="Courier New"/>
          <w:lang w:eastAsia="de-DE"/>
        </w:rPr>
        <w:t>’</w:t>
      </w:r>
      <w:r w:rsidR="00371363" w:rsidRPr="008E1FA7">
        <w:rPr>
          <w:rFonts w:ascii="Courier New" w:hAnsi="Courier New" w:cs="Courier New"/>
          <w:lang w:eastAsia="de-DE"/>
        </w:rPr>
        <w:t>importe qu</w:t>
      </w:r>
      <w:r w:rsidR="001503DA" w:rsidRPr="008E1FA7">
        <w:rPr>
          <w:rFonts w:ascii="Courier New" w:hAnsi="Courier New" w:cs="Courier New"/>
          <w:lang w:eastAsia="de-DE"/>
        </w:rPr>
        <w:t>’</w:t>
      </w:r>
      <w:r w:rsidR="00371363" w:rsidRPr="008E1FA7">
        <w:rPr>
          <w:rFonts w:ascii="Courier New" w:hAnsi="Courier New" w:cs="Courier New"/>
          <w:lang w:eastAsia="de-DE"/>
        </w:rPr>
        <w:t>elle autre substance chimique n</w:t>
      </w:r>
      <w:r w:rsidR="001503DA" w:rsidRPr="008E1FA7">
        <w:rPr>
          <w:rFonts w:ascii="Courier New" w:hAnsi="Courier New" w:cs="Courier New"/>
          <w:lang w:eastAsia="de-DE"/>
        </w:rPr>
        <w:t>’</w:t>
      </w:r>
      <w:r w:rsidR="00371363" w:rsidRPr="008E1FA7">
        <w:rPr>
          <w:rFonts w:ascii="Courier New" w:hAnsi="Courier New" w:cs="Courier New"/>
          <w:lang w:eastAsia="de-DE"/>
        </w:rPr>
        <w:t>est requise.</w:t>
      </w:r>
    </w:p>
    <w:p w14:paraId="14F493FC" w14:textId="36CCCDD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5DDDD5A" w14:textId="6A0088F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83" w:name="EndSectionTitle:3.3__HANDLING"/>
      <w:bookmarkStart w:id="84" w:name="SectionTitle:3.4__DISPOSAL_AND/OR_DECONT"/>
      <w:bookmarkEnd w:id="83"/>
      <w:bookmarkEnd w:id="84"/>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3.4  ÉLIMINATION ET/OU DÉCONTAMINATION DES RÉCIPIENTS</w:t>
      </w:r>
    </w:p>
    <w:p w14:paraId="2B817F04" w14:textId="319354D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1F29492" w14:textId="7BA60302"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récipients doivent être soit brûlés soit broyés et enfouis dans le sol.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Des précautions doivent être prises pour éviter toute contamination </w:t>
      </w:r>
      <w:r w:rsidRPr="008E1FA7">
        <w:rPr>
          <w:rFonts w:ascii="Courier New" w:hAnsi="Courier New" w:cs="Courier New"/>
          <w:lang w:eastAsia="de-DE"/>
        </w:rPr>
        <w:br/>
        <w:t xml:space="preserve">    </w:t>
      </w:r>
      <w:r w:rsidR="00371363" w:rsidRPr="008E1FA7">
        <w:rPr>
          <w:rFonts w:ascii="Courier New" w:hAnsi="Courier New" w:cs="Courier New"/>
          <w:lang w:eastAsia="de-DE"/>
        </w:rPr>
        <w:t>ultérieure des sources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eau. La décontamination des récipients en vue de </w:t>
      </w:r>
      <w:r w:rsidRPr="008E1FA7">
        <w:rPr>
          <w:rFonts w:ascii="Courier New" w:hAnsi="Courier New" w:cs="Courier New"/>
          <w:lang w:eastAsia="de-DE"/>
        </w:rPr>
        <w:br/>
        <w:t xml:space="preserve">    </w:t>
      </w:r>
      <w:r w:rsidR="00371363" w:rsidRPr="008E1FA7">
        <w:rPr>
          <w:rFonts w:ascii="Courier New" w:hAnsi="Courier New" w:cs="Courier New"/>
          <w:lang w:eastAsia="de-DE"/>
        </w:rPr>
        <w:t>leur réutilisation à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autres fins ne devrait pas être autorisée. </w:t>
      </w:r>
    </w:p>
    <w:p w14:paraId="723A6FE4" w14:textId="6E8C16E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6E36946" w14:textId="0F57AE1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85" w:name="EndSectionTitle:3.4__DISPOSAL_AND/OR_DEC"/>
      <w:bookmarkStart w:id="86" w:name="SectionTitle:3.5__SELECTION,_TRAINING_AN"/>
      <w:bookmarkEnd w:id="85"/>
      <w:bookmarkEnd w:id="86"/>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3.5  SÉLECTION, FORMATION ET SUPERVISION MÉDICALE DES TRAVAILLEURS</w:t>
      </w:r>
    </w:p>
    <w:p w14:paraId="1D4A8E8E" w14:textId="31BF03F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04B952F" w14:textId="080829D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Préparations des catégories 3 et 4</w:t>
      </w:r>
    </w:p>
    <w:p w14:paraId="7EA6FD5E" w14:textId="4B8C3D4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Un examen médical des travailleurs préalable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embauche est requis. Les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travailleurs souffrant de pathologies hépatiques ou rénales actives ne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devraient pas être en contact avec le produit. Il est souhaitable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pratiquer un dosage des taux de cholinestérase plasmatique et </w:t>
      </w:r>
      <w:r w:rsidRPr="008E1FA7">
        <w:rPr>
          <w:rFonts w:ascii="Courier New" w:hAnsi="Courier New" w:cs="Courier New"/>
          <w:lang w:eastAsia="de-DE"/>
        </w:rPr>
        <w:br/>
        <w:t xml:space="preserve">    </w:t>
      </w:r>
      <w:r w:rsidR="00371363" w:rsidRPr="008E1FA7">
        <w:rPr>
          <w:rFonts w:ascii="Courier New" w:hAnsi="Courier New" w:cs="Courier New"/>
          <w:lang w:eastAsia="de-DE"/>
        </w:rPr>
        <w:t>érythrocytaire des travailleurs, préalablement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embauche et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périodiquement. Une attention particulière devrait être portée à la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capacité mentale des travailleurs à comprendre et à suivre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instructions. Il est essentiel de former les travailleurs aux techniques </w:t>
      </w:r>
      <w:r w:rsidRPr="008E1FA7">
        <w:rPr>
          <w:rFonts w:ascii="Courier New" w:hAnsi="Courier New" w:cs="Courier New"/>
          <w:lang w:eastAsia="de-DE"/>
        </w:rPr>
        <w:br/>
        <w:t xml:space="preserve">    </w:t>
      </w:r>
      <w:r w:rsidR="00371363" w:rsidRPr="008E1FA7">
        <w:rPr>
          <w:rFonts w:ascii="Courier New" w:hAnsi="Courier New" w:cs="Courier New"/>
          <w:lang w:eastAsia="de-DE"/>
        </w:rPr>
        <w:t>permettant d</w:t>
      </w:r>
      <w:r w:rsidR="001503DA" w:rsidRPr="008E1FA7">
        <w:rPr>
          <w:rFonts w:ascii="Courier New" w:hAnsi="Courier New" w:cs="Courier New"/>
          <w:lang w:eastAsia="de-DE"/>
        </w:rPr>
        <w:t>’</w:t>
      </w:r>
      <w:r w:rsidR="00371363" w:rsidRPr="008E1FA7">
        <w:rPr>
          <w:rFonts w:ascii="Courier New" w:hAnsi="Courier New" w:cs="Courier New"/>
          <w:lang w:eastAsia="de-DE"/>
        </w:rPr>
        <w:t>éviter tout contact avec le produit.</w:t>
      </w:r>
    </w:p>
    <w:p w14:paraId="6753026C" w14:textId="7802B5A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690CC10" w14:textId="1AFF782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Préparations de la catégorie 5</w:t>
      </w:r>
    </w:p>
    <w:p w14:paraId="5EBE6459"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8B160D2" w14:textId="76C35AC9"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Aucun suivi spécial de la cholinestérase chez les travailleurs n</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est </w:t>
      </w:r>
      <w:r w:rsidRPr="008E1FA7">
        <w:rPr>
          <w:rFonts w:ascii="Courier New" w:hAnsi="Courier New" w:cs="Courier New"/>
          <w:lang w:eastAsia="de-DE"/>
        </w:rPr>
        <w:br/>
        <w:t xml:space="preserve">    </w:t>
      </w:r>
      <w:r w:rsidR="00371363" w:rsidRPr="008E1FA7">
        <w:rPr>
          <w:rFonts w:ascii="Courier New" w:hAnsi="Courier New" w:cs="Courier New"/>
          <w:lang w:eastAsia="de-DE"/>
        </w:rPr>
        <w:t>requis. Il est nécessaire de mettre en garde les travailleurs pour qu</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ils </w:t>
      </w:r>
      <w:r w:rsidRPr="008E1FA7">
        <w:rPr>
          <w:rFonts w:ascii="Courier New" w:hAnsi="Courier New" w:cs="Courier New"/>
          <w:lang w:eastAsia="de-DE"/>
        </w:rPr>
        <w:br/>
        <w:t xml:space="preserve">    </w:t>
      </w:r>
      <w:r w:rsidR="00371363" w:rsidRPr="008E1FA7">
        <w:rPr>
          <w:rFonts w:ascii="Courier New" w:hAnsi="Courier New" w:cs="Courier New"/>
          <w:lang w:eastAsia="de-DE"/>
        </w:rPr>
        <w:t>limitent autant que possible tout contact avec le produit.</w:t>
      </w:r>
    </w:p>
    <w:p w14:paraId="77DC3B0B" w14:textId="061ED03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6D1FE45" w14:textId="7457D9D1"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87" w:name="EndSectionTitle:3.5__SELECTION,_TRAINING"/>
      <w:bookmarkStart w:id="88" w:name="SectionTitle:3.6__ADDITIONAL_REGULATIONS"/>
      <w:bookmarkEnd w:id="87"/>
      <w:bookmarkEnd w:id="88"/>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 xml:space="preserve">3.6  RÉGLEMENTATIONS SUPPLÉMENTAIRES RECOMMANDÉES EN CAS DE PULVÉRISATION </w:t>
      </w:r>
      <w:r w:rsidRPr="008E1FA7">
        <w:rPr>
          <w:rFonts w:ascii="Courier New" w:hAnsi="Courier New" w:cs="Courier New"/>
          <w:color w:val="0000FF"/>
          <w:lang w:eastAsia="de-DE"/>
        </w:rPr>
        <w:br/>
      </w:r>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AÉRIENNE</w:t>
      </w:r>
    </w:p>
    <w:p w14:paraId="51147ED9" w14:textId="7911278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A53263F" w14:textId="222634A5"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Toutes les préparations</w:t>
      </w:r>
    </w:p>
    <w:p w14:paraId="02EF0972" w14:textId="2EBE664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74A03A0" w14:textId="4ADFFBE0"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pilotes et les chargeurs devraient recevoir une formation spéciale aux </w:t>
      </w:r>
      <w:r w:rsidRPr="008E1FA7">
        <w:rPr>
          <w:rFonts w:ascii="Courier New" w:hAnsi="Courier New" w:cs="Courier New"/>
          <w:lang w:eastAsia="de-DE"/>
        </w:rPr>
        <w:br/>
        <w:t xml:space="preserve">    </w:t>
      </w:r>
      <w:r w:rsidR="00371363" w:rsidRPr="008E1FA7">
        <w:rPr>
          <w:rFonts w:ascii="Courier New" w:hAnsi="Courier New" w:cs="Courier New"/>
          <w:lang w:eastAsia="de-DE"/>
        </w:rPr>
        <w:t>méthodes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application et à la reconnaissance des premiers symptômes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intoxication et doivent porter un masque à filtre adapté.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emploi de </w:t>
      </w:r>
      <w:r w:rsidRPr="008E1FA7">
        <w:rPr>
          <w:rFonts w:ascii="Courier New" w:hAnsi="Courier New" w:cs="Courier New"/>
          <w:lang w:eastAsia="de-DE"/>
        </w:rPr>
        <w:br/>
        <w:t xml:space="preserve">    </w:t>
      </w:r>
      <w:r w:rsidR="00371363" w:rsidRPr="008E1FA7">
        <w:rPr>
          <w:rFonts w:ascii="Courier New" w:hAnsi="Courier New" w:cs="Courier New"/>
          <w:lang w:eastAsia="de-DE"/>
        </w:rPr>
        <w:t>signaleurs n</w:t>
      </w:r>
      <w:r w:rsidR="001503DA" w:rsidRPr="008E1FA7">
        <w:rPr>
          <w:rFonts w:ascii="Courier New" w:hAnsi="Courier New" w:cs="Courier New"/>
          <w:lang w:eastAsia="de-DE"/>
        </w:rPr>
        <w:t>’</w:t>
      </w:r>
      <w:r w:rsidR="00371363" w:rsidRPr="008E1FA7">
        <w:rPr>
          <w:rFonts w:ascii="Courier New" w:hAnsi="Courier New" w:cs="Courier New"/>
          <w:lang w:eastAsia="de-DE"/>
        </w:rPr>
        <w:t>est guère recommandé. Toutefois, si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on emploie des </w:t>
      </w:r>
      <w:r w:rsidRPr="008E1FA7">
        <w:rPr>
          <w:rFonts w:ascii="Courier New" w:hAnsi="Courier New" w:cs="Courier New"/>
          <w:lang w:eastAsia="de-DE"/>
        </w:rPr>
        <w:br/>
        <w:t xml:space="preserve">    </w:t>
      </w:r>
      <w:r w:rsidR="00371363" w:rsidRPr="008E1FA7">
        <w:rPr>
          <w:rFonts w:ascii="Courier New" w:hAnsi="Courier New" w:cs="Courier New"/>
          <w:lang w:eastAsia="de-DE"/>
        </w:rPr>
        <w:t>signaleurs, ils devraient porter une combinaison et se tenir bien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écart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 la zone traitée. </w:t>
      </w:r>
    </w:p>
    <w:p w14:paraId="5D79E738" w14:textId="01FE233E"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Courier New" w:hAnsi="Courier New" w:cs="Courier New"/>
          <w:lang w:eastAsia="de-DE"/>
        </w:rPr>
      </w:pPr>
      <w:bookmarkStart w:id="89" w:name="EndSectionTitle:3.6__ADDITIONAL_REGULATI"/>
      <w:bookmarkStart w:id="90" w:name="SectionTitle:3.7__LABELLING"/>
      <w:bookmarkEnd w:id="89"/>
      <w:bookmarkEnd w:id="90"/>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3.7  ÉTIQUETAGE</w:t>
      </w:r>
    </w:p>
    <w:p w14:paraId="28A834E0" w14:textId="0D9AAC6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8012D92" w14:textId="01D4018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Préparations des catégories 3 et 4</w:t>
      </w:r>
    </w:p>
    <w:p w14:paraId="403E1CB8" w14:textId="3D4C2F7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9E0A127" w14:textId="4CC221D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L</w:t>
      </w:r>
      <w:r w:rsidR="001503DA" w:rsidRPr="008E1FA7">
        <w:rPr>
          <w:rFonts w:ascii="Courier New" w:hAnsi="Courier New" w:cs="Courier New"/>
          <w:u w:val="single"/>
          <w:lang w:eastAsia="de-DE"/>
        </w:rPr>
        <w:t>’</w:t>
      </w:r>
      <w:r w:rsidR="00371363" w:rsidRPr="008E1FA7">
        <w:rPr>
          <w:rFonts w:ascii="Courier New" w:hAnsi="Courier New" w:cs="Courier New"/>
          <w:u w:val="single"/>
          <w:lang w:eastAsia="de-DE"/>
        </w:rPr>
        <w:t>étiquette doit comporter au minimum les conseils de prudence ci</w:t>
      </w:r>
      <w:r w:rsidR="00371363" w:rsidRPr="008E1FA7">
        <w:rPr>
          <w:rFonts w:ascii="Courier New" w:hAnsi="Courier New" w:cs="Courier New"/>
          <w:u w:val="single"/>
          <w:lang w:eastAsia="de-DE"/>
        </w:rPr>
        <w:noBreakHyphen/>
        <w:t>après</w:t>
      </w:r>
    </w:p>
    <w:p w14:paraId="299314A2" w14:textId="5EA567B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A8B5EED" w14:textId="4909F800"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un composé organophosphoré anticholinestérasique. Il peut </w:t>
      </w:r>
      <w:r w:rsidRPr="008E1FA7">
        <w:rPr>
          <w:rFonts w:ascii="Courier New" w:hAnsi="Courier New" w:cs="Courier New"/>
          <w:lang w:eastAsia="de-DE"/>
        </w:rPr>
        <w:br/>
        <w:t xml:space="preserve">    </w:t>
      </w:r>
      <w:r w:rsidR="00371363" w:rsidRPr="008E1FA7">
        <w:rPr>
          <w:rFonts w:ascii="Courier New" w:hAnsi="Courier New" w:cs="Courier New"/>
          <w:lang w:eastAsia="de-DE"/>
        </w:rPr>
        <w:t>provoquer une intoxication en cas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ingestion. Il peut être absorbé par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contact avec la peau ou par inhalation de poudres ou de brouillards. Éviter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tout contact avec la peau; porter des gants de protection, des vêtements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protection propres et un masque à filtre pendant la manipulation. Se laver </w:t>
      </w:r>
      <w:r w:rsidRPr="008E1FA7">
        <w:rPr>
          <w:rFonts w:ascii="Courier New" w:hAnsi="Courier New" w:cs="Courier New"/>
          <w:lang w:eastAsia="de-DE"/>
        </w:rPr>
        <w:br/>
        <w:t xml:space="preserve">    </w:t>
      </w:r>
      <w:r w:rsidR="00371363" w:rsidRPr="008E1FA7">
        <w:rPr>
          <w:rFonts w:ascii="Courier New" w:hAnsi="Courier New" w:cs="Courier New"/>
          <w:lang w:eastAsia="de-DE"/>
        </w:rPr>
        <w:t>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eau et au savon après utilisation. Conserver hors de la portée des </w:t>
      </w:r>
      <w:r w:rsidRPr="008E1FA7">
        <w:rPr>
          <w:rFonts w:ascii="Courier New" w:hAnsi="Courier New" w:cs="Courier New"/>
          <w:lang w:eastAsia="de-DE"/>
        </w:rPr>
        <w:br/>
        <w:t xml:space="preserve">    </w:t>
      </w:r>
      <w:r w:rsidR="00371363" w:rsidRPr="008E1FA7">
        <w:rPr>
          <w:rFonts w:ascii="Courier New" w:hAnsi="Courier New" w:cs="Courier New"/>
          <w:lang w:eastAsia="de-DE"/>
        </w:rPr>
        <w:t>enfants et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écart des denrées alimentaires, de la nourriture pour </w:t>
      </w:r>
      <w:r w:rsidRPr="008E1FA7">
        <w:rPr>
          <w:rFonts w:ascii="Courier New" w:hAnsi="Courier New" w:cs="Courier New"/>
          <w:lang w:eastAsia="de-DE"/>
        </w:rPr>
        <w:br/>
        <w:t xml:space="preserve">    </w:t>
      </w:r>
      <w:r w:rsidR="00371363" w:rsidRPr="008E1FA7">
        <w:rPr>
          <w:rFonts w:ascii="Courier New" w:hAnsi="Courier New" w:cs="Courier New"/>
          <w:lang w:eastAsia="de-DE"/>
        </w:rPr>
        <w:t>animaux et de leur emballage.</w:t>
      </w:r>
    </w:p>
    <w:p w14:paraId="1FC555EF" w14:textId="352BAB4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En cas d</w:t>
      </w:r>
      <w:r w:rsidR="001503DA" w:rsidRPr="008E1FA7">
        <w:rPr>
          <w:rFonts w:ascii="Courier New" w:hAnsi="Courier New" w:cs="Courier New"/>
          <w:lang w:eastAsia="de-DE"/>
        </w:rPr>
        <w:t>’</w:t>
      </w:r>
      <w:r w:rsidR="00371363" w:rsidRPr="008E1FA7">
        <w:rPr>
          <w:rFonts w:ascii="Courier New" w:hAnsi="Courier New" w:cs="Courier New"/>
          <w:lang w:eastAsia="de-DE"/>
        </w:rPr>
        <w:t>intoxication, faire appel à un médecin.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atropine et la </w:t>
      </w:r>
      <w:r w:rsidRPr="008E1FA7">
        <w:rPr>
          <w:rFonts w:ascii="Courier New" w:hAnsi="Courier New" w:cs="Courier New"/>
          <w:lang w:eastAsia="de-DE"/>
        </w:rPr>
        <w:br/>
        <w:t xml:space="preserve">    </w:t>
      </w:r>
      <w:proofErr w:type="spellStart"/>
      <w:r w:rsidR="00371363" w:rsidRPr="008E1FA7">
        <w:rPr>
          <w:rFonts w:ascii="Courier New" w:hAnsi="Courier New" w:cs="Courier New"/>
          <w:lang w:eastAsia="de-DE"/>
        </w:rPr>
        <w:t>pralidoxime</w:t>
      </w:r>
      <w:proofErr w:type="spellEnd"/>
      <w:r w:rsidR="00371363" w:rsidRPr="008E1FA7">
        <w:rPr>
          <w:rFonts w:ascii="Courier New" w:hAnsi="Courier New" w:cs="Courier New"/>
          <w:lang w:eastAsia="de-DE"/>
        </w:rPr>
        <w:t xml:space="preserve"> sont les antidotes spécifiques et la mise en œuvre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w:t>
      </w:r>
      <w:r w:rsidRPr="008E1FA7">
        <w:rPr>
          <w:rFonts w:ascii="Courier New" w:hAnsi="Courier New" w:cs="Courier New"/>
          <w:lang w:eastAsia="de-DE"/>
        </w:rPr>
        <w:br/>
        <w:t xml:space="preserve">    </w:t>
      </w:r>
      <w:r w:rsidR="00371363" w:rsidRPr="008E1FA7">
        <w:rPr>
          <w:rFonts w:ascii="Courier New" w:hAnsi="Courier New" w:cs="Courier New"/>
          <w:lang w:eastAsia="de-DE"/>
        </w:rPr>
        <w:t>respiration artificielle peut être nécessaire.</w:t>
      </w:r>
    </w:p>
    <w:p w14:paraId="707E6F43" w14:textId="7EC7435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D7F5B72" w14:textId="3D709B6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Préparations de la catégorie 5</w:t>
      </w:r>
    </w:p>
    <w:p w14:paraId="59E3F2DD" w14:textId="2407B7F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8E8E8F2" w14:textId="65F3795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L</w:t>
      </w:r>
      <w:r w:rsidR="001503DA" w:rsidRPr="008E1FA7">
        <w:rPr>
          <w:rFonts w:ascii="Courier New" w:hAnsi="Courier New" w:cs="Courier New"/>
          <w:u w:val="single"/>
          <w:lang w:eastAsia="de-DE"/>
        </w:rPr>
        <w:t>’</w:t>
      </w:r>
      <w:r w:rsidR="00371363" w:rsidRPr="008E1FA7">
        <w:rPr>
          <w:rFonts w:ascii="Courier New" w:hAnsi="Courier New" w:cs="Courier New"/>
          <w:u w:val="single"/>
          <w:lang w:eastAsia="de-DE"/>
        </w:rPr>
        <w:t>étiquette doit comporter au minimum les conseils de prudence ci</w:t>
      </w:r>
      <w:r w:rsidR="00371363" w:rsidRPr="008E1FA7">
        <w:rPr>
          <w:rFonts w:ascii="Courier New" w:hAnsi="Courier New" w:cs="Courier New"/>
          <w:u w:val="single"/>
          <w:lang w:eastAsia="de-DE"/>
        </w:rPr>
        <w:noBreakHyphen/>
        <w:t>après</w:t>
      </w:r>
    </w:p>
    <w:p w14:paraId="3A3D4B87" w14:textId="00DD2ED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C875C0C" w14:textId="61C5D27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Cette préparation contient du fenthion, substance toxique qui provoque une </w:t>
      </w:r>
      <w:r w:rsidRPr="008E1FA7">
        <w:rPr>
          <w:rFonts w:ascii="Courier New" w:hAnsi="Courier New" w:cs="Courier New"/>
          <w:lang w:eastAsia="de-DE"/>
        </w:rPr>
        <w:br/>
        <w:t xml:space="preserve">    </w:t>
      </w:r>
      <w:r w:rsidR="00371363" w:rsidRPr="008E1FA7">
        <w:rPr>
          <w:rFonts w:ascii="Courier New" w:hAnsi="Courier New" w:cs="Courier New"/>
          <w:lang w:eastAsia="de-DE"/>
        </w:rPr>
        <w:t>intoxication en cas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ingestion. Conserver hors de la portée des enfants et </w:t>
      </w:r>
      <w:r w:rsidRPr="008E1FA7">
        <w:rPr>
          <w:rFonts w:ascii="Courier New" w:hAnsi="Courier New" w:cs="Courier New"/>
          <w:lang w:eastAsia="de-DE"/>
        </w:rPr>
        <w:br/>
        <w:t xml:space="preserve">    </w:t>
      </w:r>
      <w:r w:rsidR="00371363" w:rsidRPr="008E1FA7">
        <w:rPr>
          <w:rFonts w:ascii="Courier New" w:hAnsi="Courier New" w:cs="Courier New"/>
          <w:lang w:eastAsia="de-DE"/>
        </w:rPr>
        <w:t>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écart des denrées alimentaires, de la nourriture pour animaux et de </w:t>
      </w:r>
      <w:r w:rsidRPr="008E1FA7">
        <w:rPr>
          <w:rFonts w:ascii="Courier New" w:hAnsi="Courier New" w:cs="Courier New"/>
          <w:lang w:eastAsia="de-DE"/>
        </w:rPr>
        <w:br/>
        <w:t xml:space="preserve">    </w:t>
      </w:r>
      <w:r w:rsidR="00371363" w:rsidRPr="008E1FA7">
        <w:rPr>
          <w:rFonts w:ascii="Courier New" w:hAnsi="Courier New" w:cs="Courier New"/>
          <w:lang w:eastAsia="de-DE"/>
        </w:rPr>
        <w:t>leur emballage.</w:t>
      </w:r>
    </w:p>
    <w:p w14:paraId="4FE328AD" w14:textId="57A2E05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89C5966" w14:textId="1E84B71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91" w:name="EndSectionTitle:3.7__LABELLING"/>
      <w:bookmarkStart w:id="92" w:name="SectionTitle:3.8__RESIDUES_IN_FOOD"/>
      <w:bookmarkEnd w:id="91"/>
      <w:bookmarkEnd w:id="92"/>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3.8  RÉSIDUS DANS LES DENRÉES ALIMENTAIRES</w:t>
      </w:r>
    </w:p>
    <w:p w14:paraId="011E951F" w14:textId="64715050"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D4B6B6E" w14:textId="4D0B5D15"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La Réunion conjointe FAO/OMS sur les résidus de pesticides a formulé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recommandations relatives aux limites maximales de résidus pour le </w:t>
      </w:r>
      <w:r w:rsidRPr="008E1FA7">
        <w:rPr>
          <w:rFonts w:ascii="Courier New" w:hAnsi="Courier New" w:cs="Courier New"/>
          <w:lang w:eastAsia="de-DE"/>
        </w:rPr>
        <w:br/>
        <w:t xml:space="preserve">    </w:t>
      </w:r>
      <w:r w:rsidR="00371363" w:rsidRPr="008E1FA7">
        <w:rPr>
          <w:rFonts w:ascii="Courier New" w:hAnsi="Courier New" w:cs="Courier New"/>
          <w:lang w:eastAsia="de-DE"/>
        </w:rPr>
        <w:t>fenthion.</w:t>
      </w:r>
    </w:p>
    <w:p w14:paraId="21651209" w14:textId="47FECDC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D71B5A7" w14:textId="5F3357B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93" w:name="EndSectionTitle:3.8__RESIDUES_IN_FOOD"/>
      <w:bookmarkStart w:id="94" w:name="EndPartTitle:Part_3_-_For_regulatory_aut"/>
      <w:bookmarkStart w:id="95" w:name="PartTitle:Part_4_-_Prevention_of_poisoni"/>
      <w:bookmarkEnd w:id="93"/>
      <w:bookmarkEnd w:id="94"/>
      <w:bookmarkEnd w:id="95"/>
      <w:r w:rsidRPr="008E1FA7">
        <w:rPr>
          <w:rFonts w:ascii="Courier New" w:hAnsi="Courier New" w:cs="Courier New"/>
          <w:lang w:eastAsia="de-DE"/>
        </w:rPr>
        <w:t xml:space="preserve">    </w:t>
      </w:r>
      <w:r w:rsidR="00371363" w:rsidRPr="008E1FA7">
        <w:rPr>
          <w:rFonts w:ascii="Courier New" w:hAnsi="Courier New" w:cs="Courier New"/>
          <w:color w:val="008000"/>
          <w:lang w:eastAsia="de-DE"/>
        </w:rPr>
        <w:t>Partie 4 - Prévention des cas d</w:t>
      </w:r>
      <w:r w:rsidR="001503DA" w:rsidRPr="008E1FA7">
        <w:rPr>
          <w:rFonts w:ascii="Courier New" w:hAnsi="Courier New" w:cs="Courier New"/>
          <w:color w:val="008000"/>
          <w:lang w:eastAsia="de-DE"/>
        </w:rPr>
        <w:t>’</w:t>
      </w:r>
      <w:r w:rsidR="00371363" w:rsidRPr="008E1FA7">
        <w:rPr>
          <w:rFonts w:ascii="Courier New" w:hAnsi="Courier New" w:cs="Courier New"/>
          <w:color w:val="008000"/>
          <w:lang w:eastAsia="de-DE"/>
        </w:rPr>
        <w:t>intoxication chez l</w:t>
      </w:r>
      <w:r w:rsidR="001503DA" w:rsidRPr="008E1FA7">
        <w:rPr>
          <w:rFonts w:ascii="Courier New" w:hAnsi="Courier New" w:cs="Courier New"/>
          <w:color w:val="008000"/>
          <w:lang w:eastAsia="de-DE"/>
        </w:rPr>
        <w:t>’</w:t>
      </w:r>
      <w:r w:rsidR="00371363" w:rsidRPr="008E1FA7">
        <w:rPr>
          <w:rFonts w:ascii="Courier New" w:hAnsi="Courier New" w:cs="Courier New"/>
          <w:color w:val="008000"/>
          <w:lang w:eastAsia="de-DE"/>
        </w:rPr>
        <w:t xml:space="preserve">homme et premiers </w:t>
      </w:r>
      <w:r w:rsidRPr="008E1FA7">
        <w:rPr>
          <w:rFonts w:ascii="Courier New" w:hAnsi="Courier New" w:cs="Courier New"/>
          <w:color w:val="008000"/>
          <w:lang w:eastAsia="de-DE"/>
        </w:rPr>
        <w:br/>
      </w:r>
      <w:r w:rsidRPr="008E1FA7">
        <w:rPr>
          <w:rFonts w:ascii="Courier New" w:hAnsi="Courier New" w:cs="Courier New"/>
          <w:lang w:eastAsia="de-DE"/>
        </w:rPr>
        <w:t xml:space="preserve">    </w:t>
      </w:r>
      <w:r w:rsidR="00371363" w:rsidRPr="008E1FA7">
        <w:rPr>
          <w:rFonts w:ascii="Courier New" w:hAnsi="Courier New" w:cs="Courier New"/>
          <w:color w:val="008000"/>
          <w:lang w:eastAsia="de-DE"/>
        </w:rPr>
        <w:t>secours</w:t>
      </w:r>
    </w:p>
    <w:p w14:paraId="0DF5D0D3"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96" w:name="SectionTitle:4.1__PRECAUTIONS_IN_USE"/>
      <w:bookmarkEnd w:id="96"/>
      <w:r w:rsidRPr="008E1FA7">
        <w:rPr>
          <w:rFonts w:ascii="Courier New" w:hAnsi="Courier New" w:cs="Courier New"/>
          <w:lang w:eastAsia="de-DE"/>
        </w:rPr>
        <w:t xml:space="preserve">    </w:t>
      </w:r>
    </w:p>
    <w:p w14:paraId="54458BC6" w14:textId="230AE37D"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4.1  PRÉCAUTIONS D</w:t>
      </w:r>
      <w:r w:rsidR="001503DA" w:rsidRPr="008E1FA7">
        <w:rPr>
          <w:rFonts w:ascii="Courier New" w:hAnsi="Courier New" w:cs="Courier New"/>
          <w:color w:val="0000FF"/>
          <w:lang w:eastAsia="de-DE"/>
        </w:rPr>
        <w:t>’</w:t>
      </w:r>
      <w:r w:rsidR="00371363" w:rsidRPr="008E1FA7">
        <w:rPr>
          <w:rFonts w:ascii="Courier New" w:hAnsi="Courier New" w:cs="Courier New"/>
          <w:color w:val="0000FF"/>
          <w:lang w:eastAsia="de-DE"/>
        </w:rPr>
        <w:t>EMPLOI</w:t>
      </w:r>
    </w:p>
    <w:p w14:paraId="0B1010E9" w14:textId="694C2BD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265764B" w14:textId="2A3B06A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97" w:name="SubSectionTitle:4.1.1__General"/>
      <w:bookmarkEnd w:id="97"/>
      <w:r w:rsidRPr="008E1FA7">
        <w:rPr>
          <w:rFonts w:ascii="Courier New" w:hAnsi="Courier New" w:cs="Courier New"/>
          <w:lang w:eastAsia="de-DE"/>
        </w:rPr>
        <w:t xml:space="preserve">    </w:t>
      </w:r>
      <w:r w:rsidR="00371363" w:rsidRPr="008E1FA7">
        <w:rPr>
          <w:rFonts w:ascii="Courier New" w:hAnsi="Courier New" w:cs="Courier New"/>
          <w:lang w:eastAsia="de-DE"/>
        </w:rPr>
        <w:t>4.1.1  Généralités</w:t>
      </w:r>
    </w:p>
    <w:p w14:paraId="1D729067" w14:textId="77777777" w:rsidR="003422E8"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1E0FC4C" w14:textId="4E116B09" w:rsidR="00371363" w:rsidRPr="008E1FA7" w:rsidRDefault="003422E8" w:rsidP="003422E8">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un pesticide organophosphoré présentant une toxicité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modérée; il pénètre à travers la peau, même non lésée, et est également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absorbé par inhalation ou par les voies gastro-intestinales. La plupart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préparations devraient être manipulées par du personnel formé et portant </w:t>
      </w:r>
      <w:r w:rsidRPr="008E1FA7">
        <w:rPr>
          <w:rFonts w:ascii="Courier New" w:hAnsi="Courier New" w:cs="Courier New"/>
          <w:lang w:eastAsia="de-DE"/>
        </w:rPr>
        <w:br/>
        <w:t xml:space="preserve">    </w:t>
      </w:r>
      <w:r w:rsidR="00371363" w:rsidRPr="008E1FA7">
        <w:rPr>
          <w:rFonts w:ascii="Courier New" w:hAnsi="Courier New" w:cs="Courier New"/>
          <w:lang w:eastAsia="de-DE"/>
        </w:rPr>
        <w:t>des vêtements de protection.</w:t>
      </w:r>
    </w:p>
    <w:p w14:paraId="3F3BD74D" w14:textId="0D441423"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5BF7E82" w14:textId="07C52A5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98" w:name=":4.1.1__General"/>
      <w:bookmarkStart w:id="99" w:name="SubSectionTitle:4.1.2__Manufacture_and_f"/>
      <w:bookmarkEnd w:id="98"/>
      <w:bookmarkEnd w:id="99"/>
      <w:r w:rsidRPr="008E1FA7">
        <w:rPr>
          <w:rFonts w:ascii="Courier New" w:hAnsi="Courier New" w:cs="Courier New"/>
          <w:lang w:eastAsia="de-DE"/>
        </w:rPr>
        <w:t xml:space="preserve">    </w:t>
      </w:r>
      <w:r w:rsidR="00371363" w:rsidRPr="008E1FA7">
        <w:rPr>
          <w:rFonts w:ascii="Courier New" w:hAnsi="Courier New" w:cs="Courier New"/>
          <w:lang w:eastAsia="de-DE"/>
        </w:rPr>
        <w:t>4.1.2  Fabrication et préparation</w:t>
      </w:r>
    </w:p>
    <w:p w14:paraId="4E6543C0" w14:textId="31F69BE8"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DE506C7" w14:textId="5CC7EB9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u w:val="single"/>
          <w:lang w:eastAsia="de-DE"/>
        </w:rPr>
        <w:t>V.L.E.</w:t>
      </w:r>
    </w:p>
    <w:p w14:paraId="7641B497" w14:textId="7CA7128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1B9FCD1" w14:textId="307E5767"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Aucune information.</w:t>
      </w:r>
    </w:p>
    <w:p w14:paraId="6724B06B" w14:textId="79EBD139"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590F88E" w14:textId="0B1F3AFC"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Des systèmes clos et une ventilation forcée peuvent être nécessaires pour </w:t>
      </w:r>
      <w:r w:rsidRPr="008E1FA7">
        <w:rPr>
          <w:rFonts w:ascii="Courier New" w:hAnsi="Courier New" w:cs="Courier New"/>
          <w:lang w:eastAsia="de-DE"/>
        </w:rPr>
        <w:br/>
        <w:t xml:space="preserve">    </w:t>
      </w:r>
      <w:r w:rsidR="00371363" w:rsidRPr="008E1FA7">
        <w:rPr>
          <w:rFonts w:ascii="Courier New" w:hAnsi="Courier New" w:cs="Courier New"/>
          <w:lang w:eastAsia="de-DE"/>
        </w:rPr>
        <w:t>réduire autant que possible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exposition des travailleurs à la substance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chimique. La préparation ne devrait pas être effectuée sans les conseils du </w:t>
      </w:r>
      <w:r w:rsidRPr="008E1FA7">
        <w:rPr>
          <w:rFonts w:ascii="Courier New" w:hAnsi="Courier New" w:cs="Courier New"/>
          <w:lang w:eastAsia="de-DE"/>
        </w:rPr>
        <w:br/>
        <w:t xml:space="preserve">    </w:t>
      </w:r>
      <w:r w:rsidR="00371363" w:rsidRPr="008E1FA7">
        <w:rPr>
          <w:rFonts w:ascii="Courier New" w:hAnsi="Courier New" w:cs="Courier New"/>
          <w:lang w:eastAsia="de-DE"/>
        </w:rPr>
        <w:t>fabricant.</w:t>
      </w:r>
    </w:p>
    <w:p w14:paraId="60B28340"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00" w:name=":4.1.2__Manufacture_and_formulation"/>
      <w:bookmarkStart w:id="101" w:name="SubSectionTitle:4.1.3__Mixers_and_applic"/>
      <w:bookmarkEnd w:id="100"/>
      <w:bookmarkEnd w:id="101"/>
      <w:r w:rsidRPr="008E1FA7">
        <w:rPr>
          <w:rFonts w:ascii="Courier New" w:hAnsi="Courier New" w:cs="Courier New"/>
          <w:lang w:eastAsia="de-DE"/>
        </w:rPr>
        <w:t xml:space="preserve">    </w:t>
      </w:r>
    </w:p>
    <w:p w14:paraId="6CCB3E8E" w14:textId="3B622875" w:rsidR="00371363" w:rsidRPr="008E1FA7" w:rsidRDefault="003422E8" w:rsidP="004D260F">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4.1.3  Opérateurs de mélange et de pulvérisation</w:t>
      </w:r>
    </w:p>
    <w:p w14:paraId="4C2BBF8D" w14:textId="3FB6F429" w:rsidR="00371363" w:rsidRPr="008E1FA7" w:rsidRDefault="003422E8" w:rsidP="004D260F">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56068B4" w14:textId="197F72EA" w:rsidR="00371363" w:rsidRPr="008E1FA7" w:rsidRDefault="003422E8" w:rsidP="004D260F">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Les opérateurs de mélange doivent, pendant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ouverture des récipients et le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mélange, porter des bottes de protection imperméables, une combinaison </w:t>
      </w:r>
      <w:r w:rsidRPr="008E1FA7">
        <w:rPr>
          <w:rFonts w:ascii="Courier New" w:hAnsi="Courier New" w:cs="Courier New"/>
          <w:lang w:eastAsia="de-DE"/>
        </w:rPr>
        <w:br/>
        <w:t xml:space="preserve">    </w:t>
      </w:r>
      <w:r w:rsidR="00371363" w:rsidRPr="008E1FA7">
        <w:rPr>
          <w:rFonts w:ascii="Courier New" w:hAnsi="Courier New" w:cs="Courier New"/>
          <w:lang w:eastAsia="de-DE"/>
        </w:rPr>
        <w:t>propre, des gants et un masque à filtre. Le mélange, s</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il ne se fait pas </w:t>
      </w:r>
      <w:r w:rsidRPr="008E1FA7">
        <w:rPr>
          <w:rFonts w:ascii="Courier New" w:hAnsi="Courier New" w:cs="Courier New"/>
          <w:lang w:eastAsia="de-DE"/>
        </w:rPr>
        <w:br/>
        <w:t xml:space="preserve">    </w:t>
      </w:r>
      <w:r w:rsidR="00371363" w:rsidRPr="008E1FA7">
        <w:rPr>
          <w:rFonts w:ascii="Courier New" w:hAnsi="Courier New" w:cs="Courier New"/>
          <w:lang w:eastAsia="de-DE"/>
        </w:rPr>
        <w:t>mécaniquement, doit toujours être réalisé à l</w:t>
      </w:r>
      <w:r w:rsidR="001503DA" w:rsidRPr="008E1FA7">
        <w:rPr>
          <w:rFonts w:ascii="Courier New" w:hAnsi="Courier New" w:cs="Courier New"/>
          <w:lang w:eastAsia="de-DE"/>
        </w:rPr>
        <w:t>’</w:t>
      </w:r>
      <w:r w:rsidR="00371363" w:rsidRPr="008E1FA7">
        <w:rPr>
          <w:rFonts w:ascii="Courier New" w:hAnsi="Courier New" w:cs="Courier New"/>
          <w:lang w:eastAsia="de-DE"/>
        </w:rPr>
        <w:t>aide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spatule de </w:t>
      </w:r>
      <w:r w:rsidRPr="008E1FA7">
        <w:rPr>
          <w:rFonts w:ascii="Courier New" w:hAnsi="Courier New" w:cs="Courier New"/>
          <w:lang w:eastAsia="de-DE"/>
        </w:rPr>
        <w:br/>
        <w:t xml:space="preserve">    </w:t>
      </w:r>
      <w:r w:rsidR="00371363" w:rsidRPr="008E1FA7">
        <w:rPr>
          <w:rFonts w:ascii="Courier New" w:hAnsi="Courier New" w:cs="Courier New"/>
          <w:lang w:eastAsia="de-DE"/>
        </w:rPr>
        <w:t>longueur appropriée. Les opérateurs de pulvérisation doivent, s</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ils </w:t>
      </w:r>
      <w:r w:rsidRPr="008E1FA7">
        <w:rPr>
          <w:rFonts w:ascii="Courier New" w:hAnsi="Courier New" w:cs="Courier New"/>
          <w:lang w:eastAsia="de-DE"/>
        </w:rPr>
        <w:br/>
        <w:t xml:space="preserve">    </w:t>
      </w:r>
      <w:r w:rsidR="00371363" w:rsidRPr="008E1FA7">
        <w:rPr>
          <w:rFonts w:ascii="Courier New" w:hAnsi="Courier New" w:cs="Courier New"/>
          <w:lang w:eastAsia="de-DE"/>
        </w:rPr>
        <w:t>pulvérisent des herbes hautes ou s</w:t>
      </w:r>
      <w:r w:rsidR="001503DA" w:rsidRPr="008E1FA7">
        <w:rPr>
          <w:rFonts w:ascii="Courier New" w:hAnsi="Courier New" w:cs="Courier New"/>
          <w:lang w:eastAsia="de-DE"/>
        </w:rPr>
        <w:t>’</w:t>
      </w:r>
      <w:r w:rsidR="00371363" w:rsidRPr="008E1FA7">
        <w:rPr>
          <w:rFonts w:ascii="Courier New" w:hAnsi="Courier New" w:cs="Courier New"/>
          <w:lang w:eastAsia="de-DE"/>
        </w:rPr>
        <w:t>ils appliquent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herbicide par </w:t>
      </w:r>
      <w:r w:rsidRPr="008E1FA7">
        <w:rPr>
          <w:rFonts w:ascii="Courier New" w:hAnsi="Courier New" w:cs="Courier New"/>
          <w:lang w:eastAsia="de-DE"/>
        </w:rPr>
        <w:br/>
        <w:t xml:space="preserve">    </w:t>
      </w:r>
      <w:r w:rsidR="00371363" w:rsidRPr="008E1FA7">
        <w:rPr>
          <w:rFonts w:ascii="Courier New" w:hAnsi="Courier New" w:cs="Courier New"/>
          <w:lang w:eastAsia="de-DE"/>
        </w:rPr>
        <w:t>pulvérisation aérienne, porter un masque à filtre ainsi qu</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capuche,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vêtements, des bottes et des gants imperméables. Les opérateurs doivent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éviter de travailler dans le brouillard de pulvérisation et éviter tout </w:t>
      </w:r>
      <w:r w:rsidRPr="008E1FA7">
        <w:rPr>
          <w:rFonts w:ascii="Courier New" w:hAnsi="Courier New" w:cs="Courier New"/>
          <w:lang w:eastAsia="de-DE"/>
        </w:rPr>
        <w:br/>
        <w:t xml:space="preserve">    </w:t>
      </w:r>
      <w:r w:rsidR="00371363" w:rsidRPr="008E1FA7">
        <w:rPr>
          <w:rFonts w:ascii="Courier New" w:hAnsi="Courier New" w:cs="Courier New"/>
          <w:lang w:eastAsia="de-DE"/>
        </w:rPr>
        <w:t>contact avec la bouche.</w:t>
      </w:r>
    </w:p>
    <w:p w14:paraId="1E9D8B1F" w14:textId="24887F62"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3A3A142" w14:textId="4A5CA2D1" w:rsidR="003422E8"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Après utilisation,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équipement doit être lavé avec un grand soin. Tous les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vêtements de protection devraient être lavés immédiatement après </w:t>
      </w:r>
      <w:r w:rsidRPr="008E1FA7">
        <w:rPr>
          <w:rFonts w:ascii="Courier New" w:hAnsi="Courier New" w:cs="Courier New"/>
          <w:lang w:eastAsia="de-DE"/>
        </w:rPr>
        <w:br/>
        <w:t xml:space="preserve">    </w:t>
      </w:r>
      <w:r w:rsidR="00371363" w:rsidRPr="008E1FA7">
        <w:rPr>
          <w:rFonts w:ascii="Courier New" w:hAnsi="Courier New" w:cs="Courier New"/>
          <w:lang w:eastAsia="de-DE"/>
        </w:rPr>
        <w:t>utilisation, y compris l</w:t>
      </w:r>
      <w:r w:rsidR="001503DA" w:rsidRPr="008E1FA7">
        <w:rPr>
          <w:rFonts w:ascii="Courier New" w:hAnsi="Courier New" w:cs="Courier New"/>
          <w:lang w:eastAsia="de-DE"/>
        </w:rPr>
        <w:t>’</w:t>
      </w:r>
      <w:r w:rsidR="00371363" w:rsidRPr="008E1FA7">
        <w:rPr>
          <w:rFonts w:ascii="Courier New" w:hAnsi="Courier New" w:cs="Courier New"/>
          <w:lang w:eastAsia="de-DE"/>
        </w:rPr>
        <w:t>intérieur des gants. En cas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éclaboussures sur la </w:t>
      </w:r>
      <w:r w:rsidRPr="008E1FA7">
        <w:rPr>
          <w:rFonts w:ascii="Courier New" w:hAnsi="Courier New" w:cs="Courier New"/>
          <w:lang w:eastAsia="de-DE"/>
        </w:rPr>
        <w:br/>
        <w:t xml:space="preserve">    </w:t>
      </w:r>
      <w:r w:rsidR="00371363" w:rsidRPr="008E1FA7">
        <w:rPr>
          <w:rFonts w:ascii="Courier New" w:hAnsi="Courier New" w:cs="Courier New"/>
          <w:lang w:eastAsia="de-DE"/>
        </w:rPr>
        <w:t>peau ou dans les yeux, laver abondamment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eau. Avant de manger, de boire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ou de fumer, il faut se laver les mains et toute autre partie de la peau </w:t>
      </w:r>
    </w:p>
    <w:p w14:paraId="1CEEF3EA" w14:textId="376E09BD"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qui se trouve exposée.</w:t>
      </w:r>
    </w:p>
    <w:p w14:paraId="16100EB5" w14:textId="13786A4F"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1110029" w14:textId="4C76B15E" w:rsidR="00371363" w:rsidRPr="008E1FA7" w:rsidRDefault="003422E8"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02" w:name=":4.1.3__Mixers_and_applicators"/>
      <w:bookmarkStart w:id="103" w:name="SubSectionTitle:4.1.4__Other_associated_"/>
      <w:bookmarkEnd w:id="102"/>
      <w:bookmarkEnd w:id="103"/>
      <w:r w:rsidRPr="008E1FA7">
        <w:rPr>
          <w:rFonts w:ascii="Courier New" w:hAnsi="Courier New" w:cs="Courier New"/>
          <w:lang w:eastAsia="de-DE"/>
        </w:rPr>
        <w:t xml:space="preserve">    </w:t>
      </w:r>
      <w:r w:rsidR="00371363" w:rsidRPr="008E1FA7">
        <w:rPr>
          <w:rFonts w:ascii="Courier New" w:hAnsi="Courier New" w:cs="Courier New"/>
          <w:lang w:eastAsia="de-DE"/>
        </w:rPr>
        <w:t xml:space="preserve">4.1.4  Autres travailleurs associés (y compris les signaleurs dans les </w:t>
      </w:r>
      <w:r w:rsidRPr="008E1FA7">
        <w:rPr>
          <w:rFonts w:ascii="Courier New" w:hAnsi="Courier New" w:cs="Courier New"/>
          <w:lang w:eastAsia="de-DE"/>
        </w:rPr>
        <w:br/>
        <w:t xml:space="preserve">    </w:t>
      </w:r>
      <w:r w:rsidR="00513F56" w:rsidRPr="008E1FA7">
        <w:rPr>
          <w:rFonts w:ascii="Courier New" w:hAnsi="Courier New" w:cs="Courier New"/>
          <w:lang w:eastAsia="de-DE"/>
        </w:rPr>
        <w:tab/>
      </w:r>
      <w:r w:rsidR="00513F56" w:rsidRPr="008E1FA7">
        <w:rPr>
          <w:rFonts w:ascii="Courier New" w:hAnsi="Courier New" w:cs="Courier New"/>
          <w:lang w:eastAsia="de-DE"/>
        </w:rPr>
        <w:tab/>
      </w:r>
      <w:r w:rsidR="00371363" w:rsidRPr="008E1FA7">
        <w:rPr>
          <w:rFonts w:ascii="Courier New" w:hAnsi="Courier New" w:cs="Courier New"/>
          <w:lang w:eastAsia="de-DE"/>
        </w:rPr>
        <w:t>opérations aériennes)</w:t>
      </w:r>
    </w:p>
    <w:p w14:paraId="043FE689" w14:textId="6F02B4C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27BCDBF" w14:textId="61EDC234"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personnes exposées au fenthion ou associées à son application devraient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porter des vêtements de protection et observer les précautions indiquées à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la section 4.1.3 sous la rubrique « Opérateurs de mélange et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pulvérisation ». </w:t>
      </w:r>
    </w:p>
    <w:p w14:paraId="0290CB4D" w14:textId="7940391A"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7D3F1ED" w14:textId="2BBC4F96"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04" w:name=":4.1.4__Other_associated_workers_(includ"/>
      <w:bookmarkStart w:id="105" w:name="SubSectionTitle:4.1.5__Other_populations"/>
      <w:bookmarkEnd w:id="104"/>
      <w:bookmarkEnd w:id="105"/>
      <w:r w:rsidRPr="008E1FA7">
        <w:rPr>
          <w:rFonts w:ascii="Courier New" w:hAnsi="Courier New" w:cs="Courier New"/>
          <w:lang w:eastAsia="de-DE"/>
        </w:rPr>
        <w:t xml:space="preserve">    </w:t>
      </w:r>
      <w:r w:rsidR="00371363" w:rsidRPr="008E1FA7">
        <w:rPr>
          <w:rFonts w:ascii="Courier New" w:hAnsi="Courier New" w:cs="Courier New"/>
          <w:lang w:eastAsia="de-DE"/>
        </w:rPr>
        <w:t>4.1.5  Autres populations susceptibles d</w:t>
      </w:r>
      <w:r w:rsidR="001503DA" w:rsidRPr="008E1FA7">
        <w:rPr>
          <w:rFonts w:ascii="Courier New" w:hAnsi="Courier New" w:cs="Courier New"/>
          <w:lang w:eastAsia="de-DE"/>
        </w:rPr>
        <w:t>’</w:t>
      </w:r>
      <w:r w:rsidR="00371363" w:rsidRPr="008E1FA7">
        <w:rPr>
          <w:rFonts w:ascii="Courier New" w:hAnsi="Courier New" w:cs="Courier New"/>
          <w:lang w:eastAsia="de-DE"/>
        </w:rPr>
        <w:t>être affectées</w:t>
      </w:r>
    </w:p>
    <w:p w14:paraId="209F9809" w14:textId="77777777" w:rsidR="003422E8"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06" w:name="_Hlk70333724"/>
      <w:r w:rsidRPr="008E1FA7">
        <w:rPr>
          <w:rFonts w:ascii="Courier New" w:hAnsi="Courier New" w:cs="Courier New"/>
          <w:lang w:eastAsia="de-DE"/>
        </w:rPr>
        <w:t xml:space="preserve">    </w:t>
      </w:r>
    </w:p>
    <w:bookmarkEnd w:id="106"/>
    <w:p w14:paraId="68F4BB9F" w14:textId="60EEB68B" w:rsidR="00371363" w:rsidRPr="008E1FA7" w:rsidRDefault="003422E8"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Avec de bonnes pratiques agricoles, sous réserve de la section 4.2 </w:t>
      </w:r>
      <w:r w:rsidRPr="008E1FA7">
        <w:rPr>
          <w:rFonts w:ascii="Courier New" w:hAnsi="Courier New" w:cs="Courier New"/>
          <w:lang w:eastAsia="de-DE"/>
        </w:rPr>
        <w:br/>
        <w:t xml:space="preserve">    </w:t>
      </w:r>
      <w:r w:rsidR="00371363" w:rsidRPr="008E1FA7">
        <w:rPr>
          <w:rFonts w:ascii="Courier New" w:hAnsi="Courier New" w:cs="Courier New"/>
          <w:lang w:eastAsia="de-DE"/>
        </w:rPr>
        <w:t>ci</w:t>
      </w:r>
      <w:r w:rsidR="00371363" w:rsidRPr="008E1FA7">
        <w:rPr>
          <w:rFonts w:ascii="Courier New" w:hAnsi="Courier New" w:cs="Courier New"/>
          <w:lang w:eastAsia="de-DE"/>
        </w:rPr>
        <w:noBreakHyphen/>
        <w:t xml:space="preserve">dessous, la population ne devrait pas être exposée à des quantités de </w:t>
      </w:r>
      <w:r w:rsidRPr="008E1FA7">
        <w:rPr>
          <w:rFonts w:ascii="Courier New" w:hAnsi="Courier New" w:cs="Courier New"/>
          <w:lang w:eastAsia="de-DE"/>
        </w:rPr>
        <w:br/>
        <w:t xml:space="preserve">    </w:t>
      </w:r>
      <w:r w:rsidR="00371363" w:rsidRPr="008E1FA7">
        <w:rPr>
          <w:rFonts w:ascii="Courier New" w:hAnsi="Courier New" w:cs="Courier New"/>
          <w:lang w:eastAsia="de-DE"/>
        </w:rPr>
        <w:t>fenthion dangereuses pour la santé.</w:t>
      </w:r>
    </w:p>
    <w:p w14:paraId="62A31C3E" w14:textId="77777777" w:rsidR="00C10E36"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07" w:name=":4.1.5__Other_populations_likely_to_be_a"/>
      <w:bookmarkStart w:id="108" w:name="EndSectionTitle:4.1__PRECAUTIONS_IN_USE"/>
      <w:bookmarkStart w:id="109" w:name="SectionTitle:4.2__ENTRY_OF_PERSONS_INTO_"/>
      <w:bookmarkEnd w:id="107"/>
      <w:bookmarkEnd w:id="108"/>
      <w:bookmarkEnd w:id="109"/>
      <w:r w:rsidRPr="008E1FA7">
        <w:rPr>
          <w:rFonts w:ascii="Courier New" w:hAnsi="Courier New" w:cs="Courier New"/>
          <w:lang w:eastAsia="de-DE"/>
        </w:rPr>
        <w:t xml:space="preserve">    </w:t>
      </w:r>
    </w:p>
    <w:p w14:paraId="00E1076E" w14:textId="77777777" w:rsidR="00C10E36"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56419AF" w14:textId="68F60F48"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4.2  ENTRÉE DES PERSONNES DANS LES ZONES TRAITÉES</w:t>
      </w:r>
    </w:p>
    <w:p w14:paraId="53E6BD5C" w14:textId="77777777" w:rsidR="00C10E36"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C3A056B" w14:textId="1B6492EF" w:rsidR="00371363"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Les personnes ne portant pas de protection devraient être tenues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écart </w:t>
      </w:r>
      <w:r w:rsidRPr="008E1FA7">
        <w:rPr>
          <w:rFonts w:ascii="Courier New" w:hAnsi="Courier New" w:cs="Courier New"/>
          <w:lang w:eastAsia="de-DE"/>
        </w:rPr>
        <w:br/>
        <w:t xml:space="preserve">    </w:t>
      </w:r>
      <w:r w:rsidR="00371363" w:rsidRPr="008E1FA7">
        <w:rPr>
          <w:rFonts w:ascii="Courier New" w:hAnsi="Courier New" w:cs="Courier New"/>
          <w:lang w:eastAsia="de-DE"/>
        </w:rPr>
        <w:t>des zones traitées pendant au moins un jour. (Ne s</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applique pas à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utilisation comme larvicide.)</w:t>
      </w:r>
    </w:p>
    <w:p w14:paraId="08EED894" w14:textId="29CB15B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DF75F3C" w14:textId="6F0E1A86"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10" w:name="EndSectionTitle:4.2__ENTRY_OF_PERSONS_IN"/>
      <w:bookmarkStart w:id="111" w:name="SectionTitle:4.3__SAFE_DISPOSAL_OF_CONTA"/>
      <w:bookmarkEnd w:id="110"/>
      <w:bookmarkEnd w:id="111"/>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4.3  ÉLIMINATION SANS DANGER DES RÉCIPIENTS ET DES DÉVERSEMENTS</w:t>
      </w:r>
    </w:p>
    <w:p w14:paraId="260D66DA" w14:textId="0B1C743A"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B2F7BCE" w14:textId="743B73AB"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résidus contenus dans les récipients devraient être vidés sous forme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diluée dans une fosse, en veillant à éviter toute contamination des eaux </w:t>
      </w:r>
      <w:r w:rsidRPr="008E1FA7">
        <w:rPr>
          <w:rFonts w:ascii="Courier New" w:hAnsi="Courier New" w:cs="Courier New"/>
          <w:lang w:eastAsia="de-DE"/>
        </w:rPr>
        <w:br/>
        <w:t xml:space="preserve">    </w:t>
      </w:r>
      <w:r w:rsidR="00371363" w:rsidRPr="008E1FA7">
        <w:rPr>
          <w:rFonts w:ascii="Courier New" w:hAnsi="Courier New" w:cs="Courier New"/>
          <w:lang w:eastAsia="de-DE"/>
        </w:rPr>
        <w:t>souterraines.</w:t>
      </w:r>
    </w:p>
    <w:p w14:paraId="17AD7A09" w14:textId="17758EEE"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La décontamination des récipients en vue de leur réutilisation à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autres </w:t>
      </w:r>
      <w:r w:rsidRPr="008E1FA7">
        <w:rPr>
          <w:rFonts w:ascii="Courier New" w:hAnsi="Courier New" w:cs="Courier New"/>
          <w:lang w:eastAsia="de-DE"/>
        </w:rPr>
        <w:br/>
        <w:t xml:space="preserve">    </w:t>
      </w:r>
      <w:r w:rsidR="00371363" w:rsidRPr="008E1FA7">
        <w:rPr>
          <w:rFonts w:ascii="Courier New" w:hAnsi="Courier New" w:cs="Courier New"/>
          <w:lang w:eastAsia="de-DE"/>
        </w:rPr>
        <w:t>fins ne devrait pas être autorisée. En cas de déversement, laver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aide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une solution d</w:t>
      </w:r>
      <w:r w:rsidR="001503DA" w:rsidRPr="008E1FA7">
        <w:rPr>
          <w:rFonts w:ascii="Courier New" w:hAnsi="Courier New" w:cs="Courier New"/>
          <w:lang w:eastAsia="de-DE"/>
        </w:rPr>
        <w:t>’</w:t>
      </w:r>
      <w:r w:rsidR="00371363" w:rsidRPr="008E1FA7">
        <w:rPr>
          <w:rFonts w:ascii="Courier New" w:hAnsi="Courier New" w:cs="Courier New"/>
          <w:lang w:eastAsia="de-DE"/>
        </w:rPr>
        <w:t>hydroxyde de sodium à 5 % et rincer abondamment à l</w:t>
      </w:r>
      <w:r w:rsidR="001503DA" w:rsidRPr="008E1FA7">
        <w:rPr>
          <w:rFonts w:ascii="Courier New" w:hAnsi="Courier New" w:cs="Courier New"/>
          <w:lang w:eastAsia="de-DE"/>
        </w:rPr>
        <w:t>’</w:t>
      </w:r>
      <w:r w:rsidR="00371363" w:rsidRPr="008E1FA7">
        <w:rPr>
          <w:rFonts w:ascii="Courier New" w:hAnsi="Courier New" w:cs="Courier New"/>
          <w:lang w:eastAsia="de-DE"/>
        </w:rPr>
        <w:t>eau.</w:t>
      </w:r>
    </w:p>
    <w:p w14:paraId="752F69D5" w14:textId="2BF3865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6FC03EB" w14:textId="387516A3"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12" w:name="EndSectionTitle:4.3__SAFE_DISPOSAL_OF_CO"/>
      <w:bookmarkStart w:id="113" w:name="SectionTitle:4.4__EMERGENCY_AID"/>
      <w:bookmarkEnd w:id="112"/>
      <w:bookmarkEnd w:id="113"/>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4.4  PREMIERS SECOURS</w:t>
      </w:r>
    </w:p>
    <w:p w14:paraId="7D2F2BCE" w14:textId="7EF2480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5B06B16" w14:textId="53005559"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14" w:name="SubSectionTitle:4.4.1__Early_symptoms_of"/>
      <w:bookmarkEnd w:id="114"/>
      <w:r w:rsidRPr="008E1FA7">
        <w:rPr>
          <w:rFonts w:ascii="Courier New" w:hAnsi="Courier New" w:cs="Courier New"/>
          <w:lang w:eastAsia="de-DE"/>
        </w:rPr>
        <w:t xml:space="preserve">    </w:t>
      </w:r>
      <w:r w:rsidR="00371363" w:rsidRPr="008E1FA7">
        <w:rPr>
          <w:rFonts w:ascii="Courier New" w:hAnsi="Courier New" w:cs="Courier New"/>
          <w:lang w:eastAsia="de-DE"/>
        </w:rPr>
        <w:t>4.4.1  Premiers symptômes d</w:t>
      </w:r>
      <w:r w:rsidR="001503DA" w:rsidRPr="008E1FA7">
        <w:rPr>
          <w:rFonts w:ascii="Courier New" w:hAnsi="Courier New" w:cs="Courier New"/>
          <w:lang w:eastAsia="de-DE"/>
        </w:rPr>
        <w:t>’</w:t>
      </w:r>
      <w:r w:rsidR="00371363" w:rsidRPr="008E1FA7">
        <w:rPr>
          <w:rFonts w:ascii="Courier New" w:hAnsi="Courier New" w:cs="Courier New"/>
          <w:lang w:eastAsia="de-DE"/>
        </w:rPr>
        <w:t>intoxication</w:t>
      </w:r>
    </w:p>
    <w:p w14:paraId="2C08D82D" w14:textId="657AA6A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A59FE20" w14:textId="55D98E31"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Les premiers symptômes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peuvent comprendre des maux de tête,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des vertiges, des troubles de la vue, une oppression thoracique,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douleurs articulaires et musculaires, des crampes abdominales, des </w:t>
      </w:r>
      <w:r w:rsidRPr="008E1FA7">
        <w:rPr>
          <w:rFonts w:ascii="Courier New" w:hAnsi="Courier New" w:cs="Courier New"/>
          <w:lang w:eastAsia="de-DE"/>
        </w:rPr>
        <w:br/>
        <w:t xml:space="preserve">    </w:t>
      </w:r>
      <w:r w:rsidR="00371363" w:rsidRPr="008E1FA7">
        <w:rPr>
          <w:rFonts w:ascii="Courier New" w:hAnsi="Courier New" w:cs="Courier New"/>
          <w:lang w:eastAsia="de-DE"/>
        </w:rPr>
        <w:t>diarrhées et des vomissements répétés.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autres symptômes peuvent se </w:t>
      </w:r>
      <w:r w:rsidRPr="008E1FA7">
        <w:rPr>
          <w:rFonts w:ascii="Courier New" w:hAnsi="Courier New" w:cs="Courier New"/>
          <w:lang w:eastAsia="de-DE"/>
        </w:rPr>
        <w:br/>
        <w:t xml:space="preserve">    </w:t>
      </w:r>
      <w:r w:rsidR="00371363" w:rsidRPr="008E1FA7">
        <w:rPr>
          <w:rFonts w:ascii="Courier New" w:hAnsi="Courier New" w:cs="Courier New"/>
          <w:lang w:eastAsia="de-DE"/>
        </w:rPr>
        <w:t>manifester, notamment une insomnie, une perte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appétit, une faiblesse, des </w:t>
      </w:r>
      <w:r w:rsidRPr="008E1FA7">
        <w:rPr>
          <w:rFonts w:ascii="Courier New" w:hAnsi="Courier New" w:cs="Courier New"/>
          <w:lang w:eastAsia="de-DE"/>
        </w:rPr>
        <w:br/>
        <w:t xml:space="preserve">    </w:t>
      </w:r>
      <w:r w:rsidR="00371363" w:rsidRPr="008E1FA7">
        <w:rPr>
          <w:rFonts w:ascii="Courier New" w:hAnsi="Courier New" w:cs="Courier New"/>
          <w:lang w:eastAsia="de-DE"/>
        </w:rPr>
        <w:t>troubles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élocution, une contraction des pupilles et une anxiété </w:t>
      </w:r>
      <w:r w:rsidRPr="008E1FA7">
        <w:rPr>
          <w:rFonts w:ascii="Courier New" w:hAnsi="Courier New" w:cs="Courier New"/>
          <w:lang w:eastAsia="de-DE"/>
        </w:rPr>
        <w:br/>
        <w:t xml:space="preserve">    </w:t>
      </w:r>
      <w:r w:rsidR="00371363" w:rsidRPr="008E1FA7">
        <w:rPr>
          <w:rFonts w:ascii="Courier New" w:hAnsi="Courier New" w:cs="Courier New"/>
          <w:lang w:eastAsia="de-DE"/>
        </w:rPr>
        <w:t>générale.</w:t>
      </w:r>
    </w:p>
    <w:p w14:paraId="19771248" w14:textId="3BE0762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80502EA" w14:textId="6AEB9347"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15" w:name=":4.4.1__Early_symptoms_of_poisoning"/>
      <w:bookmarkStart w:id="116" w:name="SubSectionTitle:4.4.2__Treatment_before_"/>
      <w:bookmarkEnd w:id="115"/>
      <w:bookmarkEnd w:id="116"/>
      <w:r w:rsidRPr="008E1FA7">
        <w:rPr>
          <w:rFonts w:ascii="Courier New" w:hAnsi="Courier New" w:cs="Courier New"/>
          <w:lang w:eastAsia="de-DE"/>
        </w:rPr>
        <w:t xml:space="preserve">    </w:t>
      </w:r>
      <w:r w:rsidR="00371363" w:rsidRPr="008E1FA7">
        <w:rPr>
          <w:rFonts w:ascii="Courier New" w:hAnsi="Courier New" w:cs="Courier New"/>
          <w:lang w:eastAsia="de-DE"/>
        </w:rPr>
        <w:t xml:space="preserve">4.4.2  Traitement à appliquer si les symptômes ci-dessus apparaissent après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exposition</w:t>
      </w:r>
    </w:p>
    <w:p w14:paraId="434D8BAC" w14:textId="2E9A1F88"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0F415F6" w14:textId="012DDF4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La personne devrait cesser le travail immédiatement, ôter les vêtements </w:t>
      </w:r>
      <w:r w:rsidRPr="008E1FA7">
        <w:rPr>
          <w:rFonts w:ascii="Courier New" w:hAnsi="Courier New" w:cs="Courier New"/>
          <w:lang w:eastAsia="de-DE"/>
        </w:rPr>
        <w:br/>
        <w:t xml:space="preserve">    </w:t>
      </w:r>
      <w:r w:rsidR="00371363" w:rsidRPr="008E1FA7">
        <w:rPr>
          <w:rFonts w:ascii="Courier New" w:hAnsi="Courier New" w:cs="Courier New"/>
          <w:lang w:eastAsia="de-DE"/>
        </w:rPr>
        <w:t>contaminés et laver la peau touchée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eau et au savon, si possible, et </w:t>
      </w:r>
      <w:r w:rsidRPr="008E1FA7">
        <w:rPr>
          <w:rFonts w:ascii="Courier New" w:hAnsi="Courier New" w:cs="Courier New"/>
          <w:lang w:eastAsia="de-DE"/>
        </w:rPr>
        <w:br/>
        <w:t xml:space="preserve">    </w:t>
      </w:r>
      <w:r w:rsidR="00371363" w:rsidRPr="008E1FA7">
        <w:rPr>
          <w:rFonts w:ascii="Courier New" w:hAnsi="Courier New" w:cs="Courier New"/>
          <w:lang w:eastAsia="de-DE"/>
        </w:rPr>
        <w:t>rincer abondamment à l</w:t>
      </w:r>
      <w:r w:rsidR="001503DA" w:rsidRPr="008E1FA7">
        <w:rPr>
          <w:rFonts w:ascii="Courier New" w:hAnsi="Courier New" w:cs="Courier New"/>
          <w:lang w:eastAsia="de-DE"/>
        </w:rPr>
        <w:t>’</w:t>
      </w:r>
      <w:r w:rsidR="00371363" w:rsidRPr="008E1FA7">
        <w:rPr>
          <w:rFonts w:ascii="Courier New" w:hAnsi="Courier New" w:cs="Courier New"/>
          <w:lang w:eastAsia="de-DE"/>
        </w:rPr>
        <w:t>eau la zone concernée. En cas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ingestion, il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faudrait faire vomir la personne si celle-ci est consciente. En cas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perte de connaissance, il faudrait pratiquer la respiration artificielle </w:t>
      </w:r>
      <w:r w:rsidRPr="008E1FA7">
        <w:rPr>
          <w:rFonts w:ascii="Courier New" w:hAnsi="Courier New" w:cs="Courier New"/>
          <w:lang w:eastAsia="de-DE"/>
        </w:rPr>
        <w:br/>
        <w:t xml:space="preserve">    </w:t>
      </w:r>
      <w:r w:rsidR="00371363" w:rsidRPr="008E1FA7">
        <w:rPr>
          <w:rFonts w:ascii="Courier New" w:hAnsi="Courier New" w:cs="Courier New"/>
          <w:lang w:eastAsia="de-DE"/>
        </w:rPr>
        <w:t>et, dans le cas du bouche à bouche, en gardant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esprit que les </w:t>
      </w:r>
      <w:r w:rsidRPr="008E1FA7">
        <w:rPr>
          <w:rFonts w:ascii="Courier New" w:hAnsi="Courier New" w:cs="Courier New"/>
          <w:lang w:eastAsia="de-DE"/>
        </w:rPr>
        <w:br/>
        <w:t xml:space="preserve">    </w:t>
      </w:r>
      <w:r w:rsidR="00371363" w:rsidRPr="008E1FA7">
        <w:rPr>
          <w:rFonts w:ascii="Courier New" w:hAnsi="Courier New" w:cs="Courier New"/>
          <w:lang w:eastAsia="de-DE"/>
        </w:rPr>
        <w:t>vomissures peuvent contenir des quantités toxiques de fenthion.</w:t>
      </w:r>
      <w:r w:rsidRPr="008E1FA7">
        <w:rPr>
          <w:rFonts w:ascii="Courier New" w:hAnsi="Courier New" w:cs="Courier New"/>
          <w:lang w:eastAsia="de-DE"/>
        </w:rPr>
        <w:t xml:space="preserve">    </w:t>
      </w:r>
    </w:p>
    <w:p w14:paraId="7EFB34FD" w14:textId="6FF515ED"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62CB7B6" w14:textId="41D637E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17" w:name=":4.4.2__Treatment_before_person_is_seen_"/>
      <w:bookmarkStart w:id="118" w:name="EndSectionTitle:4.4__EMERGENCY_AID"/>
      <w:bookmarkStart w:id="119" w:name="EndPartTitle:Part_4_-_Prevention_of_pois"/>
      <w:bookmarkStart w:id="120" w:name="PartTitle:Part_5_-_For_medical_and_labor"/>
      <w:bookmarkEnd w:id="117"/>
      <w:bookmarkEnd w:id="118"/>
      <w:bookmarkEnd w:id="119"/>
      <w:bookmarkEnd w:id="120"/>
      <w:r w:rsidRPr="008E1FA7">
        <w:rPr>
          <w:rFonts w:ascii="Courier New" w:hAnsi="Courier New" w:cs="Courier New"/>
          <w:lang w:eastAsia="de-DE"/>
        </w:rPr>
        <w:t xml:space="preserve">    </w:t>
      </w:r>
      <w:r w:rsidR="00371363" w:rsidRPr="008E1FA7">
        <w:rPr>
          <w:rFonts w:ascii="Courier New" w:hAnsi="Courier New" w:cs="Courier New"/>
          <w:color w:val="008000"/>
          <w:lang w:eastAsia="de-DE"/>
        </w:rPr>
        <w:t>Partie 5 - Instructions à l</w:t>
      </w:r>
      <w:r w:rsidR="001503DA" w:rsidRPr="008E1FA7">
        <w:rPr>
          <w:rFonts w:ascii="Courier New" w:hAnsi="Courier New" w:cs="Courier New"/>
          <w:color w:val="008000"/>
          <w:lang w:eastAsia="de-DE"/>
        </w:rPr>
        <w:t>’</w:t>
      </w:r>
      <w:r w:rsidR="00371363" w:rsidRPr="008E1FA7">
        <w:rPr>
          <w:rFonts w:ascii="Courier New" w:hAnsi="Courier New" w:cs="Courier New"/>
          <w:color w:val="008000"/>
          <w:lang w:eastAsia="de-DE"/>
        </w:rPr>
        <w:t>intention du personnel de laboratoire</w:t>
      </w:r>
    </w:p>
    <w:p w14:paraId="7C9086DF" w14:textId="323ECCB8"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F931D56" w14:textId="5A4DEA5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21" w:name="SectionTitle:5.1__MEDICAL_DIAGNOSIS_AND_"/>
      <w:bookmarkEnd w:id="121"/>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5.1  DIAGNOSTIC ET TRAITEMENT DES CAS D</w:t>
      </w:r>
      <w:r w:rsidR="001503DA" w:rsidRPr="008E1FA7">
        <w:rPr>
          <w:rFonts w:ascii="Courier New" w:hAnsi="Courier New" w:cs="Courier New"/>
          <w:color w:val="0000FF"/>
          <w:lang w:eastAsia="de-DE"/>
        </w:rPr>
        <w:t>’</w:t>
      </w:r>
      <w:r w:rsidR="00371363" w:rsidRPr="008E1FA7">
        <w:rPr>
          <w:rFonts w:ascii="Courier New" w:hAnsi="Courier New" w:cs="Courier New"/>
          <w:color w:val="0000FF"/>
          <w:lang w:eastAsia="de-DE"/>
        </w:rPr>
        <w:t>INTOXICATION</w:t>
      </w:r>
    </w:p>
    <w:p w14:paraId="59D93DB0" w14:textId="7DC287FE"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E2073C8" w14:textId="2AE80DC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22" w:name="SubSectionTitle:5.1.1__General_informati"/>
      <w:bookmarkEnd w:id="122"/>
      <w:r w:rsidRPr="008E1FA7">
        <w:rPr>
          <w:rFonts w:ascii="Courier New" w:hAnsi="Courier New" w:cs="Courier New"/>
          <w:lang w:eastAsia="de-DE"/>
        </w:rPr>
        <w:t xml:space="preserve">    </w:t>
      </w:r>
      <w:r w:rsidR="00371363" w:rsidRPr="008E1FA7">
        <w:rPr>
          <w:rFonts w:ascii="Courier New" w:hAnsi="Courier New" w:cs="Courier New"/>
          <w:lang w:eastAsia="de-DE"/>
        </w:rPr>
        <w:t>5.1.1  Généralités</w:t>
      </w:r>
    </w:p>
    <w:p w14:paraId="3E06C09C" w14:textId="2364E0A9"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417EB61" w14:textId="772BF3A0"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 fenthion est un pesticide organophosphoré présentant une toxicité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modérée; il pénètre à travers la peau, même non lésée, et est également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absorbé par inhalation ou par les voies gastro-intestinales. Il est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transformé </w:t>
      </w:r>
      <w:r w:rsidR="00371363" w:rsidRPr="008E1FA7">
        <w:rPr>
          <w:rFonts w:ascii="Courier New" w:hAnsi="Courier New" w:cs="Courier New"/>
          <w:u w:val="single"/>
          <w:lang w:eastAsia="de-DE"/>
        </w:rPr>
        <w:t>in vivo</w:t>
      </w:r>
      <w:r w:rsidR="00371363" w:rsidRPr="008E1FA7">
        <w:rPr>
          <w:rFonts w:ascii="Courier New" w:hAnsi="Courier New" w:cs="Courier New"/>
          <w:lang w:eastAsia="de-DE"/>
        </w:rPr>
        <w:t xml:space="preserve"> en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analogue oxygéné, qui est un inhibiteur actif de la </w:t>
      </w:r>
      <w:r w:rsidRPr="008E1FA7">
        <w:rPr>
          <w:rFonts w:ascii="Courier New" w:hAnsi="Courier New" w:cs="Courier New"/>
          <w:lang w:eastAsia="de-DE"/>
        </w:rPr>
        <w:br/>
        <w:t xml:space="preserve">    </w:t>
      </w:r>
      <w:r w:rsidR="00371363" w:rsidRPr="008E1FA7">
        <w:rPr>
          <w:rFonts w:ascii="Courier New" w:hAnsi="Courier New" w:cs="Courier New"/>
          <w:lang w:eastAsia="de-DE"/>
        </w:rPr>
        <w:t>cholinestérase.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exposition continue à de faibles quantités peut induire </w:t>
      </w:r>
      <w:r w:rsidRPr="008E1FA7">
        <w:rPr>
          <w:rFonts w:ascii="Courier New" w:hAnsi="Courier New" w:cs="Courier New"/>
          <w:lang w:eastAsia="de-DE"/>
        </w:rPr>
        <w:br/>
        <w:t xml:space="preserve">    </w:t>
      </w:r>
      <w:r w:rsidR="00371363" w:rsidRPr="008E1FA7">
        <w:rPr>
          <w:rFonts w:ascii="Courier New" w:hAnsi="Courier New" w:cs="Courier New"/>
          <w:lang w:eastAsia="de-DE"/>
        </w:rPr>
        <w:t>un effet anticholinestérasique sanguine à un degré dangereux pour la santé.</w:t>
      </w:r>
    </w:p>
    <w:p w14:paraId="44AD9F63" w14:textId="65CEBF3A"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3C866D1" w14:textId="42AA4693"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23" w:name=":5.1.1__General_information"/>
      <w:bookmarkStart w:id="124" w:name="SubSectionTitle:5.1.2__Symptoms_and_sign"/>
      <w:bookmarkEnd w:id="123"/>
      <w:bookmarkEnd w:id="124"/>
      <w:r w:rsidRPr="008E1FA7">
        <w:rPr>
          <w:rFonts w:ascii="Courier New" w:hAnsi="Courier New" w:cs="Courier New"/>
          <w:lang w:eastAsia="de-DE"/>
        </w:rPr>
        <w:t xml:space="preserve">    </w:t>
      </w:r>
      <w:r w:rsidR="00371363" w:rsidRPr="008E1FA7">
        <w:rPr>
          <w:rFonts w:ascii="Courier New" w:hAnsi="Courier New" w:cs="Courier New"/>
          <w:lang w:eastAsia="de-DE"/>
        </w:rPr>
        <w:t>5.1.2  Symptômes et signes d</w:t>
      </w:r>
      <w:r w:rsidR="001503DA" w:rsidRPr="008E1FA7">
        <w:rPr>
          <w:rFonts w:ascii="Courier New" w:hAnsi="Courier New" w:cs="Courier New"/>
          <w:lang w:eastAsia="de-DE"/>
        </w:rPr>
        <w:t>’</w:t>
      </w:r>
      <w:r w:rsidR="00371363" w:rsidRPr="008E1FA7">
        <w:rPr>
          <w:rFonts w:ascii="Courier New" w:hAnsi="Courier New" w:cs="Courier New"/>
          <w:lang w:eastAsia="de-DE"/>
        </w:rPr>
        <w:t>intoxication</w:t>
      </w:r>
    </w:p>
    <w:p w14:paraId="4A1D2F33" w14:textId="38403088"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CA8981C" w14:textId="6FFE092A"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Les premiers symptômes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peuvent comprendre une sudation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excessive, des maux de tête, une faiblesse, des étourdissements, des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nausées, des vomissements abondants et prolongés, des douleurs stomacales,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des douleurs musculaires et articulaires, des troubles de la vue, des </w:t>
      </w:r>
      <w:r w:rsidRPr="008E1FA7">
        <w:rPr>
          <w:rFonts w:ascii="Courier New" w:hAnsi="Courier New" w:cs="Courier New"/>
          <w:lang w:eastAsia="de-DE"/>
        </w:rPr>
        <w:br/>
        <w:t xml:space="preserve">    </w:t>
      </w:r>
      <w:r w:rsidR="00371363" w:rsidRPr="008E1FA7">
        <w:rPr>
          <w:rFonts w:ascii="Courier New" w:hAnsi="Courier New" w:cs="Courier New"/>
          <w:lang w:eastAsia="de-DE"/>
        </w:rPr>
        <w:t>troubles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élocution, des contractions musculaires et une </w:t>
      </w:r>
      <w:r w:rsidRPr="008E1FA7">
        <w:rPr>
          <w:rFonts w:ascii="Courier New" w:hAnsi="Courier New" w:cs="Courier New"/>
          <w:lang w:eastAsia="de-DE"/>
        </w:rPr>
        <w:br/>
        <w:t xml:space="preserve">    </w:t>
      </w:r>
      <w:r w:rsidR="00371363" w:rsidRPr="008E1FA7">
        <w:rPr>
          <w:rFonts w:ascii="Courier New" w:hAnsi="Courier New" w:cs="Courier New"/>
          <w:lang w:eastAsia="de-DE"/>
        </w:rPr>
        <w:t>hypersalivation. À un stade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plus avancé, les symptômes sont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notamment une respiration laborieuse, une cyanose, un coma, une perte du </w:t>
      </w:r>
      <w:r w:rsidRPr="008E1FA7">
        <w:rPr>
          <w:rFonts w:ascii="Courier New" w:hAnsi="Courier New" w:cs="Courier New"/>
          <w:lang w:eastAsia="de-DE"/>
        </w:rPr>
        <w:br/>
        <w:t xml:space="preserve">    </w:t>
      </w:r>
      <w:r w:rsidR="00371363" w:rsidRPr="008E1FA7">
        <w:rPr>
          <w:rFonts w:ascii="Courier New" w:hAnsi="Courier New" w:cs="Courier New"/>
          <w:lang w:eastAsia="de-DE"/>
        </w:rPr>
        <w:t>contrôle sphinctérien et une perte des réflexes.</w:t>
      </w:r>
    </w:p>
    <w:p w14:paraId="4AE0492E" w14:textId="0208E027"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9644FD7" w14:textId="298BFA8E"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25" w:name=":5.1.2__Symptoms_and_signs"/>
      <w:bookmarkStart w:id="126" w:name="SubSectionTitle:5.1.3__Laboratory"/>
      <w:bookmarkEnd w:id="125"/>
      <w:bookmarkEnd w:id="126"/>
      <w:r w:rsidRPr="008E1FA7">
        <w:rPr>
          <w:rFonts w:ascii="Courier New" w:hAnsi="Courier New" w:cs="Courier New"/>
          <w:lang w:eastAsia="de-DE"/>
        </w:rPr>
        <w:t xml:space="preserve">    </w:t>
      </w:r>
      <w:r w:rsidR="00371363" w:rsidRPr="008E1FA7">
        <w:rPr>
          <w:rFonts w:ascii="Courier New" w:hAnsi="Courier New" w:cs="Courier New"/>
          <w:lang w:eastAsia="de-DE"/>
        </w:rPr>
        <w:t>5.1.3  Laboratoire</w:t>
      </w:r>
    </w:p>
    <w:p w14:paraId="3857B4B0" w14:textId="7A17F0E0"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7BB85A7" w14:textId="20CE5053"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résultats de laboratoire les plus importants sont la diminution de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activité des cholinestérases sanguines. Le dosage direct des métabolites </w:t>
      </w:r>
      <w:r w:rsidRPr="008E1FA7">
        <w:rPr>
          <w:rFonts w:ascii="Courier New" w:hAnsi="Courier New" w:cs="Courier New"/>
          <w:lang w:eastAsia="de-DE"/>
        </w:rPr>
        <w:br/>
        <w:t xml:space="preserve">    </w:t>
      </w:r>
      <w:r w:rsidR="00371363" w:rsidRPr="008E1FA7">
        <w:rPr>
          <w:rFonts w:ascii="Courier New" w:hAnsi="Courier New" w:cs="Courier New"/>
          <w:lang w:eastAsia="de-DE"/>
        </w:rPr>
        <w:t>dans l</w:t>
      </w:r>
      <w:r w:rsidR="001503DA" w:rsidRPr="008E1FA7">
        <w:rPr>
          <w:rFonts w:ascii="Courier New" w:hAnsi="Courier New" w:cs="Courier New"/>
          <w:lang w:eastAsia="de-DE"/>
        </w:rPr>
        <w:t>’</w:t>
      </w:r>
      <w:r w:rsidR="00371363" w:rsidRPr="008E1FA7">
        <w:rPr>
          <w:rFonts w:ascii="Courier New" w:hAnsi="Courier New" w:cs="Courier New"/>
          <w:lang w:eastAsia="de-DE"/>
        </w:rPr>
        <w:t>urine et les fèces peut être effectué.</w:t>
      </w:r>
    </w:p>
    <w:p w14:paraId="1003169C" w14:textId="13822D1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1872853" w14:textId="0408328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27" w:name=":5.1.3__Laboratory"/>
      <w:bookmarkStart w:id="128" w:name="SubSectionTitle:5.1.4__Treatment"/>
      <w:bookmarkEnd w:id="127"/>
      <w:bookmarkEnd w:id="128"/>
      <w:r w:rsidRPr="008E1FA7">
        <w:rPr>
          <w:rFonts w:ascii="Courier New" w:hAnsi="Courier New" w:cs="Courier New"/>
          <w:lang w:eastAsia="de-DE"/>
        </w:rPr>
        <w:t xml:space="preserve">    </w:t>
      </w:r>
      <w:r w:rsidR="00371363" w:rsidRPr="008E1FA7">
        <w:rPr>
          <w:rFonts w:ascii="Courier New" w:hAnsi="Courier New" w:cs="Courier New"/>
          <w:lang w:eastAsia="de-DE"/>
        </w:rPr>
        <w:t>5.1.4  Traitement</w:t>
      </w:r>
    </w:p>
    <w:p w14:paraId="1922E733" w14:textId="498846B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B0C4A58" w14:textId="13094A0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En cas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ingestion du pesticide, sauf si le patient présente des </w:t>
      </w:r>
      <w:r w:rsidRPr="008E1FA7">
        <w:rPr>
          <w:rFonts w:ascii="Courier New" w:hAnsi="Courier New" w:cs="Courier New"/>
          <w:lang w:eastAsia="de-DE"/>
        </w:rPr>
        <w:br/>
        <w:t xml:space="preserve">    </w:t>
      </w:r>
      <w:r w:rsidR="00371363" w:rsidRPr="008E1FA7">
        <w:rPr>
          <w:rFonts w:ascii="Courier New" w:hAnsi="Courier New" w:cs="Courier New"/>
          <w:lang w:eastAsia="de-DE"/>
        </w:rPr>
        <w:t>vomissements, il faudrait pratiquer un lavage gastrique rapide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aide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solution de bicarbonate de sodium 54, si possible. En cas de contact </w:t>
      </w:r>
      <w:r w:rsidRPr="008E1FA7">
        <w:rPr>
          <w:rFonts w:ascii="Courier New" w:hAnsi="Courier New" w:cs="Courier New"/>
          <w:lang w:eastAsia="de-DE"/>
        </w:rPr>
        <w:br/>
        <w:t xml:space="preserve">    </w:t>
      </w:r>
      <w:r w:rsidR="00371363" w:rsidRPr="008E1FA7">
        <w:rPr>
          <w:rFonts w:ascii="Courier New" w:hAnsi="Courier New" w:cs="Courier New"/>
          <w:lang w:eastAsia="de-DE"/>
        </w:rPr>
        <w:t>cutané, il faudrait laver la peau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eau et au savon. En cas de contact </w:t>
      </w:r>
      <w:r w:rsidRPr="008E1FA7">
        <w:rPr>
          <w:rFonts w:ascii="Courier New" w:hAnsi="Courier New" w:cs="Courier New"/>
          <w:lang w:eastAsia="de-DE"/>
        </w:rPr>
        <w:br/>
        <w:t xml:space="preserve">    </w:t>
      </w:r>
      <w:r w:rsidR="00371363" w:rsidRPr="008E1FA7">
        <w:rPr>
          <w:rFonts w:ascii="Courier New" w:hAnsi="Courier New" w:cs="Courier New"/>
          <w:lang w:eastAsia="de-DE"/>
        </w:rPr>
        <w:t>oculaire, il faudrait laver les yeux à l</w:t>
      </w:r>
      <w:r w:rsidR="001503DA" w:rsidRPr="008E1FA7">
        <w:rPr>
          <w:rFonts w:ascii="Courier New" w:hAnsi="Courier New" w:cs="Courier New"/>
          <w:lang w:eastAsia="de-DE"/>
        </w:rPr>
        <w:t>’</w:t>
      </w:r>
      <w:r w:rsidR="00371363" w:rsidRPr="008E1FA7">
        <w:rPr>
          <w:rFonts w:ascii="Courier New" w:hAnsi="Courier New" w:cs="Courier New"/>
          <w:lang w:eastAsia="de-DE"/>
        </w:rPr>
        <w:t>aide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solution saline </w:t>
      </w:r>
      <w:r w:rsidRPr="008E1FA7">
        <w:rPr>
          <w:rFonts w:ascii="Courier New" w:hAnsi="Courier New" w:cs="Courier New"/>
          <w:lang w:eastAsia="de-DE"/>
        </w:rPr>
        <w:br/>
        <w:t xml:space="preserve">    </w:t>
      </w:r>
      <w:r w:rsidR="00371363" w:rsidRPr="008E1FA7">
        <w:rPr>
          <w:rFonts w:ascii="Courier New" w:hAnsi="Courier New" w:cs="Courier New"/>
          <w:lang w:eastAsia="de-DE"/>
        </w:rPr>
        <w:t>isotonique ou à l</w:t>
      </w:r>
      <w:r w:rsidR="001503DA" w:rsidRPr="008E1FA7">
        <w:rPr>
          <w:rFonts w:ascii="Courier New" w:hAnsi="Courier New" w:cs="Courier New"/>
          <w:lang w:eastAsia="de-DE"/>
        </w:rPr>
        <w:t>’</w:t>
      </w:r>
      <w:r w:rsidR="00371363" w:rsidRPr="008E1FA7">
        <w:rPr>
          <w:rFonts w:ascii="Courier New" w:hAnsi="Courier New" w:cs="Courier New"/>
          <w:lang w:eastAsia="de-DE"/>
        </w:rPr>
        <w:t>eau.</w:t>
      </w:r>
    </w:p>
    <w:p w14:paraId="518D025C" w14:textId="32DFBFAB"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29A06EF2" w14:textId="0F65F0E6"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Les personnes ne présentant aucun signe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insuffisance respiratoire mais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affichant des symptômes périphériques manifestes devraient être traitées </w:t>
      </w:r>
      <w:r w:rsidRPr="008E1FA7">
        <w:rPr>
          <w:rFonts w:ascii="Courier New" w:hAnsi="Courier New" w:cs="Courier New"/>
          <w:lang w:eastAsia="de-DE"/>
        </w:rPr>
        <w:br/>
        <w:t xml:space="preserve">    </w:t>
      </w:r>
      <w:r w:rsidR="00371363" w:rsidRPr="008E1FA7">
        <w:rPr>
          <w:rFonts w:ascii="Courier New" w:hAnsi="Courier New" w:cs="Courier New"/>
          <w:lang w:eastAsia="de-DE"/>
        </w:rPr>
        <w:t>par 2-4 mg de sulfate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atropine et 1 000-2 000 mg de chlorure de </w:t>
      </w:r>
      <w:r w:rsidRPr="008E1FA7">
        <w:rPr>
          <w:rFonts w:ascii="Courier New" w:hAnsi="Courier New" w:cs="Courier New"/>
          <w:lang w:eastAsia="de-DE"/>
        </w:rPr>
        <w:br/>
        <w:t xml:space="preserve">    </w:t>
      </w:r>
      <w:proofErr w:type="spellStart"/>
      <w:r w:rsidR="00371363" w:rsidRPr="008E1FA7">
        <w:rPr>
          <w:rFonts w:ascii="Courier New" w:hAnsi="Courier New" w:cs="Courier New"/>
          <w:lang w:eastAsia="de-DE"/>
        </w:rPr>
        <w:t>pralidoxime</w:t>
      </w:r>
      <w:proofErr w:type="spellEnd"/>
      <w:r w:rsidR="00371363" w:rsidRPr="008E1FA7">
        <w:rPr>
          <w:rFonts w:ascii="Courier New" w:hAnsi="Courier New" w:cs="Courier New"/>
          <w:lang w:eastAsia="de-DE"/>
        </w:rPr>
        <w:t xml:space="preserve"> ou 250 mg de </w:t>
      </w:r>
      <w:proofErr w:type="spellStart"/>
      <w:r w:rsidR="00371363" w:rsidRPr="008E1FA7">
        <w:rPr>
          <w:rFonts w:ascii="Courier New" w:hAnsi="Courier New" w:cs="Courier New"/>
          <w:lang w:eastAsia="de-DE"/>
        </w:rPr>
        <w:t>toxogonine</w:t>
      </w:r>
      <w:proofErr w:type="spellEnd"/>
      <w:r w:rsidR="00371363" w:rsidRPr="008E1FA7">
        <w:rPr>
          <w:rFonts w:ascii="Courier New" w:hAnsi="Courier New" w:cs="Courier New"/>
          <w:lang w:eastAsia="de-DE"/>
        </w:rPr>
        <w:t xml:space="preserve"> (dose adulte) par intraveineuse lente. </w:t>
      </w:r>
      <w:r w:rsidRPr="008E1FA7">
        <w:rPr>
          <w:rFonts w:ascii="Courier New" w:hAnsi="Courier New" w:cs="Courier New"/>
          <w:lang w:eastAsia="de-DE"/>
        </w:rPr>
        <w:br/>
        <w:t xml:space="preserve">    </w:t>
      </w:r>
      <w:r w:rsidR="00371363" w:rsidRPr="008E1FA7">
        <w:rPr>
          <w:rFonts w:ascii="Courier New" w:hAnsi="Courier New" w:cs="Courier New"/>
          <w:lang w:eastAsia="de-DE"/>
        </w:rPr>
        <w:t>Des doses supplémentaires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atropine peuvent être administrées au besoin. </w:t>
      </w:r>
      <w:r w:rsidRPr="008E1FA7">
        <w:rPr>
          <w:rFonts w:ascii="Courier New" w:hAnsi="Courier New" w:cs="Courier New"/>
          <w:lang w:eastAsia="de-DE"/>
        </w:rPr>
        <w:br/>
        <w:t xml:space="preserve">    </w:t>
      </w:r>
      <w:r w:rsidR="00371363" w:rsidRPr="008E1FA7">
        <w:rPr>
          <w:rFonts w:ascii="Courier New" w:hAnsi="Courier New" w:cs="Courier New"/>
          <w:lang w:eastAsia="de-DE"/>
        </w:rPr>
        <w:t>Les victimes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sévère et présentant des difficultés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respiratoires ou des convulsions ou inconscientes devraient recevoir </w:t>
      </w:r>
      <w:r w:rsidRPr="008E1FA7">
        <w:rPr>
          <w:rFonts w:ascii="Courier New" w:hAnsi="Courier New" w:cs="Courier New"/>
          <w:lang w:eastAsia="de-DE"/>
        </w:rPr>
        <w:br/>
        <w:t xml:space="preserve">    </w:t>
      </w:r>
      <w:r w:rsidR="00371363" w:rsidRPr="008E1FA7">
        <w:rPr>
          <w:rFonts w:ascii="Courier New" w:hAnsi="Courier New" w:cs="Courier New"/>
          <w:lang w:eastAsia="de-DE"/>
        </w:rPr>
        <w:t>immédiatement de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atropine et un </w:t>
      </w:r>
      <w:proofErr w:type="spellStart"/>
      <w:r w:rsidR="00371363" w:rsidRPr="008E1FA7">
        <w:rPr>
          <w:rFonts w:ascii="Courier New" w:hAnsi="Courier New" w:cs="Courier New"/>
          <w:lang w:eastAsia="de-DE"/>
        </w:rPr>
        <w:t>réactivateur</w:t>
      </w:r>
      <w:proofErr w:type="spellEnd"/>
      <w:r w:rsidR="00371363" w:rsidRPr="008E1FA7">
        <w:rPr>
          <w:rFonts w:ascii="Courier New" w:hAnsi="Courier New" w:cs="Courier New"/>
          <w:lang w:eastAsia="de-DE"/>
        </w:rPr>
        <w:t xml:space="preserve">. Dans ces cas sévères, une </w:t>
      </w:r>
      <w:r w:rsidRPr="008E1FA7">
        <w:rPr>
          <w:rFonts w:ascii="Courier New" w:hAnsi="Courier New" w:cs="Courier New"/>
          <w:lang w:eastAsia="de-DE"/>
        </w:rPr>
        <w:br/>
        <w:t xml:space="preserve">    </w:t>
      </w:r>
      <w:r w:rsidR="00371363" w:rsidRPr="008E1FA7">
        <w:rPr>
          <w:rFonts w:ascii="Courier New" w:hAnsi="Courier New" w:cs="Courier New"/>
          <w:lang w:eastAsia="de-DE"/>
        </w:rPr>
        <w:t>dose initiale de 4-6 mg de sulfate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atropine devrait être administrée, </w:t>
      </w:r>
      <w:r w:rsidRPr="008E1FA7">
        <w:rPr>
          <w:rFonts w:ascii="Courier New" w:hAnsi="Courier New" w:cs="Courier New"/>
          <w:lang w:eastAsia="de-DE"/>
        </w:rPr>
        <w:br/>
        <w:t xml:space="preserve">    </w:t>
      </w:r>
      <w:r w:rsidR="00371363" w:rsidRPr="008E1FA7">
        <w:rPr>
          <w:rFonts w:ascii="Courier New" w:hAnsi="Courier New" w:cs="Courier New"/>
          <w:lang w:eastAsia="de-DE"/>
        </w:rPr>
        <w:t>suivie de doses répétées de 2 mg espacées de 5-10 minutes.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état du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patient, notamment la respiration, la tension, le rythme cardiaque, la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salivation et les convulsions, devrait être soigneusement observé pour </w:t>
      </w:r>
      <w:r w:rsidRPr="008E1FA7">
        <w:rPr>
          <w:rFonts w:ascii="Courier New" w:hAnsi="Courier New" w:cs="Courier New"/>
          <w:lang w:eastAsia="de-DE"/>
        </w:rPr>
        <w:br/>
        <w:t xml:space="preserve">    </w:t>
      </w:r>
      <w:r w:rsidR="00371363" w:rsidRPr="008E1FA7">
        <w:rPr>
          <w:rFonts w:ascii="Courier New" w:hAnsi="Courier New" w:cs="Courier New"/>
          <w:lang w:eastAsia="de-DE"/>
        </w:rPr>
        <w:t>guider l</w:t>
      </w:r>
      <w:r w:rsidR="001503DA" w:rsidRPr="008E1FA7">
        <w:rPr>
          <w:rFonts w:ascii="Courier New" w:hAnsi="Courier New" w:cs="Courier New"/>
          <w:lang w:eastAsia="de-DE"/>
        </w:rPr>
        <w:t>’</w:t>
      </w:r>
      <w:r w:rsidR="00371363" w:rsidRPr="008E1FA7">
        <w:rPr>
          <w:rFonts w:ascii="Courier New" w:hAnsi="Courier New" w:cs="Courier New"/>
          <w:lang w:eastAsia="de-DE"/>
        </w:rPr>
        <w:t>administration supplémentaire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atropine. </w:t>
      </w:r>
      <w:r w:rsidR="00371363" w:rsidRPr="008E1FA7">
        <w:rPr>
          <w:rFonts w:ascii="Courier New" w:hAnsi="Courier New" w:cs="Courier New"/>
          <w:u w:val="single"/>
          <w:lang w:eastAsia="de-DE"/>
        </w:rPr>
        <w:t xml:space="preserve">Si le patient est </w:t>
      </w:r>
      <w:r w:rsidRPr="008E1FA7">
        <w:rPr>
          <w:rFonts w:ascii="Courier New" w:hAnsi="Courier New" w:cs="Courier New"/>
          <w:u w:val="single"/>
          <w:lang w:eastAsia="de-DE"/>
        </w:rPr>
        <w:br/>
      </w:r>
      <w:r w:rsidRPr="008E1FA7">
        <w:rPr>
          <w:rFonts w:ascii="Courier New" w:hAnsi="Courier New" w:cs="Courier New"/>
          <w:lang w:eastAsia="de-DE"/>
        </w:rPr>
        <w:t xml:space="preserve">    </w:t>
      </w:r>
      <w:r w:rsidR="00371363" w:rsidRPr="008E1FA7">
        <w:rPr>
          <w:rFonts w:ascii="Courier New" w:hAnsi="Courier New" w:cs="Courier New"/>
          <w:u w:val="single"/>
          <w:lang w:eastAsia="de-DE"/>
        </w:rPr>
        <w:t xml:space="preserve">cyanosé, la respiration artificielle devrait être pratiquée avant toute </w:t>
      </w:r>
      <w:r w:rsidRPr="008E1FA7">
        <w:rPr>
          <w:rFonts w:ascii="Courier New" w:hAnsi="Courier New" w:cs="Courier New"/>
          <w:u w:val="single"/>
          <w:lang w:eastAsia="de-DE"/>
        </w:rPr>
        <w:br/>
      </w:r>
      <w:r w:rsidRPr="008E1FA7">
        <w:rPr>
          <w:rFonts w:ascii="Courier New" w:hAnsi="Courier New" w:cs="Courier New"/>
          <w:lang w:eastAsia="de-DE"/>
        </w:rPr>
        <w:t xml:space="preserve">    </w:t>
      </w:r>
      <w:r w:rsidR="00371363" w:rsidRPr="008E1FA7">
        <w:rPr>
          <w:rFonts w:ascii="Courier New" w:hAnsi="Courier New" w:cs="Courier New"/>
          <w:u w:val="single"/>
          <w:lang w:eastAsia="de-DE"/>
        </w:rPr>
        <w:t>administration d</w:t>
      </w:r>
      <w:r w:rsidR="001503DA" w:rsidRPr="008E1FA7">
        <w:rPr>
          <w:rFonts w:ascii="Courier New" w:hAnsi="Courier New" w:cs="Courier New"/>
          <w:u w:val="single"/>
          <w:lang w:eastAsia="de-DE"/>
        </w:rPr>
        <w:t>’</w:t>
      </w:r>
      <w:r w:rsidR="00371363" w:rsidRPr="008E1FA7">
        <w:rPr>
          <w:rFonts w:ascii="Courier New" w:hAnsi="Courier New" w:cs="Courier New"/>
          <w:u w:val="single"/>
          <w:lang w:eastAsia="de-DE"/>
        </w:rPr>
        <w:t>atropine.</w:t>
      </w:r>
    </w:p>
    <w:p w14:paraId="0ACD067F" w14:textId="7227785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67EDBAC" w14:textId="61525400"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voies respiratoires devraient être maintenues dégagées et la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respiration artificielle, de préférence mécanique, devrait être pratiquée, </w:t>
      </w:r>
      <w:r w:rsidRPr="008E1FA7">
        <w:rPr>
          <w:rFonts w:ascii="Courier New" w:hAnsi="Courier New" w:cs="Courier New"/>
          <w:lang w:eastAsia="de-DE"/>
        </w:rPr>
        <w:br/>
        <w:t xml:space="preserve">    </w:t>
      </w:r>
      <w:r w:rsidR="00371363" w:rsidRPr="008E1FA7">
        <w:rPr>
          <w:rFonts w:ascii="Courier New" w:hAnsi="Courier New" w:cs="Courier New"/>
          <w:lang w:eastAsia="de-DE"/>
        </w:rPr>
        <w:t>si nécessaire. Au besoin, une intubation pourra être mise en œuvre.</w:t>
      </w:r>
    </w:p>
    <w:p w14:paraId="7BBE55C2" w14:textId="6F415C7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FECF27B" w14:textId="63DD2312"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La morphine, les barbituriques, la phénothiazine, les tranquillisants et </w:t>
      </w:r>
      <w:r w:rsidRPr="008E1FA7">
        <w:rPr>
          <w:rFonts w:ascii="Courier New" w:hAnsi="Courier New" w:cs="Courier New"/>
          <w:lang w:eastAsia="de-DE"/>
        </w:rPr>
        <w:br/>
        <w:t xml:space="preserve">    </w:t>
      </w:r>
      <w:r w:rsidR="00371363" w:rsidRPr="008E1FA7">
        <w:rPr>
          <w:rFonts w:ascii="Courier New" w:hAnsi="Courier New" w:cs="Courier New"/>
          <w:lang w:eastAsia="de-DE"/>
        </w:rPr>
        <w:t>les stimulants centraux de tous types sont contre-indiqués.</w:t>
      </w:r>
    </w:p>
    <w:p w14:paraId="501F2E07" w14:textId="3984B1D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735981C" w14:textId="32A888D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29" w:name=":5.1.4__Treatment"/>
      <w:bookmarkStart w:id="130" w:name="SubSectionTitle:5.1.5__Prognosis"/>
      <w:bookmarkEnd w:id="129"/>
      <w:bookmarkEnd w:id="130"/>
      <w:r w:rsidRPr="008E1FA7">
        <w:rPr>
          <w:rFonts w:ascii="Courier New" w:hAnsi="Courier New" w:cs="Courier New"/>
          <w:lang w:eastAsia="de-DE"/>
        </w:rPr>
        <w:t xml:space="preserve">    </w:t>
      </w:r>
      <w:r w:rsidR="00371363" w:rsidRPr="008E1FA7">
        <w:rPr>
          <w:rFonts w:ascii="Courier New" w:hAnsi="Courier New" w:cs="Courier New"/>
          <w:lang w:eastAsia="de-DE"/>
        </w:rPr>
        <w:t>5.1.5  Pronostic</w:t>
      </w:r>
    </w:p>
    <w:p w14:paraId="3E1954A5" w14:textId="0697396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CD11C0D" w14:textId="28D99235"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Si la victime survit aux effets toxiques aigus, qui peuvent être prolongés, </w:t>
      </w:r>
      <w:r w:rsidRPr="008E1FA7">
        <w:rPr>
          <w:rFonts w:ascii="Courier New" w:hAnsi="Courier New" w:cs="Courier New"/>
          <w:lang w:eastAsia="de-DE"/>
        </w:rPr>
        <w:br/>
        <w:t xml:space="preserve">    </w:t>
      </w:r>
      <w:r w:rsidR="00371363" w:rsidRPr="008E1FA7">
        <w:rPr>
          <w:rFonts w:ascii="Courier New" w:hAnsi="Courier New" w:cs="Courier New"/>
          <w:lang w:eastAsia="de-DE"/>
        </w:rPr>
        <w:t>et sous réserve qu</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une respiration artificielle adéquate soit mise en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œuvre, les chances de rétablissement complet sont bonnes. Cependant, dans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les cas sévères, en particulier sans respiration artificielle adéquate, </w:t>
      </w:r>
      <w:r w:rsidRPr="008E1FA7">
        <w:rPr>
          <w:rFonts w:ascii="Courier New" w:hAnsi="Courier New" w:cs="Courier New"/>
          <w:lang w:eastAsia="de-DE"/>
        </w:rPr>
        <w:br/>
        <w:t xml:space="preserve">    </w:t>
      </w:r>
      <w:r w:rsidR="00371363" w:rsidRPr="008E1FA7">
        <w:rPr>
          <w:rFonts w:ascii="Courier New" w:hAnsi="Courier New" w:cs="Courier New"/>
          <w:lang w:eastAsia="de-DE"/>
        </w:rPr>
        <w:t>l</w:t>
      </w:r>
      <w:r w:rsidR="001503DA" w:rsidRPr="008E1FA7">
        <w:rPr>
          <w:rFonts w:ascii="Courier New" w:hAnsi="Courier New" w:cs="Courier New"/>
          <w:lang w:eastAsia="de-DE"/>
        </w:rPr>
        <w:t>’</w:t>
      </w:r>
      <w:r w:rsidR="00371363" w:rsidRPr="008E1FA7">
        <w:rPr>
          <w:rFonts w:ascii="Courier New" w:hAnsi="Courier New" w:cs="Courier New"/>
          <w:lang w:eastAsia="de-DE"/>
        </w:rPr>
        <w:t>hypoxie prolongée peut entraîner des lésions cérébrales permanentes.</w:t>
      </w:r>
    </w:p>
    <w:p w14:paraId="2D2DFDF5" w14:textId="4D0F0699"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87474BF" w14:textId="547D0CF3"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31" w:name=":5.1.5__Prognosis"/>
      <w:bookmarkStart w:id="132" w:name="SubSectionTitle:5.1.6__References_of_pre"/>
      <w:bookmarkEnd w:id="131"/>
      <w:bookmarkEnd w:id="132"/>
      <w:r w:rsidRPr="008E1FA7">
        <w:rPr>
          <w:rFonts w:ascii="Courier New" w:hAnsi="Courier New" w:cs="Courier New"/>
          <w:lang w:eastAsia="de-DE"/>
        </w:rPr>
        <w:t xml:space="preserve">    </w:t>
      </w:r>
      <w:r w:rsidR="00371363" w:rsidRPr="008E1FA7">
        <w:rPr>
          <w:rFonts w:ascii="Courier New" w:hAnsi="Courier New" w:cs="Courier New"/>
          <w:lang w:eastAsia="de-DE"/>
        </w:rPr>
        <w:t>5.1.6  Références à des cas précédemment signalés</w:t>
      </w:r>
    </w:p>
    <w:p w14:paraId="06AFADF0" w14:textId="5C66994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1CB08EE8" w14:textId="05DF49BD"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On trouvera des observations médicales et des méthodes de traitement dans </w:t>
      </w:r>
      <w:r w:rsidRPr="008E1FA7">
        <w:rPr>
          <w:rFonts w:ascii="Courier New" w:hAnsi="Courier New" w:cs="Courier New"/>
          <w:lang w:eastAsia="de-DE"/>
        </w:rPr>
        <w:br/>
        <w:t xml:space="preserve">    </w:t>
      </w:r>
      <w:r w:rsidR="00371363" w:rsidRPr="008E1FA7">
        <w:rPr>
          <w:rFonts w:ascii="Courier New" w:hAnsi="Courier New" w:cs="Courier New"/>
          <w:lang w:eastAsia="de-DE"/>
        </w:rPr>
        <w:t>les références ci</w:t>
      </w:r>
      <w:r w:rsidR="00371363" w:rsidRPr="008E1FA7">
        <w:rPr>
          <w:rFonts w:ascii="Courier New" w:hAnsi="Courier New" w:cs="Courier New"/>
          <w:lang w:eastAsia="de-DE"/>
        </w:rPr>
        <w:noBreakHyphen/>
        <w:t xml:space="preserve">dessous : </w:t>
      </w:r>
    </w:p>
    <w:p w14:paraId="4B7E6A24" w14:textId="77777777" w:rsidR="00C10E36"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8B87AF3" w14:textId="4BBACEEE" w:rsidR="00371363" w:rsidRPr="00C31740"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8E1FA7">
        <w:rPr>
          <w:rFonts w:ascii="Courier New" w:hAnsi="Courier New" w:cs="Courier New"/>
          <w:lang w:eastAsia="de-DE"/>
        </w:rPr>
        <w:t xml:space="preserve">    </w:t>
      </w:r>
      <w:r w:rsidR="00371363" w:rsidRPr="00C31740">
        <w:rPr>
          <w:rFonts w:ascii="Courier New" w:hAnsi="Courier New" w:cs="Courier New"/>
          <w:lang w:val="en-US" w:eastAsia="de-DE"/>
        </w:rPr>
        <w:t xml:space="preserve">Dean et al. (1967) </w:t>
      </w:r>
      <w:r w:rsidR="00371363" w:rsidRPr="00C31740">
        <w:rPr>
          <w:rFonts w:ascii="Courier New" w:hAnsi="Courier New" w:cs="Courier New"/>
          <w:u w:val="single"/>
          <w:lang w:val="en-US" w:eastAsia="de-DE"/>
        </w:rPr>
        <w:t>So. African Med. J.,</w:t>
      </w:r>
      <w:r w:rsidR="00371363" w:rsidRPr="00C31740">
        <w:rPr>
          <w:rFonts w:ascii="Courier New" w:hAnsi="Courier New" w:cs="Courier New"/>
          <w:lang w:val="en-US" w:eastAsia="de-DE"/>
        </w:rPr>
        <w:t xml:space="preserve"> 1017-1019</w:t>
      </w:r>
    </w:p>
    <w:p w14:paraId="38519C56" w14:textId="58A150DC" w:rsidR="00371363" w:rsidRPr="00C31740"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C31740">
        <w:rPr>
          <w:rFonts w:ascii="Courier New" w:hAnsi="Courier New" w:cs="Courier New"/>
          <w:lang w:val="en-US" w:eastAsia="de-DE"/>
        </w:rPr>
        <w:t xml:space="preserve">    </w:t>
      </w:r>
    </w:p>
    <w:p w14:paraId="2DE763D6" w14:textId="3FA7DDF1" w:rsidR="00371363" w:rsidRPr="00C31740"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C31740">
        <w:rPr>
          <w:rFonts w:ascii="Courier New" w:hAnsi="Courier New" w:cs="Courier New"/>
          <w:lang w:val="en-US" w:eastAsia="de-DE"/>
        </w:rPr>
        <w:t xml:space="preserve">    </w:t>
      </w:r>
      <w:r w:rsidR="00371363" w:rsidRPr="008E1FA7">
        <w:rPr>
          <w:rFonts w:ascii="Courier New" w:hAnsi="Courier New" w:cs="Courier New"/>
          <w:lang w:eastAsia="de-DE"/>
        </w:rPr>
        <w:t xml:space="preserve">Von </w:t>
      </w:r>
      <w:proofErr w:type="spellStart"/>
      <w:r w:rsidR="00371363" w:rsidRPr="008E1FA7">
        <w:rPr>
          <w:rFonts w:ascii="Courier New" w:hAnsi="Courier New" w:cs="Courier New"/>
          <w:lang w:eastAsia="de-DE"/>
        </w:rPr>
        <w:t>Clarmann</w:t>
      </w:r>
      <w:proofErr w:type="spellEnd"/>
      <w:r w:rsidR="00371363" w:rsidRPr="008E1FA7">
        <w:rPr>
          <w:rFonts w:ascii="Courier New" w:hAnsi="Courier New" w:cs="Courier New"/>
          <w:lang w:eastAsia="de-DE"/>
        </w:rPr>
        <w:t xml:space="preserve">, M. et al. </w:t>
      </w:r>
      <w:r w:rsidR="00371363" w:rsidRPr="00C31740">
        <w:rPr>
          <w:rFonts w:ascii="Courier New" w:hAnsi="Courier New" w:cs="Courier New"/>
          <w:lang w:val="en-US" w:eastAsia="de-DE"/>
        </w:rPr>
        <w:t xml:space="preserve">(1966) </w:t>
      </w:r>
      <w:r w:rsidR="00371363" w:rsidRPr="00C31740">
        <w:rPr>
          <w:rFonts w:ascii="Courier New" w:hAnsi="Courier New" w:cs="Courier New"/>
          <w:u w:val="single"/>
          <w:lang w:val="en-US" w:eastAsia="de-DE"/>
        </w:rPr>
        <w:t xml:space="preserve">Arch. </w:t>
      </w:r>
      <w:proofErr w:type="spellStart"/>
      <w:r w:rsidR="00371363" w:rsidRPr="00C31740">
        <w:rPr>
          <w:rFonts w:ascii="Courier New" w:hAnsi="Courier New" w:cs="Courier New"/>
          <w:u w:val="single"/>
          <w:lang w:val="en-US" w:eastAsia="de-DE"/>
        </w:rPr>
        <w:t>Toxik</w:t>
      </w:r>
      <w:proofErr w:type="spellEnd"/>
      <w:r w:rsidR="00371363" w:rsidRPr="00C31740">
        <w:rPr>
          <w:rFonts w:ascii="Courier New" w:hAnsi="Courier New" w:cs="Courier New"/>
          <w:u w:val="single"/>
          <w:lang w:val="en-US" w:eastAsia="de-DE"/>
        </w:rPr>
        <w:t>., 22</w:t>
      </w:r>
      <w:r w:rsidR="00371363" w:rsidRPr="00C31740">
        <w:rPr>
          <w:rFonts w:ascii="Courier New" w:hAnsi="Courier New" w:cs="Courier New"/>
          <w:lang w:val="en-US" w:eastAsia="de-DE"/>
        </w:rPr>
        <w:t>, 2-11</w:t>
      </w:r>
    </w:p>
    <w:p w14:paraId="20EDE55B" w14:textId="25FA2E1C" w:rsidR="00371363" w:rsidRPr="00C31740"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val="en-US" w:eastAsia="de-DE"/>
        </w:rPr>
      </w:pPr>
      <w:r w:rsidRPr="00C31740">
        <w:rPr>
          <w:rFonts w:ascii="Courier New" w:hAnsi="Courier New" w:cs="Courier New"/>
          <w:lang w:val="en-US" w:eastAsia="de-DE"/>
        </w:rPr>
        <w:t xml:space="preserve">    </w:t>
      </w:r>
    </w:p>
    <w:p w14:paraId="61849B04" w14:textId="09C7AD8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C31740">
        <w:rPr>
          <w:rFonts w:ascii="Courier New" w:hAnsi="Courier New" w:cs="Courier New"/>
          <w:lang w:val="en-US" w:eastAsia="de-DE"/>
        </w:rPr>
        <w:t xml:space="preserve">    </w:t>
      </w:r>
      <w:r w:rsidR="00371363" w:rsidRPr="00C31740">
        <w:rPr>
          <w:rFonts w:ascii="Courier New" w:hAnsi="Courier New" w:cs="Courier New"/>
          <w:lang w:val="en-US" w:eastAsia="de-DE"/>
        </w:rPr>
        <w:t xml:space="preserve">Pickering, E. N. (1966) </w:t>
      </w:r>
      <w:r w:rsidR="00371363" w:rsidRPr="00C31740">
        <w:rPr>
          <w:rFonts w:ascii="Courier New" w:hAnsi="Courier New" w:cs="Courier New"/>
          <w:u w:val="single"/>
          <w:lang w:val="en-US" w:eastAsia="de-DE"/>
        </w:rPr>
        <w:t xml:space="preserve">Can. 3. </w:t>
      </w:r>
      <w:r w:rsidR="00371363" w:rsidRPr="008E1FA7">
        <w:rPr>
          <w:rFonts w:ascii="Courier New" w:hAnsi="Courier New" w:cs="Courier New"/>
          <w:u w:val="single"/>
          <w:lang w:eastAsia="de-DE"/>
        </w:rPr>
        <w:t>Med. Tech.</w:t>
      </w:r>
      <w:r w:rsidR="00371363" w:rsidRPr="008E1FA7">
        <w:rPr>
          <w:rFonts w:ascii="Courier New" w:hAnsi="Courier New" w:cs="Courier New"/>
          <w:lang w:eastAsia="de-DE"/>
        </w:rPr>
        <w:t>, p. 174</w:t>
      </w:r>
    </w:p>
    <w:p w14:paraId="373BC2D1" w14:textId="4C5A0211"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AADA804" w14:textId="340E2C1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33" w:name=":5.1.6__References_of_previously_reporte"/>
      <w:bookmarkStart w:id="134" w:name="EndSectionTitle:5.1__MEDICAL_DIAGNOSIS_A"/>
      <w:bookmarkStart w:id="135" w:name="SectionTitle:5.2__SURVEILLANCE_TESTS"/>
      <w:bookmarkEnd w:id="133"/>
      <w:bookmarkEnd w:id="134"/>
      <w:bookmarkEnd w:id="135"/>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5.2  SURVEILLANCE</w:t>
      </w:r>
    </w:p>
    <w:p w14:paraId="43135DFF" w14:textId="1EBDD64E"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909D07C" w14:textId="73D33C69"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Test                 Taux            </w:t>
      </w:r>
      <w:proofErr w:type="spellStart"/>
      <w:r w:rsidR="00371363" w:rsidRPr="008E1FA7">
        <w:rPr>
          <w:rFonts w:ascii="Courier New" w:hAnsi="Courier New" w:cs="Courier New"/>
          <w:lang w:eastAsia="de-DE"/>
        </w:rPr>
        <w:t>Taux</w:t>
      </w:r>
      <w:proofErr w:type="spellEnd"/>
      <w:r w:rsidR="00371363"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Taux</w:t>
      </w:r>
      <w:proofErr w:type="spellEnd"/>
    </w:p>
    <w:p w14:paraId="688FFE82" w14:textId="247E438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                     normal*         d</w:t>
      </w:r>
      <w:r w:rsidR="001503DA" w:rsidRPr="008E1FA7">
        <w:rPr>
          <w:rFonts w:ascii="Courier New" w:hAnsi="Courier New" w:cs="Courier New"/>
          <w:lang w:eastAsia="de-DE"/>
        </w:rPr>
        <w:t>’</w:t>
      </w:r>
      <w:r w:rsidR="00371363" w:rsidRPr="008E1FA7">
        <w:rPr>
          <w:rFonts w:ascii="Courier New" w:hAnsi="Courier New" w:cs="Courier New"/>
          <w:lang w:eastAsia="de-DE"/>
        </w:rPr>
        <w:t>intervention*</w:t>
      </w:r>
      <w:r w:rsidR="00371363" w:rsidRPr="008E1FA7">
        <w:rPr>
          <w:rFonts w:ascii="Courier New" w:hAnsi="Courier New" w:cs="Courier New"/>
          <w:vertAlign w:val="superscript"/>
          <w:lang w:eastAsia="de-DE"/>
        </w:rPr>
        <w:t>,+</w:t>
      </w:r>
      <w:r w:rsidR="00371363" w:rsidRPr="008E1FA7">
        <w:rPr>
          <w:rFonts w:ascii="Courier New" w:hAnsi="Courier New" w:cs="Courier New"/>
          <w:lang w:eastAsia="de-DE"/>
        </w:rPr>
        <w:t xml:space="preserve">     symptomatique*</w:t>
      </w:r>
    </w:p>
    <w:p w14:paraId="7723BCC8" w14:textId="5C658072"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10E32A7" w14:textId="3CFD7C8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Cholinestérase       100 %           50 %                 variable</w:t>
      </w:r>
    </w:p>
    <w:p w14:paraId="08B9FD06" w14:textId="639EAB6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plasmatique</w:t>
      </w:r>
    </w:p>
    <w:p w14:paraId="622C862D" w14:textId="59221A8E"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12452A0" w14:textId="0C61A3C3"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Cholinestérase</w:t>
      </w:r>
    </w:p>
    <w:p w14:paraId="49829BA4" w14:textId="18D4321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érythrocytaire       100 %           70 %                 en général &lt; 40 %</w:t>
      </w:r>
    </w:p>
    <w:p w14:paraId="3299C26A" w14:textId="1F91F29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FC41C32" w14:textId="37936ED4"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vertAlign w:val="superscript"/>
          <w:lang w:eastAsia="de-DE"/>
        </w:rPr>
        <w:t>+</w:t>
      </w:r>
      <w:r w:rsidR="00371363" w:rsidRPr="008E1FA7">
        <w:rPr>
          <w:rFonts w:ascii="Courier New" w:hAnsi="Courier New" w:cs="Courier New"/>
          <w:lang w:eastAsia="de-DE"/>
        </w:rPr>
        <w:t>Taux auquel des mesures doivent être prises pour mettre fin à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exposition </w:t>
      </w:r>
      <w:r w:rsidRPr="008E1FA7">
        <w:rPr>
          <w:rFonts w:ascii="Courier New" w:hAnsi="Courier New" w:cs="Courier New"/>
          <w:lang w:eastAsia="de-DE"/>
        </w:rPr>
        <w:br/>
        <w:t xml:space="preserve">    </w:t>
      </w:r>
      <w:r w:rsidR="00371363" w:rsidRPr="008E1FA7">
        <w:rPr>
          <w:rFonts w:ascii="Courier New" w:hAnsi="Courier New" w:cs="Courier New"/>
          <w:lang w:eastAsia="de-DE"/>
        </w:rPr>
        <w:t>des personnes jusqu</w:t>
      </w:r>
      <w:r w:rsidR="001503DA" w:rsidRPr="008E1FA7">
        <w:rPr>
          <w:rFonts w:ascii="Courier New" w:hAnsi="Courier New" w:cs="Courier New"/>
          <w:lang w:eastAsia="de-DE"/>
        </w:rPr>
        <w:t>’</w:t>
      </w:r>
      <w:r w:rsidR="00371363" w:rsidRPr="008E1FA7">
        <w:rPr>
          <w:rFonts w:ascii="Courier New" w:hAnsi="Courier New" w:cs="Courier New"/>
          <w:lang w:eastAsia="de-DE"/>
        </w:rPr>
        <w:t>au rétablissement des taux de cholinestérase.</w:t>
      </w:r>
    </w:p>
    <w:p w14:paraId="317A9324" w14:textId="6C6F9F8F"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66B91E9" w14:textId="26C2E7C0"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*Exprimé en pourcentage de l</w:t>
      </w:r>
      <w:r w:rsidR="001503DA" w:rsidRPr="008E1FA7">
        <w:rPr>
          <w:rFonts w:ascii="Courier New" w:hAnsi="Courier New" w:cs="Courier New"/>
          <w:lang w:eastAsia="de-DE"/>
        </w:rPr>
        <w:t>’</w:t>
      </w:r>
      <w:r w:rsidR="00371363" w:rsidRPr="008E1FA7">
        <w:rPr>
          <w:rFonts w:ascii="Courier New" w:hAnsi="Courier New" w:cs="Courier New"/>
          <w:lang w:eastAsia="de-DE"/>
        </w:rPr>
        <w:t>activité avant exposition.</w:t>
      </w:r>
    </w:p>
    <w:p w14:paraId="27C97C93" w14:textId="3ECD240D"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34"/>
        <w:rPr>
          <w:rFonts w:ascii="Courier New" w:hAnsi="Courier New" w:cs="Courier New"/>
          <w:lang w:eastAsia="de-DE"/>
        </w:rPr>
      </w:pPr>
      <w:r w:rsidRPr="008E1FA7">
        <w:rPr>
          <w:rFonts w:ascii="Courier New" w:hAnsi="Courier New" w:cs="Courier New"/>
          <w:lang w:eastAsia="de-DE"/>
        </w:rPr>
        <w:t xml:space="preserve">    </w:t>
      </w:r>
    </w:p>
    <w:p w14:paraId="77BCE093" w14:textId="5015FB11"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36" w:name="EndSectionTitle:5.2__SURVEILLANCE_TESTS"/>
      <w:bookmarkStart w:id="137" w:name="SectionTitle:5.3__LABORATORY_METHODS"/>
      <w:bookmarkEnd w:id="136"/>
      <w:bookmarkEnd w:id="137"/>
      <w:r w:rsidRPr="008E1FA7">
        <w:rPr>
          <w:rFonts w:ascii="Courier New" w:hAnsi="Courier New" w:cs="Courier New"/>
          <w:lang w:eastAsia="de-DE"/>
        </w:rPr>
        <w:t xml:space="preserve">    </w:t>
      </w:r>
      <w:r w:rsidR="00371363" w:rsidRPr="008E1FA7">
        <w:rPr>
          <w:rFonts w:ascii="Courier New" w:hAnsi="Courier New" w:cs="Courier New"/>
          <w:color w:val="0000FF"/>
          <w:lang w:eastAsia="de-DE"/>
        </w:rPr>
        <w:t>5.3  MÉTHODES D</w:t>
      </w:r>
      <w:r w:rsidR="001503DA" w:rsidRPr="008E1FA7">
        <w:rPr>
          <w:rFonts w:ascii="Courier New" w:hAnsi="Courier New" w:cs="Courier New"/>
          <w:color w:val="0000FF"/>
          <w:lang w:eastAsia="de-DE"/>
        </w:rPr>
        <w:t>’</w:t>
      </w:r>
      <w:r w:rsidR="00371363" w:rsidRPr="008E1FA7">
        <w:rPr>
          <w:rFonts w:ascii="Courier New" w:hAnsi="Courier New" w:cs="Courier New"/>
          <w:color w:val="0000FF"/>
          <w:lang w:eastAsia="de-DE"/>
        </w:rPr>
        <w:t>ANALYSE EN LABORATOIRE</w:t>
      </w:r>
    </w:p>
    <w:p w14:paraId="24006B0E" w14:textId="4197D8AA"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F17B11B" w14:textId="795FC8A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Seules les références sont données.</w:t>
      </w:r>
    </w:p>
    <w:p w14:paraId="0AF23B6B" w14:textId="6AA2634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9DE2CD9" w14:textId="72C83B57"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38" w:name="SubSectionTitle:5.3.1__Detection_and_ass"/>
      <w:bookmarkEnd w:id="138"/>
      <w:r w:rsidRPr="008E1FA7">
        <w:rPr>
          <w:rFonts w:ascii="Courier New" w:hAnsi="Courier New" w:cs="Courier New"/>
          <w:lang w:eastAsia="de-DE"/>
        </w:rPr>
        <w:t xml:space="preserve">    </w:t>
      </w:r>
      <w:r w:rsidR="00371363" w:rsidRPr="008E1FA7">
        <w:rPr>
          <w:rFonts w:ascii="Courier New" w:hAnsi="Courier New" w:cs="Courier New"/>
          <w:lang w:eastAsia="de-DE"/>
        </w:rPr>
        <w:t>5.3.1  Détection et analyse des composés</w:t>
      </w:r>
    </w:p>
    <w:p w14:paraId="2B6B446B" w14:textId="0699658E"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4D2C9091" w14:textId="3616288C" w:rsidR="00371363" w:rsidRPr="008E1FA7" w:rsidRDefault="00C10E36" w:rsidP="00371363">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Il est peu probable que l</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on détecte du fenthion non modifié dans les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tissus humains après exposition. La détermination des taux de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cholinestérase sanguine est sans doute la méthode la mieux adaptée en cas </w:t>
      </w:r>
      <w:r w:rsidRPr="008E1FA7">
        <w:rPr>
          <w:rFonts w:ascii="Courier New" w:hAnsi="Courier New" w:cs="Courier New"/>
          <w:lang w:eastAsia="de-DE"/>
        </w:rPr>
        <w:br/>
        <w:t xml:space="preserve">    </w:t>
      </w:r>
      <w:r w:rsidR="00371363" w:rsidRPr="008E1FA7">
        <w:rPr>
          <w:rFonts w:ascii="Courier New" w:hAnsi="Courier New" w:cs="Courier New"/>
          <w:lang w:eastAsia="de-DE"/>
        </w:rPr>
        <w:t>de suspicion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Les concentrations de métabolites peuvent être </w:t>
      </w:r>
      <w:r w:rsidRPr="008E1FA7">
        <w:rPr>
          <w:rFonts w:ascii="Courier New" w:hAnsi="Courier New" w:cs="Courier New"/>
          <w:lang w:eastAsia="de-DE"/>
        </w:rPr>
        <w:br/>
        <w:t xml:space="preserve">    </w:t>
      </w:r>
      <w:r w:rsidR="00371363" w:rsidRPr="008E1FA7">
        <w:rPr>
          <w:rFonts w:ascii="Courier New" w:hAnsi="Courier New" w:cs="Courier New"/>
          <w:lang w:eastAsia="de-DE"/>
        </w:rPr>
        <w:t>dosées dans l</w:t>
      </w:r>
      <w:r w:rsidR="001503DA" w:rsidRPr="008E1FA7">
        <w:rPr>
          <w:rFonts w:ascii="Courier New" w:hAnsi="Courier New" w:cs="Courier New"/>
          <w:lang w:eastAsia="de-DE"/>
        </w:rPr>
        <w:t>’</w:t>
      </w:r>
      <w:r w:rsidR="00371363" w:rsidRPr="008E1FA7">
        <w:rPr>
          <w:rFonts w:ascii="Courier New" w:hAnsi="Courier New" w:cs="Courier New"/>
          <w:lang w:eastAsia="de-DE"/>
        </w:rPr>
        <w:t>urine ou les fèces. La plupart des méthodes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analyse des </w:t>
      </w:r>
      <w:r w:rsidRPr="008E1FA7">
        <w:rPr>
          <w:rFonts w:ascii="Courier New" w:hAnsi="Courier New" w:cs="Courier New"/>
          <w:lang w:eastAsia="de-DE"/>
        </w:rPr>
        <w:br/>
        <w:t xml:space="preserve">    </w:t>
      </w:r>
      <w:r w:rsidR="00371363" w:rsidRPr="008E1FA7">
        <w:rPr>
          <w:rFonts w:ascii="Courier New" w:hAnsi="Courier New" w:cs="Courier New"/>
          <w:lang w:eastAsia="de-DE"/>
        </w:rPr>
        <w:t>résidus reposent sur la chromatographie gaz-liquide.</w:t>
      </w:r>
    </w:p>
    <w:p w14:paraId="41B2E065" w14:textId="788CAB6D"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065754BE" w14:textId="11D82E9E"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Thornton, 3. S. </w:t>
      </w:r>
      <w:proofErr w:type="spellStart"/>
      <w:r w:rsidR="00371363" w:rsidRPr="008E1FA7">
        <w:rPr>
          <w:rFonts w:ascii="Courier New" w:hAnsi="Courier New" w:cs="Courier New"/>
          <w:lang w:eastAsia="de-DE"/>
        </w:rPr>
        <w:t>Chemagro</w:t>
      </w:r>
      <w:proofErr w:type="spellEnd"/>
      <w:r w:rsidR="00371363" w:rsidRPr="008E1FA7">
        <w:rPr>
          <w:rFonts w:ascii="Courier New" w:hAnsi="Courier New" w:cs="Courier New"/>
          <w:lang w:eastAsia="de-DE"/>
        </w:rPr>
        <w:t xml:space="preserve"> Corp., </w:t>
      </w:r>
      <w:proofErr w:type="spellStart"/>
      <w:r w:rsidR="00371363" w:rsidRPr="008E1FA7">
        <w:rPr>
          <w:rFonts w:ascii="Courier New" w:hAnsi="Courier New" w:cs="Courier New"/>
          <w:lang w:eastAsia="de-DE"/>
        </w:rPr>
        <w:t>Research</w:t>
      </w:r>
      <w:proofErr w:type="spellEnd"/>
      <w:r w:rsidR="00371363" w:rsidRPr="008E1FA7">
        <w:rPr>
          <w:rFonts w:ascii="Courier New" w:hAnsi="Courier New" w:cs="Courier New"/>
          <w:lang w:eastAsia="de-DE"/>
        </w:rPr>
        <w:t xml:space="preserve"> Department, Rapport n° 20.420 </w:t>
      </w:r>
      <w:r w:rsidRPr="008E1FA7">
        <w:rPr>
          <w:rFonts w:ascii="Courier New" w:hAnsi="Courier New" w:cs="Courier New"/>
          <w:lang w:eastAsia="de-DE"/>
        </w:rPr>
        <w:br/>
        <w:t xml:space="preserve">   </w:t>
      </w:r>
      <w:r w:rsidR="00513F56" w:rsidRPr="008E1FA7">
        <w:rPr>
          <w:rFonts w:ascii="Courier New" w:hAnsi="Courier New" w:cs="Courier New"/>
          <w:lang w:eastAsia="de-DE"/>
        </w:rPr>
        <w:t xml:space="preserve"> </w:t>
      </w:r>
      <w:r w:rsidR="00371363" w:rsidRPr="008E1FA7">
        <w:rPr>
          <w:rFonts w:ascii="Courier New" w:hAnsi="Courier New" w:cs="Courier New"/>
          <w:lang w:eastAsia="de-DE"/>
        </w:rPr>
        <w:t>(révisé le 21 octobre 1968)</w:t>
      </w:r>
    </w:p>
    <w:p w14:paraId="5F5AAC87" w14:textId="50C0AA5B"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4999707" w14:textId="0A543FCD"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Bowman &amp; </w:t>
      </w:r>
      <w:proofErr w:type="spellStart"/>
      <w:r w:rsidR="00371363" w:rsidRPr="008E1FA7">
        <w:rPr>
          <w:rFonts w:ascii="Courier New" w:hAnsi="Courier New" w:cs="Courier New"/>
          <w:lang w:eastAsia="de-DE"/>
        </w:rPr>
        <w:t>Beroza</w:t>
      </w:r>
      <w:proofErr w:type="spellEnd"/>
      <w:r w:rsidR="00371363" w:rsidRPr="008E1FA7">
        <w:rPr>
          <w:rFonts w:ascii="Courier New" w:hAnsi="Courier New" w:cs="Courier New"/>
          <w:lang w:eastAsia="de-DE"/>
        </w:rPr>
        <w:t xml:space="preserve"> (1968) </w:t>
      </w:r>
      <w:r w:rsidR="00371363" w:rsidRPr="008E1FA7">
        <w:rPr>
          <w:rFonts w:ascii="Courier New" w:hAnsi="Courier New" w:cs="Courier New"/>
          <w:u w:val="single"/>
          <w:lang w:eastAsia="de-DE"/>
        </w:rPr>
        <w:t xml:space="preserve">J. Ag. Food </w:t>
      </w:r>
      <w:proofErr w:type="spellStart"/>
      <w:r w:rsidR="00371363" w:rsidRPr="008E1FA7">
        <w:rPr>
          <w:rFonts w:ascii="Courier New" w:hAnsi="Courier New" w:cs="Courier New"/>
          <w:u w:val="single"/>
          <w:lang w:eastAsia="de-DE"/>
        </w:rPr>
        <w:t>Chem</w:t>
      </w:r>
      <w:proofErr w:type="spellEnd"/>
      <w:r w:rsidR="00371363" w:rsidRPr="008E1FA7">
        <w:rPr>
          <w:rFonts w:ascii="Courier New" w:hAnsi="Courier New" w:cs="Courier New"/>
          <w:u w:val="single"/>
          <w:lang w:eastAsia="de-DE"/>
        </w:rPr>
        <w:t>., 16</w:t>
      </w:r>
      <w:r w:rsidR="00371363" w:rsidRPr="008E1FA7">
        <w:rPr>
          <w:rFonts w:ascii="Courier New" w:hAnsi="Courier New" w:cs="Courier New"/>
          <w:lang w:eastAsia="de-DE"/>
        </w:rPr>
        <w:t>, 399-402</w:t>
      </w:r>
    </w:p>
    <w:p w14:paraId="0343B52C" w14:textId="5D204DAC"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78A135A" w14:textId="3B50B426" w:rsidR="00371363" w:rsidRPr="008E1FA7" w:rsidRDefault="00C10E36" w:rsidP="002B7624">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On trouvera des informations complémentaires dans la référence suivante :</w:t>
      </w:r>
    </w:p>
    <w:p w14:paraId="671550A4" w14:textId="221BE887" w:rsidR="00371363" w:rsidRPr="008E1FA7" w:rsidRDefault="00C10E36" w:rsidP="002B7624">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65BCF4DB" w14:textId="198F7C99" w:rsidR="00371363" w:rsidRPr="008E1FA7" w:rsidRDefault="00C10E36" w:rsidP="002B7624">
      <w:pPr>
        <w:keepNext/>
        <w:keepLines/>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C31740">
        <w:rPr>
          <w:rFonts w:ascii="Courier New" w:hAnsi="Courier New" w:cs="Courier New"/>
          <w:lang w:val="en-US" w:eastAsia="de-DE"/>
        </w:rPr>
        <w:t>Analytical methods for pesticides, Plant Growth Regulations and Food</w:t>
      </w:r>
      <w:r w:rsidRPr="00C31740">
        <w:rPr>
          <w:rFonts w:ascii="Courier New" w:hAnsi="Courier New" w:cs="Courier New"/>
          <w:lang w:val="en-US" w:eastAsia="de-DE"/>
        </w:rPr>
        <w:br/>
        <w:t xml:space="preserve">    </w:t>
      </w:r>
      <w:r w:rsidR="00371363" w:rsidRPr="00C31740">
        <w:rPr>
          <w:rFonts w:ascii="Courier New" w:hAnsi="Courier New" w:cs="Courier New"/>
          <w:lang w:val="en-US" w:eastAsia="de-DE"/>
        </w:rPr>
        <w:t xml:space="preserve">Additives, ed. </w:t>
      </w:r>
      <w:r w:rsidR="00371363" w:rsidRPr="008E1FA7">
        <w:rPr>
          <w:rFonts w:ascii="Courier New" w:hAnsi="Courier New" w:cs="Courier New"/>
          <w:lang w:eastAsia="de-DE"/>
        </w:rPr>
        <w:t xml:space="preserve">Zweig, G., Vol. II, 1964, Academic </w:t>
      </w:r>
      <w:proofErr w:type="spellStart"/>
      <w:r w:rsidR="00371363" w:rsidRPr="008E1FA7">
        <w:rPr>
          <w:rFonts w:ascii="Courier New" w:hAnsi="Courier New" w:cs="Courier New"/>
          <w:lang w:eastAsia="de-DE"/>
        </w:rPr>
        <w:t>Press</w:t>
      </w:r>
      <w:proofErr w:type="spellEnd"/>
    </w:p>
    <w:p w14:paraId="1D0A576B" w14:textId="5E6928A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30C85FE4" w14:textId="26CB9138"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bookmarkStart w:id="139" w:name=":5.3.1__Detection_and_assay_of_compound"/>
      <w:bookmarkStart w:id="140" w:name="SubSectionTitle:5.3.2__Other_tests_in_ca"/>
      <w:bookmarkEnd w:id="139"/>
      <w:bookmarkEnd w:id="140"/>
      <w:r w:rsidRPr="008E1FA7">
        <w:rPr>
          <w:rFonts w:ascii="Courier New" w:hAnsi="Courier New" w:cs="Courier New"/>
          <w:lang w:eastAsia="de-DE"/>
        </w:rPr>
        <w:t xml:space="preserve">    </w:t>
      </w:r>
      <w:r w:rsidR="00371363" w:rsidRPr="008E1FA7">
        <w:rPr>
          <w:rFonts w:ascii="Courier New" w:hAnsi="Courier New" w:cs="Courier New"/>
          <w:lang w:eastAsia="de-DE"/>
        </w:rPr>
        <w:t>5.3.2  Autres analyses à effectuer en cas d</w:t>
      </w:r>
      <w:r w:rsidR="001503DA" w:rsidRPr="008E1FA7">
        <w:rPr>
          <w:rFonts w:ascii="Courier New" w:hAnsi="Courier New" w:cs="Courier New"/>
          <w:lang w:eastAsia="de-DE"/>
        </w:rPr>
        <w:t>’</w:t>
      </w:r>
      <w:r w:rsidR="00371363" w:rsidRPr="008E1FA7">
        <w:rPr>
          <w:rFonts w:ascii="Courier New" w:hAnsi="Courier New" w:cs="Courier New"/>
          <w:lang w:eastAsia="de-DE"/>
        </w:rPr>
        <w:t xml:space="preserve">intoxication </w:t>
      </w:r>
    </w:p>
    <w:p w14:paraId="12137444" w14:textId="46A79846"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70AB2F73" w14:textId="479C2F18" w:rsidR="00371363"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r w:rsidR="00371363" w:rsidRPr="008E1FA7">
        <w:rPr>
          <w:rFonts w:ascii="Courier New" w:hAnsi="Courier New" w:cs="Courier New"/>
          <w:lang w:eastAsia="de-DE"/>
        </w:rPr>
        <w:t xml:space="preserve">Les taux sanguins de cholinestérase fournissent le diagnostic </w:t>
      </w:r>
      <w:r w:rsidRPr="008E1FA7">
        <w:rPr>
          <w:rFonts w:ascii="Courier New" w:hAnsi="Courier New" w:cs="Courier New"/>
          <w:lang w:eastAsia="de-DE"/>
        </w:rPr>
        <w:br/>
        <w:t xml:space="preserve">    </w:t>
      </w:r>
      <w:r w:rsidR="00371363" w:rsidRPr="008E1FA7">
        <w:rPr>
          <w:rFonts w:ascii="Courier New" w:hAnsi="Courier New" w:cs="Courier New"/>
          <w:lang w:eastAsia="de-DE"/>
        </w:rPr>
        <w:t>d</w:t>
      </w:r>
      <w:r w:rsidR="001503DA" w:rsidRPr="008E1FA7">
        <w:rPr>
          <w:rFonts w:ascii="Courier New" w:hAnsi="Courier New" w:cs="Courier New"/>
          <w:lang w:eastAsia="de-DE"/>
        </w:rPr>
        <w:t>’</w:t>
      </w:r>
      <w:r w:rsidR="00371363" w:rsidRPr="008E1FA7">
        <w:rPr>
          <w:rFonts w:ascii="Courier New" w:hAnsi="Courier New" w:cs="Courier New"/>
          <w:lang w:eastAsia="de-DE"/>
        </w:rPr>
        <w:t>intoxication le plus utile pour les méthodes d</w:t>
      </w:r>
      <w:r w:rsidR="001503DA" w:rsidRPr="008E1FA7">
        <w:rPr>
          <w:rFonts w:ascii="Courier New" w:hAnsi="Courier New" w:cs="Courier New"/>
          <w:lang w:eastAsia="de-DE"/>
        </w:rPr>
        <w:t>’</w:t>
      </w:r>
      <w:r w:rsidR="00371363" w:rsidRPr="008E1FA7">
        <w:rPr>
          <w:rFonts w:ascii="Courier New" w:hAnsi="Courier New" w:cs="Courier New"/>
          <w:lang w:eastAsia="de-DE"/>
        </w:rPr>
        <w:t>estimation. Voir :</w:t>
      </w:r>
      <w:r w:rsidRPr="008E1FA7">
        <w:rPr>
          <w:rFonts w:ascii="Courier New" w:hAnsi="Courier New" w:cs="Courier New"/>
          <w:lang w:eastAsia="de-DE"/>
        </w:rPr>
        <w:br/>
        <w:t xml:space="preserve">    </w:t>
      </w:r>
      <w:r w:rsidR="00371363" w:rsidRPr="008E1FA7">
        <w:rPr>
          <w:rFonts w:ascii="Courier New" w:hAnsi="Courier New" w:cs="Courier New"/>
          <w:lang w:eastAsia="de-DE"/>
        </w:rPr>
        <w:t xml:space="preserve">Michel, N. O. (1969) </w:t>
      </w:r>
      <w:r w:rsidR="00371363" w:rsidRPr="008E1FA7">
        <w:rPr>
          <w:rFonts w:ascii="Courier New" w:hAnsi="Courier New" w:cs="Courier New"/>
          <w:u w:val="single"/>
          <w:lang w:eastAsia="de-DE"/>
        </w:rPr>
        <w:t>J. Lab. Clin. Med., 34</w:t>
      </w:r>
      <w:r w:rsidR="00371363" w:rsidRPr="008E1FA7">
        <w:rPr>
          <w:rFonts w:ascii="Courier New" w:hAnsi="Courier New" w:cs="Courier New"/>
          <w:lang w:eastAsia="de-DE"/>
        </w:rPr>
        <w:t>, 1566-1568</w:t>
      </w:r>
    </w:p>
    <w:p w14:paraId="6734CE0A" w14:textId="6FD13C2B" w:rsidR="00C10E36" w:rsidRPr="008E1FA7" w:rsidRDefault="00C10E36"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
    <w:p w14:paraId="5C01F9CF" w14:textId="015502D5" w:rsidR="00371363" w:rsidRPr="008E1FA7" w:rsidRDefault="00C10E36" w:rsidP="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lang w:eastAsia="de-DE"/>
        </w:rPr>
      </w:pPr>
      <w:r w:rsidRPr="008E1FA7">
        <w:rPr>
          <w:rFonts w:ascii="Courier New" w:hAnsi="Courier New" w:cs="Courier New"/>
          <w:lang w:eastAsia="de-DE"/>
        </w:rPr>
        <w:t xml:space="preserve">    </w:t>
      </w:r>
      <w:proofErr w:type="spellStart"/>
      <w:r w:rsidR="00371363" w:rsidRPr="008E1FA7">
        <w:rPr>
          <w:rFonts w:ascii="Courier New" w:hAnsi="Courier New" w:cs="Courier New"/>
          <w:lang w:eastAsia="de-DE"/>
        </w:rPr>
        <w:t>Ellman</w:t>
      </w:r>
      <w:proofErr w:type="spellEnd"/>
      <w:r w:rsidR="00371363" w:rsidRPr="008E1FA7">
        <w:rPr>
          <w:rFonts w:ascii="Courier New" w:hAnsi="Courier New" w:cs="Courier New"/>
          <w:lang w:eastAsia="de-DE"/>
        </w:rPr>
        <w:t xml:space="preserve"> et al. (1961) </w:t>
      </w:r>
      <w:proofErr w:type="spellStart"/>
      <w:r w:rsidR="00371363" w:rsidRPr="008E1FA7">
        <w:rPr>
          <w:rFonts w:ascii="Courier New" w:hAnsi="Courier New" w:cs="Courier New"/>
          <w:u w:val="single"/>
          <w:lang w:eastAsia="de-DE"/>
        </w:rPr>
        <w:t>Biochem</w:t>
      </w:r>
      <w:proofErr w:type="spellEnd"/>
      <w:r w:rsidR="00371363" w:rsidRPr="008E1FA7">
        <w:rPr>
          <w:rFonts w:ascii="Courier New" w:hAnsi="Courier New" w:cs="Courier New"/>
          <w:u w:val="single"/>
          <w:lang w:eastAsia="de-DE"/>
        </w:rPr>
        <w:t xml:space="preserve">. </w:t>
      </w:r>
      <w:proofErr w:type="spellStart"/>
      <w:r w:rsidR="00371363" w:rsidRPr="008E1FA7">
        <w:rPr>
          <w:rFonts w:ascii="Courier New" w:hAnsi="Courier New" w:cs="Courier New"/>
          <w:u w:val="single"/>
          <w:lang w:eastAsia="de-DE"/>
        </w:rPr>
        <w:t>Pharmacol</w:t>
      </w:r>
      <w:proofErr w:type="spellEnd"/>
      <w:r w:rsidR="00371363" w:rsidRPr="008E1FA7">
        <w:rPr>
          <w:rFonts w:ascii="Courier New" w:hAnsi="Courier New" w:cs="Courier New"/>
          <w:u w:val="single"/>
          <w:lang w:eastAsia="de-DE"/>
        </w:rPr>
        <w:t>. I.</w:t>
      </w:r>
      <w:r w:rsidR="00371363" w:rsidRPr="008E1FA7">
        <w:rPr>
          <w:rFonts w:ascii="Courier New" w:hAnsi="Courier New" w:cs="Courier New"/>
          <w:lang w:eastAsia="de-DE"/>
        </w:rPr>
        <w:t>, 88-95</w:t>
      </w:r>
    </w:p>
    <w:p w14:paraId="159EDA72" w14:textId="1987546A" w:rsidR="00371363" w:rsidRPr="008E1FA7" w:rsidRDefault="00371363" w:rsidP="00C10E36">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4"/>
          <w:szCs w:val="4"/>
        </w:rPr>
      </w:pPr>
      <w:r w:rsidRPr="008E1FA7">
        <w:rPr>
          <w:rFonts w:ascii="Courier New" w:hAnsi="Courier New" w:cs="Courier New"/>
          <w:lang w:eastAsia="de-DE"/>
        </w:rPr>
        <w:t>* * *</w:t>
      </w:r>
      <w:bookmarkStart w:id="141" w:name=":5.3.2__Other_tests_in_cases_of_poisonin"/>
      <w:bookmarkStart w:id="142" w:name="EndSectionTitle:5.3__LABORATORY_METHODS"/>
      <w:bookmarkStart w:id="143" w:name="EndPartTitle:Part_5_-_For_medical_and_la"/>
      <w:bookmarkStart w:id="144" w:name="PartTitle:1.____GENERAL_INFORMATION"/>
      <w:bookmarkStart w:id="145" w:name="SectionTitle:1.1___COMMON_NAME"/>
      <w:bookmarkStart w:id="146" w:name="SubSectionTitle:1.1.1_Identity"/>
      <w:bookmarkStart w:id="147" w:name=":1.1.1_Identity"/>
      <w:bookmarkStart w:id="148" w:name="EndSectionTitle:1.1___COMMON_NAME"/>
      <w:bookmarkStart w:id="149" w:name="SectionTitle:1.2___SYNOPSIS"/>
      <w:bookmarkStart w:id="150" w:name="EndSectionTitle:1.2___SYNOPSIS"/>
      <w:bookmarkStart w:id="151" w:name="SectionTitle:1.3___SELECTED_PROPERTIES"/>
      <w:bookmarkStart w:id="152" w:name="SubSectionTitle:1.3.1_Physical_character"/>
      <w:bookmarkStart w:id="153" w:name=":1.3.1_Physical_characteristics"/>
      <w:bookmarkStart w:id="154" w:name="SubSectionTitle:1.3.2_Solubility"/>
      <w:bookmarkStart w:id="155" w:name=":1.3.2_Solubility"/>
      <w:bookmarkStart w:id="156" w:name="SubSectionTitle:1.3.3_Stability"/>
      <w:bookmarkStart w:id="157" w:name=":1.3.3_Stability"/>
      <w:bookmarkStart w:id="158" w:name="SubSectionTitle:1.3.4_Vapour_pressure_(v"/>
      <w:bookmarkStart w:id="159" w:name=":1.3.4_Vapour_pressure_(volatility)"/>
      <w:bookmarkStart w:id="160" w:name="EndSectionTitle:1.3___SELECTED_PROPERTIE"/>
      <w:bookmarkStart w:id="161" w:name="SectionTitle:1.4_AGRICULTURE,_HORTICULTU"/>
      <w:bookmarkStart w:id="162" w:name="SubSectionTitle:1.4.1_Common_formulation"/>
      <w:bookmarkStart w:id="163" w:name=":1.4.1_Common_formulations"/>
      <w:bookmarkStart w:id="164" w:name="SubSectionTitle:1.4.2_Susceptible_pests"/>
      <w:bookmarkStart w:id="165" w:name=":1.4.2_Susceptible_pests"/>
      <w:bookmarkStart w:id="166" w:name="SubSectionTitle:1.4.3_Use_pattern"/>
      <w:bookmarkStart w:id="167" w:name=":1.4.3_Use_pattern"/>
      <w:bookmarkStart w:id="168" w:name="SubSectionTitle:1.4.4_Unintended_effects"/>
      <w:bookmarkStart w:id="169" w:name=":1.4.4_Unintended_effects"/>
      <w:bookmarkStart w:id="170" w:name="EndSectionTitle:1.4_AGRICULTURE,_HORTICU"/>
      <w:bookmarkStart w:id="171" w:name="SectionTitle:1.5___PUBLIC_HEALTH_PROGRAM"/>
      <w:bookmarkStart w:id="172" w:name="EndSectionTitle:1.5___PUBLIC_HEALTH_PROG"/>
      <w:bookmarkStart w:id="173" w:name="SectionTitle:1.6____HOUSEHOLD_USE"/>
      <w:bookmarkStart w:id="174" w:name="EndSectionTitle:1.6____HOUSEHOLD_USE"/>
      <w:bookmarkStart w:id="175" w:name="EndPartTitle:1.____GENERAL_INFORMATION"/>
      <w:bookmarkStart w:id="176" w:name="PartTitle:2.____TOXICOLOGY_AND_RISKS"/>
      <w:bookmarkStart w:id="177" w:name="SectionTitle:2.1___TOXICOLOGY_-_MAMMALS"/>
      <w:bookmarkStart w:id="178" w:name="SubSectionTitle:2.1.1_Absorption_route"/>
      <w:bookmarkStart w:id="179" w:name=":2.1.1_Absorption_route"/>
      <w:bookmarkStart w:id="180" w:name="SubSectionTitle:2.1.2_Mode_of_action"/>
      <w:bookmarkStart w:id="181" w:name=":2.1.2_Mode_of_action"/>
      <w:bookmarkStart w:id="182" w:name="SubSectionTitle:2.1.3_Excretion_products"/>
      <w:bookmarkStart w:id="183" w:name=":2.1.3_Excretion_products"/>
      <w:bookmarkStart w:id="184" w:name="SubSectionTitle:2.1.4_Toxicity,_single_d"/>
      <w:bookmarkStart w:id="185" w:name=":2.1.4_Toxicity,_single_dose"/>
      <w:bookmarkStart w:id="186" w:name="SubSectionTitle:2.1.5_Toxicity,_repeated"/>
      <w:bookmarkStart w:id="187" w:name=":2.1.5_Toxicity,_repeated_dose"/>
      <w:bookmarkStart w:id="188" w:name="SubSectionTitle:2.1.6_Dietary_studies"/>
      <w:bookmarkStart w:id="189" w:name=":2.1.6_Dietary_studies"/>
      <w:bookmarkStart w:id="190" w:name="SubSectionTitle:2.1.7_Supplementer_studi"/>
      <w:bookmarkStart w:id="191" w:name=":2.1.7_Supplementer_studies_of_toxicity"/>
      <w:bookmarkStart w:id="192" w:name="SubSectionTitle:2.1.8_Modifications_of_t"/>
      <w:bookmarkStart w:id="193" w:name=":2.1.8_Modifications_of_toxicity"/>
      <w:bookmarkStart w:id="194" w:name="EndSectionTitle:2.1___TOXICOLOGY_-_MAMMA"/>
      <w:bookmarkStart w:id="195" w:name="SectionTitle:2.2___TOXICOLOGY_-_MAN"/>
      <w:bookmarkStart w:id="196" w:name="SubSectionTitle:2.2.1_Absorption"/>
      <w:bookmarkStart w:id="197" w:name=":2.2.1_Absorption"/>
      <w:bookmarkStart w:id="198" w:name="SubSectionTitle:2.2.2_Dangerous_doses"/>
      <w:bookmarkStart w:id="199" w:name=":2.2.2_Dangerous_doses"/>
      <w:bookmarkStart w:id="200" w:name="SubSectionTitle:2.2.3_Observations_of_oc"/>
      <w:bookmarkStart w:id="201" w:name=":2.2.3_Observations_of_occupationally_ex"/>
      <w:bookmarkStart w:id="202" w:name="SubSectionTitle:2.2.4_Observations_on_ex"/>
      <w:bookmarkStart w:id="203" w:name=":2.2.4_Observations_on_exposure_of_the_g"/>
      <w:bookmarkStart w:id="204" w:name="SubSectionTitle:2.2.5_Observations_of_vo"/>
      <w:bookmarkStart w:id="205" w:name=":2.2.5_Observations_of_volunteers"/>
      <w:bookmarkStart w:id="206" w:name="SubSectionTitle:2.2.6_Reported_mishaps"/>
      <w:bookmarkStart w:id="207" w:name=":2.2.6_Reported_mishaps"/>
      <w:bookmarkStart w:id="208" w:name="EndSectionTitle:2.2___TOXICOLOGY_-_MAN"/>
      <w:bookmarkStart w:id="209" w:name="SectionTitle:2.3___TOXICITY_TO_NON-MAMMA"/>
      <w:bookmarkStart w:id="210" w:name="SubSectionTitle:2.3.1_Fish"/>
      <w:bookmarkStart w:id="211" w:name=":2.3.1_Fish"/>
      <w:bookmarkStart w:id="212" w:name="SubSectionTitle:2.3.2_Birds"/>
      <w:bookmarkStart w:id="213" w:name=":2.3.2_Birds"/>
      <w:bookmarkStart w:id="214" w:name="SubSectionTitle:2.3.3_Other_species"/>
      <w:bookmarkStart w:id="215" w:name=":2.3.3_Other_species"/>
      <w:bookmarkStart w:id="216" w:name="EndSectionTitle:2.3___TOXICITY_TO_NON-MA"/>
      <w:bookmarkStart w:id="217" w:name="EndPartTitle:2.____TOXICOLOGY_AND_RISKS"/>
      <w:bookmarkStart w:id="218" w:name="PartTitle:3.____FOR_REGULATORY_AUTHORITI"/>
      <w:bookmarkStart w:id="219" w:name="SectionTitle:3.1___RECOMMENDED_RESTRICTI"/>
      <w:bookmarkStart w:id="220" w:name="EndSectionTitle:3.1___RECOMMENDED_RESTRI"/>
      <w:bookmarkStart w:id="221" w:name="SectionTitle:3.2___TRANSPORTATION_AND_ST"/>
      <w:bookmarkStart w:id="222" w:name="EndSectionTitle:3.2___TRANSPORTATION_AND"/>
      <w:bookmarkStart w:id="223" w:name="SectionTitle:3.3___HANDLING"/>
      <w:bookmarkStart w:id="224" w:name="EndSectionTitle:3.3___HANDLING"/>
      <w:bookmarkStart w:id="225" w:name="SectionTitle:3.4___DISPOSAL_AND/OR_DECON"/>
      <w:bookmarkStart w:id="226" w:name="EndSectionTitle:3.4___DISPOSAL_AND/OR_DE"/>
      <w:bookmarkStart w:id="227" w:name="SectionTitle:3.5___SELECTION,_TRAINING_A"/>
      <w:bookmarkStart w:id="228" w:name="EndSectionTitle:3.5___SELECTION,_TRAININ"/>
      <w:bookmarkStart w:id="229" w:name="SectionTitle:3.6___ADDITIONAL_REGULATION"/>
      <w:bookmarkStart w:id="230" w:name="EndSectionTitle:3.6___ADDITIONAL_REGULAT"/>
      <w:bookmarkStart w:id="231" w:name="SectionTitle:3.7___LABELLING"/>
      <w:bookmarkStart w:id="232" w:name="EndSectionTitle:3.7___LABELLING"/>
      <w:bookmarkStart w:id="233" w:name="SectionTitle:3.8___RESIDUES_IN_FOOD"/>
      <w:bookmarkStart w:id="234" w:name="SubSectionTitle:3.8.1_Maximum_residue_le"/>
      <w:bookmarkStart w:id="235" w:name=":3.8.1_Maximum_residue_levels_(tolerance"/>
      <w:bookmarkStart w:id="236" w:name="EndSectionTitle:3.8___RESIDUES_IN_FOOD"/>
      <w:bookmarkStart w:id="237" w:name="SectionTitle:3.9___SPECIAL_NOTE_ON_PARAQ"/>
      <w:bookmarkStart w:id="238" w:name="EndSectionTitle:3.9___SPECIAL_NOTE_ON_PA"/>
      <w:bookmarkStart w:id="239" w:name="EndPartTitle:3.____FOR_REGULATORY_AUTHOR"/>
      <w:bookmarkStart w:id="240" w:name="PartTitle:4.____PREVENTION_OF_POISONING_"/>
      <w:bookmarkStart w:id="241" w:name="SectionTitle:4.1___PRECAUTIONS_IN_USE"/>
      <w:bookmarkStart w:id="242" w:name="SubSectionTitle:4.1.1_General"/>
      <w:bookmarkStart w:id="243" w:name=":4.1.1_General"/>
      <w:bookmarkStart w:id="244" w:name="SubSectionTitle:4.1.2_Manufacture_and_fo"/>
      <w:bookmarkStart w:id="245" w:name=":4.1.2_Manufacture_and_formulations"/>
      <w:bookmarkStart w:id="246" w:name="SubSectionTitle:4.1.3_Mixers_and_applica"/>
      <w:bookmarkStart w:id="247" w:name=":4.1.3_Mixers_and_applicators"/>
      <w:bookmarkStart w:id="248" w:name="SubSectionTitle:4.1.4_Other_associated_w"/>
      <w:bookmarkStart w:id="249" w:name=":4.1.4_Other_associated_workers_(includi"/>
      <w:bookmarkStart w:id="250" w:name="SubSectionTitle:4.1.5_Other_populations_"/>
      <w:bookmarkStart w:id="251" w:name=":4.1.5_Other_populations_likely_to_be_af"/>
      <w:bookmarkStart w:id="252" w:name="EndSectionTitle:4.1___PRECAUTIONS_IN_USE"/>
      <w:bookmarkStart w:id="253" w:name="SectionTitle:4.2___ENTRY_OF_PERSON_INTO_"/>
      <w:bookmarkStart w:id="254" w:name="EndSectionTitle:4.2___ENTRY_OF_PERSON_IN"/>
      <w:bookmarkStart w:id="255" w:name="SectionTitle:4.3___SAFE_DISPOSAL_OF_CONT"/>
      <w:bookmarkStart w:id="256" w:name="EndSectionTitle:4.3___SAFE_DISPOSAL_OF_C"/>
      <w:bookmarkStart w:id="257" w:name="SectionTitle:4.4___EMERGENCY_AID"/>
      <w:bookmarkStart w:id="258" w:name="SubSectionTitle:4.4.1_Early_symptoms_of_"/>
      <w:bookmarkStart w:id="259" w:name=":4.4.2_Treatment_before_person_is_seen_b"/>
      <w:bookmarkStart w:id="260" w:name="EndSectionTitle:4.4___EMERGENCY_AID"/>
      <w:bookmarkStart w:id="261" w:name="EndPartTitle:4.____PREVENTION_OF_POISONI"/>
      <w:bookmarkStart w:id="262" w:name="PartTitle:5.____FOR_MEDICAL_AND_LABORATO"/>
      <w:bookmarkStart w:id="263" w:name="SectionTitle:5.1___MEDICAL_DIAGNOSIS_AND"/>
      <w:bookmarkStart w:id="264" w:name="SubSectionTitle:5.1.1_General_informatio"/>
      <w:bookmarkStart w:id="265" w:name=":5.1.1_General_information"/>
      <w:bookmarkStart w:id="266" w:name="SubSectionTitle:5.1.2_Symptoms_and_signs"/>
      <w:bookmarkStart w:id="267" w:name=":5.1.2_Symptoms_and_signs"/>
      <w:bookmarkStart w:id="268" w:name="SubSectionTitle:5.1.3_Laboratory"/>
      <w:bookmarkStart w:id="269" w:name=":5.1.3_Laboratory"/>
      <w:bookmarkStart w:id="270" w:name="SubSectionTitle:5.1.4_Treatment"/>
      <w:bookmarkStart w:id="271" w:name=":5.1.4_Treatment"/>
      <w:bookmarkStart w:id="272" w:name="SubSectionTitle:5.1.5_Prognosis"/>
      <w:bookmarkStart w:id="273" w:name=":5.1.5_Prognosis"/>
      <w:bookmarkStart w:id="274" w:name="SubSectionTitle:5.1.6_References_of_prev"/>
      <w:bookmarkStart w:id="275" w:name=":5.1.6_References_of_previously_reported"/>
      <w:bookmarkStart w:id="276" w:name="EndSectionTitle:5.1___MEDICAL_DIAGNOSIS_"/>
      <w:bookmarkStart w:id="277" w:name="SectionTitle:5.2___SURVEILLANCE"/>
      <w:bookmarkStart w:id="278" w:name="EndSectionTitle:5.2___SURVEILLANCE"/>
      <w:bookmarkStart w:id="279" w:name="SectionTitle:5.3___LABORATORY_METHODS"/>
      <w:bookmarkStart w:id="280" w:name="SubSectionTitle:5.3.1_Detection_and_assa"/>
      <w:bookmarkStart w:id="281" w:name=":5.3.1_Detection_and_assay_of_compounds"/>
      <w:bookmarkStart w:id="282" w:name="SubSectionTitle:5.3.2_Other_tests_in_cas"/>
      <w:bookmarkStart w:id="283" w:name=":5.3.2_Other_tests_in_cases_of_poisoning"/>
      <w:bookmarkStart w:id="284" w:name="EndSectionTitle:5.3___LABORATORY_METHODS"/>
      <w:bookmarkStart w:id="285" w:name="EndPartTitle:5.____FOR_MEDICAL_AND_LABOR"/>
      <w:bookmarkStart w:id="286" w:name="PartTitle:REFERENCES"/>
      <w:bookmarkStart w:id="287" w:name="EndPartTitle:REFERENCES"/>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sidRPr="008E1FA7">
        <w:rPr>
          <w:rFonts w:ascii="Arial" w:hAnsi="Arial" w:cs="Arial"/>
          <w:color w:val="000000"/>
          <w:lang w:eastAsia="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371363" w:rsidRPr="008E1FA7" w14:paraId="49783630" w14:textId="77777777" w:rsidTr="00114AC3">
        <w:trPr>
          <w:cantSplit/>
          <w:jc w:val="right"/>
        </w:trPr>
        <w:tc>
          <w:tcPr>
            <w:tcW w:w="9450" w:type="dxa"/>
            <w:shd w:val="pct12" w:color="000000" w:fill="FFFFFF"/>
          </w:tcPr>
          <w:p w14:paraId="0A2F08FB" w14:textId="7A4A5165" w:rsidR="00371363" w:rsidRPr="008E1FA7" w:rsidRDefault="00371363" w:rsidP="00513F56">
            <w:pPr>
              <w:pStyle w:val="CH2"/>
            </w:pPr>
            <w:r w:rsidRPr="008E1FA7">
              <w:br w:type="page"/>
            </w:r>
            <w:r w:rsidRPr="008E1FA7">
              <w:br w:type="page"/>
            </w:r>
            <w:r w:rsidRPr="008E1FA7">
              <w:br w:type="page"/>
            </w:r>
            <w:r w:rsidRPr="008E1FA7">
              <w:br w:type="page"/>
              <w:t>Annexe IV</w:t>
            </w:r>
            <w:r w:rsidRPr="008E1FA7">
              <w:rPr>
                <w:bCs/>
                <w:kern w:val="28"/>
              </w:rPr>
              <w:tab/>
            </w:r>
            <w:r w:rsidRPr="008E1FA7">
              <w:t>Complément d</w:t>
            </w:r>
            <w:r w:rsidR="001503DA" w:rsidRPr="008E1FA7">
              <w:t>’</w:t>
            </w:r>
            <w:r w:rsidRPr="008E1FA7">
              <w:t>information sur le principe actif du pesticide</w:t>
            </w:r>
          </w:p>
        </w:tc>
      </w:tr>
    </w:tbl>
    <w:p w14:paraId="23C3A156" w14:textId="77777777" w:rsidR="00371363" w:rsidRPr="008E1FA7" w:rsidRDefault="00371363" w:rsidP="00513F56">
      <w:pPr>
        <w:spacing w:before="240" w:after="240"/>
        <w:rPr>
          <w:b/>
        </w:rPr>
      </w:pPr>
      <w:r w:rsidRPr="008E1FA7">
        <w:rPr>
          <w:b/>
        </w:rPr>
        <w:t>Introduction</w:t>
      </w:r>
    </w:p>
    <w:p w14:paraId="2311282D" w14:textId="7E0F8586" w:rsidR="00371363" w:rsidRPr="008E1FA7" w:rsidRDefault="00371363" w:rsidP="00AA2775">
      <w:pPr>
        <w:spacing w:after="120"/>
      </w:pPr>
      <w:r w:rsidRPr="008E1FA7">
        <w:t>La présente annexe fournit un complément d</w:t>
      </w:r>
      <w:r w:rsidR="001503DA" w:rsidRPr="008E1FA7">
        <w:t>’</w:t>
      </w:r>
      <w:r w:rsidRPr="008E1FA7">
        <w:t>information sur les propriétés physico</w:t>
      </w:r>
      <w:r w:rsidRPr="008E1FA7">
        <w:noBreakHyphen/>
        <w:t>chimiques, toxicologiques et écologiques du principe actif du pesticide fenthion. Ces renseignements sont tirés des documents rassemblés par le</w:t>
      </w:r>
      <w:r w:rsidR="00F40C92" w:rsidRPr="008E1FA7">
        <w:t> </w:t>
      </w:r>
      <w:r w:rsidRPr="008E1FA7">
        <w:t>secrétariat conformément à la deuxième partie de l</w:t>
      </w:r>
      <w:r w:rsidR="001503DA" w:rsidRPr="008E1FA7">
        <w:t>’</w:t>
      </w:r>
      <w:r w:rsidRPr="008E1FA7">
        <w:t>Annexe IV à la Convention de Rotterdam et dont le Comité d</w:t>
      </w:r>
      <w:r w:rsidR="001503DA" w:rsidRPr="008E1FA7">
        <w:t>’</w:t>
      </w:r>
      <w:r w:rsidRPr="008E1FA7">
        <w:t>étude des produits chimiques était saisi dans les documents UNEP/FAO/RC/CRC.9/4/Add.2, notamment l</w:t>
      </w:r>
      <w:r w:rsidR="001503DA" w:rsidRPr="008E1FA7">
        <w:t>’</w:t>
      </w:r>
      <w:r w:rsidRPr="008E1FA7">
        <w:t>examen du fenthion réalisé par l</w:t>
      </w:r>
      <w:r w:rsidR="001503DA" w:rsidRPr="008E1FA7">
        <w:t>’</w:t>
      </w:r>
      <w:r w:rsidRPr="008E1FA7">
        <w:t>Union européenne (2003), des informations émanant de l</w:t>
      </w:r>
      <w:r w:rsidR="001503DA" w:rsidRPr="008E1FA7">
        <w:t>’</w:t>
      </w:r>
      <w:r w:rsidRPr="008E1FA7">
        <w:t>Agence américaine pour la</w:t>
      </w:r>
      <w:r w:rsidR="00F40C92" w:rsidRPr="008E1FA7">
        <w:t> </w:t>
      </w:r>
      <w:r w:rsidRPr="008E1FA7">
        <w:t>protection de l</w:t>
      </w:r>
      <w:r w:rsidR="001503DA" w:rsidRPr="008E1FA7">
        <w:t>’</w:t>
      </w:r>
      <w:r w:rsidRPr="008E1FA7">
        <w:t>environnement (US EPA) et de l</w:t>
      </w:r>
      <w:r w:rsidR="001503DA" w:rsidRPr="008E1FA7">
        <w:t>’</w:t>
      </w:r>
      <w:r w:rsidRPr="008E1FA7">
        <w:t>Australie et les Spécifications FAO relatives aux pesticides en</w:t>
      </w:r>
      <w:r w:rsidR="00F40C92" w:rsidRPr="008E1FA7">
        <w:t> </w:t>
      </w:r>
      <w:r w:rsidRPr="008E1FA7">
        <w:t>agriculture pour le fenthion (</w:t>
      </w:r>
      <w:r w:rsidRPr="008E1FA7">
        <w:rPr>
          <w:lang w:eastAsia="bg-BG"/>
        </w:rPr>
        <w:t xml:space="preserve">FAO </w:t>
      </w:r>
      <w:proofErr w:type="spellStart"/>
      <w:r w:rsidRPr="008E1FA7">
        <w:rPr>
          <w:lang w:eastAsia="bg-BG"/>
        </w:rPr>
        <w:t>Specifications</w:t>
      </w:r>
      <w:proofErr w:type="spellEnd"/>
      <w:r w:rsidRPr="008E1FA7">
        <w:rPr>
          <w:lang w:eastAsia="bg-BG"/>
        </w:rPr>
        <w:t xml:space="preserve"> and </w:t>
      </w:r>
      <w:proofErr w:type="spellStart"/>
      <w:r w:rsidRPr="008E1FA7">
        <w:rPr>
          <w:lang w:eastAsia="bg-BG"/>
        </w:rPr>
        <w:t>evaluations</w:t>
      </w:r>
      <w:proofErr w:type="spellEnd"/>
      <w:r w:rsidRPr="008E1FA7">
        <w:rPr>
          <w:lang w:eastAsia="bg-BG"/>
        </w:rPr>
        <w:t xml:space="preserve"> for Fenthion, 2004).</w:t>
      </w:r>
    </w:p>
    <w:p w14:paraId="643F0835" w14:textId="0B06CFC8" w:rsidR="00371363" w:rsidRPr="008E1FA7" w:rsidRDefault="00371363" w:rsidP="00AA2775">
      <w:pPr>
        <w:spacing w:after="120"/>
      </w:pPr>
      <w:r w:rsidRPr="008E1FA7">
        <w:t>On trouvera de plus amples informations sur les propriétés physico</w:t>
      </w:r>
      <w:r w:rsidRPr="008E1FA7">
        <w:noBreakHyphen/>
        <w:t>chimiques, toxicologiques et écologiques des</w:t>
      </w:r>
      <w:r w:rsidR="00F40C92" w:rsidRPr="008E1FA7">
        <w:t> </w:t>
      </w:r>
      <w:r w:rsidRPr="008E1FA7">
        <w:t>préparations pesticides contenant du fenthion dans les fiches de sécurité chimique des produits concernés, disponibles sur Internet.</w:t>
      </w:r>
    </w:p>
    <w:tbl>
      <w:tblPr>
        <w:tblW w:w="9393" w:type="dxa"/>
        <w:tblLayout w:type="fixed"/>
        <w:tblLook w:val="0000" w:firstRow="0" w:lastRow="0" w:firstColumn="0" w:lastColumn="0" w:noHBand="0" w:noVBand="0"/>
      </w:tblPr>
      <w:tblGrid>
        <w:gridCol w:w="709"/>
        <w:gridCol w:w="7"/>
        <w:gridCol w:w="1696"/>
        <w:gridCol w:w="23"/>
        <w:gridCol w:w="6958"/>
      </w:tblGrid>
      <w:tr w:rsidR="00371363" w:rsidRPr="008E1FA7" w14:paraId="44BA1BA7" w14:textId="77777777" w:rsidTr="009C493C">
        <w:tc>
          <w:tcPr>
            <w:tcW w:w="709" w:type="dxa"/>
            <w:tcBorders>
              <w:bottom w:val="single" w:sz="4" w:space="0" w:color="auto"/>
            </w:tcBorders>
            <w:shd w:val="clear" w:color="auto" w:fill="auto"/>
          </w:tcPr>
          <w:p w14:paraId="612ACC7E" w14:textId="77777777" w:rsidR="00371363" w:rsidRPr="008E1FA7" w:rsidRDefault="00371363" w:rsidP="00AA2775">
            <w:pPr>
              <w:outlineLvl w:val="1"/>
              <w:rPr>
                <w:b/>
                <w:bCs/>
                <w:szCs w:val="24"/>
              </w:rPr>
            </w:pPr>
            <w:r w:rsidRPr="008E1FA7">
              <w:rPr>
                <w:b/>
                <w:bCs/>
                <w:szCs w:val="24"/>
              </w:rPr>
              <w:t>1.</w:t>
            </w:r>
          </w:p>
        </w:tc>
        <w:tc>
          <w:tcPr>
            <w:tcW w:w="8684" w:type="dxa"/>
            <w:gridSpan w:val="4"/>
            <w:tcBorders>
              <w:bottom w:val="single" w:sz="4" w:space="0" w:color="auto"/>
            </w:tcBorders>
            <w:shd w:val="clear" w:color="auto" w:fill="auto"/>
          </w:tcPr>
          <w:p w14:paraId="41F3E58D" w14:textId="77777777" w:rsidR="00371363" w:rsidRPr="008E1FA7" w:rsidRDefault="00371363" w:rsidP="00AA2775">
            <w:pPr>
              <w:outlineLvl w:val="1"/>
              <w:rPr>
                <w:b/>
                <w:bCs/>
                <w:szCs w:val="24"/>
              </w:rPr>
            </w:pPr>
            <w:r w:rsidRPr="008E1FA7">
              <w:rPr>
                <w:b/>
                <w:bCs/>
                <w:szCs w:val="24"/>
              </w:rPr>
              <w:t>Propriétés physico</w:t>
            </w:r>
            <w:r w:rsidRPr="008E1FA7">
              <w:rPr>
                <w:b/>
                <w:bCs/>
                <w:szCs w:val="24"/>
              </w:rPr>
              <w:noBreakHyphen/>
              <w:t xml:space="preserve">chimiques </w:t>
            </w:r>
          </w:p>
        </w:tc>
      </w:tr>
      <w:tr w:rsidR="00371363" w:rsidRPr="008E1FA7" w14:paraId="29D7DD10"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8"/>
        </w:trPr>
        <w:tc>
          <w:tcPr>
            <w:tcW w:w="709" w:type="dxa"/>
            <w:tcBorders>
              <w:top w:val="nil"/>
              <w:left w:val="nil"/>
              <w:bottom w:val="nil"/>
              <w:right w:val="nil"/>
            </w:tcBorders>
            <w:shd w:val="clear" w:color="auto" w:fill="auto"/>
          </w:tcPr>
          <w:p w14:paraId="32C3AFCF" w14:textId="77777777" w:rsidR="00371363" w:rsidRPr="008E1FA7" w:rsidRDefault="00371363" w:rsidP="00AA2775">
            <w:pPr>
              <w:spacing w:after="60"/>
              <w:rPr>
                <w:b/>
                <w:bCs/>
              </w:rPr>
            </w:pPr>
            <w:r w:rsidRPr="008E1FA7">
              <w:rPr>
                <w:b/>
                <w:bCs/>
              </w:rPr>
              <w:t>1.1</w:t>
            </w:r>
          </w:p>
        </w:tc>
        <w:tc>
          <w:tcPr>
            <w:tcW w:w="1703" w:type="dxa"/>
            <w:gridSpan w:val="2"/>
            <w:tcBorders>
              <w:top w:val="nil"/>
              <w:left w:val="nil"/>
              <w:bottom w:val="nil"/>
              <w:right w:val="nil"/>
            </w:tcBorders>
            <w:shd w:val="clear" w:color="auto" w:fill="auto"/>
          </w:tcPr>
          <w:p w14:paraId="183C5F62" w14:textId="77777777" w:rsidR="00371363" w:rsidRPr="008E1FA7" w:rsidRDefault="00371363" w:rsidP="00AA2775">
            <w:pPr>
              <w:rPr>
                <w:b/>
              </w:rPr>
            </w:pPr>
            <w:r w:rsidRPr="008E1FA7">
              <w:rPr>
                <w:b/>
              </w:rPr>
              <w:t>Nom usuel</w:t>
            </w:r>
          </w:p>
          <w:p w14:paraId="5F23FB81" w14:textId="77777777" w:rsidR="00371363" w:rsidRPr="008E1FA7" w:rsidRDefault="00371363" w:rsidP="00AA2775">
            <w:pPr>
              <w:rPr>
                <w:b/>
                <w:iCs/>
                <w:lang w:eastAsia="bg-BG"/>
              </w:rPr>
            </w:pPr>
            <w:r w:rsidRPr="008E1FA7">
              <w:rPr>
                <w:b/>
                <w:iCs/>
                <w:lang w:eastAsia="bg-BG"/>
              </w:rPr>
              <w:t>Noms chimiques</w:t>
            </w:r>
          </w:p>
          <w:p w14:paraId="027479F4" w14:textId="77777777" w:rsidR="00371363" w:rsidRPr="008E1FA7" w:rsidRDefault="00371363" w:rsidP="00AA2775">
            <w:pPr>
              <w:rPr>
                <w:b/>
              </w:rPr>
            </w:pPr>
          </w:p>
        </w:tc>
        <w:tc>
          <w:tcPr>
            <w:tcW w:w="6981" w:type="dxa"/>
            <w:gridSpan w:val="2"/>
            <w:tcBorders>
              <w:top w:val="nil"/>
              <w:left w:val="nil"/>
              <w:bottom w:val="nil"/>
              <w:right w:val="nil"/>
            </w:tcBorders>
            <w:shd w:val="clear" w:color="auto" w:fill="auto"/>
          </w:tcPr>
          <w:p w14:paraId="4977434E" w14:textId="23F6FA2C" w:rsidR="00371363" w:rsidRPr="008E1FA7" w:rsidRDefault="00371363" w:rsidP="00AA2775">
            <w:pPr>
              <w:spacing w:before="20"/>
              <w:rPr>
                <w:lang w:eastAsia="bg-BG"/>
              </w:rPr>
            </w:pPr>
            <w:r w:rsidRPr="008E1FA7">
              <w:rPr>
                <w:lang w:eastAsia="bg-BG"/>
              </w:rPr>
              <w:t>Fenthion</w:t>
            </w:r>
          </w:p>
          <w:p w14:paraId="7F5DF3FB" w14:textId="77777777" w:rsidR="00371363" w:rsidRPr="008E1FA7" w:rsidRDefault="00371363" w:rsidP="00AA2775">
            <w:pPr>
              <w:spacing w:before="20"/>
              <w:rPr>
                <w:iCs/>
                <w:lang w:eastAsia="bg-BG"/>
              </w:rPr>
            </w:pPr>
            <w:r w:rsidRPr="008E1FA7">
              <w:rPr>
                <w:i/>
                <w:iCs/>
                <w:lang w:eastAsia="bg-BG"/>
              </w:rPr>
              <w:t>O</w:t>
            </w:r>
            <w:r w:rsidRPr="008E1FA7">
              <w:rPr>
                <w:lang w:eastAsia="bg-BG"/>
              </w:rPr>
              <w:t>,</w:t>
            </w:r>
            <w:r w:rsidRPr="008E1FA7">
              <w:rPr>
                <w:i/>
                <w:iCs/>
                <w:lang w:eastAsia="bg-BG"/>
              </w:rPr>
              <w:t>O</w:t>
            </w:r>
            <w:r w:rsidRPr="008E1FA7">
              <w:rPr>
                <w:lang w:eastAsia="bg-BG"/>
              </w:rPr>
              <w:noBreakHyphen/>
            </w:r>
            <w:proofErr w:type="spellStart"/>
            <w:r w:rsidRPr="008E1FA7">
              <w:rPr>
                <w:lang w:eastAsia="bg-BG"/>
              </w:rPr>
              <w:t>diméthyl</w:t>
            </w:r>
            <w:proofErr w:type="spellEnd"/>
            <w:r w:rsidRPr="008E1FA7">
              <w:rPr>
                <w:lang w:eastAsia="bg-BG"/>
              </w:rPr>
              <w:t xml:space="preserve"> </w:t>
            </w:r>
            <w:r w:rsidRPr="008E1FA7">
              <w:rPr>
                <w:i/>
                <w:iCs/>
                <w:lang w:eastAsia="bg-BG"/>
              </w:rPr>
              <w:t>O</w:t>
            </w:r>
            <w:r w:rsidRPr="008E1FA7">
              <w:rPr>
                <w:lang w:eastAsia="bg-BG"/>
              </w:rPr>
              <w:noBreakHyphen/>
              <w:t>(4</w:t>
            </w:r>
            <w:r w:rsidRPr="008E1FA7">
              <w:rPr>
                <w:lang w:eastAsia="bg-BG"/>
              </w:rPr>
              <w:noBreakHyphen/>
              <w:t>(</w:t>
            </w:r>
            <w:proofErr w:type="spellStart"/>
            <w:r w:rsidRPr="008E1FA7">
              <w:rPr>
                <w:lang w:eastAsia="bg-BG"/>
              </w:rPr>
              <w:t>méthylthio</w:t>
            </w:r>
            <w:proofErr w:type="spellEnd"/>
            <w:r w:rsidRPr="008E1FA7">
              <w:rPr>
                <w:lang w:eastAsia="bg-BG"/>
              </w:rPr>
              <w:t>)</w:t>
            </w:r>
            <w:r w:rsidRPr="008E1FA7">
              <w:rPr>
                <w:lang w:eastAsia="bg-BG"/>
              </w:rPr>
              <w:noBreakHyphen/>
            </w:r>
            <w:r w:rsidRPr="008E1FA7">
              <w:rPr>
                <w:i/>
                <w:iCs/>
                <w:lang w:eastAsia="bg-BG"/>
              </w:rPr>
              <w:t>m</w:t>
            </w:r>
            <w:r w:rsidRPr="008E1FA7">
              <w:rPr>
                <w:lang w:eastAsia="bg-BG"/>
              </w:rPr>
              <w:noBreakHyphen/>
            </w:r>
            <w:proofErr w:type="spellStart"/>
            <w:r w:rsidRPr="008E1FA7">
              <w:rPr>
                <w:lang w:eastAsia="bg-BG"/>
              </w:rPr>
              <w:t>tolyl</w:t>
            </w:r>
            <w:proofErr w:type="spellEnd"/>
            <w:r w:rsidRPr="008E1FA7">
              <w:rPr>
                <w:lang w:eastAsia="bg-BG"/>
              </w:rPr>
              <w:t>)</w:t>
            </w:r>
            <w:proofErr w:type="spellStart"/>
            <w:r w:rsidRPr="008E1FA7">
              <w:rPr>
                <w:lang w:eastAsia="bg-BG"/>
              </w:rPr>
              <w:t>phosphorothioate</w:t>
            </w:r>
            <w:proofErr w:type="spellEnd"/>
            <w:r w:rsidRPr="008E1FA7">
              <w:rPr>
                <w:iCs/>
                <w:lang w:eastAsia="bg-BG"/>
              </w:rPr>
              <w:t xml:space="preserve"> (UICPA).</w:t>
            </w:r>
          </w:p>
          <w:p w14:paraId="5265E390" w14:textId="77777777" w:rsidR="00371363" w:rsidRPr="008E1FA7" w:rsidRDefault="00371363" w:rsidP="00AA2775">
            <w:pPr>
              <w:spacing w:before="20"/>
            </w:pPr>
            <w:r w:rsidRPr="008E1FA7">
              <w:rPr>
                <w:i/>
                <w:iCs/>
                <w:lang w:eastAsia="bg-BG"/>
              </w:rPr>
              <w:t>O</w:t>
            </w:r>
            <w:r w:rsidRPr="008E1FA7">
              <w:rPr>
                <w:lang w:eastAsia="bg-BG"/>
              </w:rPr>
              <w:t>,</w:t>
            </w:r>
            <w:r w:rsidRPr="008E1FA7">
              <w:rPr>
                <w:i/>
                <w:iCs/>
                <w:lang w:eastAsia="bg-BG"/>
              </w:rPr>
              <w:t>O</w:t>
            </w:r>
            <w:r w:rsidRPr="008E1FA7">
              <w:rPr>
                <w:lang w:eastAsia="bg-BG"/>
              </w:rPr>
              <w:noBreakHyphen/>
            </w:r>
            <w:proofErr w:type="spellStart"/>
            <w:r w:rsidRPr="008E1FA7">
              <w:rPr>
                <w:lang w:eastAsia="bg-BG"/>
              </w:rPr>
              <w:t>diméthyl</w:t>
            </w:r>
            <w:proofErr w:type="spellEnd"/>
            <w:r w:rsidRPr="008E1FA7">
              <w:rPr>
                <w:lang w:eastAsia="bg-BG"/>
              </w:rPr>
              <w:t xml:space="preserve"> </w:t>
            </w:r>
            <w:r w:rsidRPr="008E1FA7">
              <w:rPr>
                <w:i/>
                <w:iCs/>
                <w:lang w:eastAsia="bg-BG"/>
              </w:rPr>
              <w:t>O</w:t>
            </w:r>
            <w:r w:rsidRPr="008E1FA7">
              <w:rPr>
                <w:lang w:eastAsia="bg-BG"/>
              </w:rPr>
              <w:noBreakHyphen/>
              <w:t>[3</w:t>
            </w:r>
            <w:r w:rsidRPr="008E1FA7">
              <w:rPr>
                <w:lang w:eastAsia="bg-BG"/>
              </w:rPr>
              <w:noBreakHyphen/>
              <w:t>méthyl</w:t>
            </w:r>
            <w:r w:rsidRPr="008E1FA7">
              <w:rPr>
                <w:lang w:eastAsia="bg-BG"/>
              </w:rPr>
              <w:noBreakHyphen/>
              <w:t>4</w:t>
            </w:r>
            <w:r w:rsidRPr="008E1FA7">
              <w:rPr>
                <w:lang w:eastAsia="bg-BG"/>
              </w:rPr>
              <w:noBreakHyphen/>
              <w:t>(</w:t>
            </w:r>
            <w:proofErr w:type="spellStart"/>
            <w:r w:rsidRPr="008E1FA7">
              <w:rPr>
                <w:lang w:eastAsia="bg-BG"/>
              </w:rPr>
              <w:t>méthylthio</w:t>
            </w:r>
            <w:proofErr w:type="spellEnd"/>
            <w:r w:rsidRPr="008E1FA7">
              <w:rPr>
                <w:lang w:eastAsia="bg-BG"/>
              </w:rPr>
              <w:t xml:space="preserve">)phényl] </w:t>
            </w:r>
            <w:proofErr w:type="spellStart"/>
            <w:r w:rsidRPr="008E1FA7">
              <w:rPr>
                <w:lang w:eastAsia="bg-BG"/>
              </w:rPr>
              <w:t>phosphorothioate</w:t>
            </w:r>
            <w:proofErr w:type="spellEnd"/>
            <w:r w:rsidRPr="008E1FA7">
              <w:rPr>
                <w:lang w:eastAsia="bg-BG"/>
              </w:rPr>
              <w:t xml:space="preserve"> (CAS).</w:t>
            </w:r>
          </w:p>
        </w:tc>
      </w:tr>
      <w:tr w:rsidR="00371363" w:rsidRPr="008E1FA7" w14:paraId="3B4E38B0"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594868CE" w14:textId="77777777" w:rsidR="00371363" w:rsidRPr="008E1FA7" w:rsidRDefault="00371363" w:rsidP="00AA2775">
            <w:pPr>
              <w:rPr>
                <w:b/>
              </w:rPr>
            </w:pPr>
            <w:r w:rsidRPr="008E1FA7">
              <w:rPr>
                <w:b/>
              </w:rPr>
              <w:t>1.2</w:t>
            </w:r>
          </w:p>
        </w:tc>
        <w:tc>
          <w:tcPr>
            <w:tcW w:w="1703" w:type="dxa"/>
            <w:gridSpan w:val="2"/>
            <w:tcBorders>
              <w:top w:val="nil"/>
              <w:left w:val="nil"/>
              <w:bottom w:val="nil"/>
              <w:right w:val="nil"/>
            </w:tcBorders>
            <w:shd w:val="clear" w:color="auto" w:fill="auto"/>
          </w:tcPr>
          <w:p w14:paraId="49E9974E" w14:textId="77777777" w:rsidR="00371363" w:rsidRPr="008E1FA7" w:rsidRDefault="00371363" w:rsidP="00AA2775">
            <w:pPr>
              <w:rPr>
                <w:b/>
              </w:rPr>
            </w:pPr>
            <w:r w:rsidRPr="008E1FA7">
              <w:rPr>
                <w:b/>
              </w:rPr>
              <w:t>Formule</w:t>
            </w:r>
          </w:p>
        </w:tc>
        <w:tc>
          <w:tcPr>
            <w:tcW w:w="6981" w:type="dxa"/>
            <w:gridSpan w:val="2"/>
            <w:tcBorders>
              <w:top w:val="nil"/>
              <w:left w:val="nil"/>
              <w:bottom w:val="nil"/>
              <w:right w:val="nil"/>
            </w:tcBorders>
            <w:shd w:val="clear" w:color="auto" w:fill="auto"/>
          </w:tcPr>
          <w:p w14:paraId="215E5777" w14:textId="77777777" w:rsidR="00371363" w:rsidRPr="008E1FA7" w:rsidRDefault="00371363" w:rsidP="00AA2775">
            <w:pPr>
              <w:spacing w:before="20"/>
              <w:rPr>
                <w:lang w:eastAsia="bg-BG"/>
              </w:rPr>
            </w:pPr>
            <w:r w:rsidRPr="008E1FA7">
              <w:rPr>
                <w:lang w:eastAsia="bg-BG"/>
              </w:rPr>
              <w:t>C</w:t>
            </w:r>
            <w:r w:rsidRPr="008E1FA7">
              <w:rPr>
                <w:sz w:val="12"/>
                <w:szCs w:val="12"/>
                <w:lang w:eastAsia="bg-BG"/>
              </w:rPr>
              <w:t>10</w:t>
            </w:r>
            <w:r w:rsidRPr="008E1FA7">
              <w:rPr>
                <w:lang w:eastAsia="bg-BG"/>
              </w:rPr>
              <w:t>H</w:t>
            </w:r>
            <w:r w:rsidRPr="008E1FA7">
              <w:rPr>
                <w:sz w:val="12"/>
                <w:szCs w:val="12"/>
                <w:lang w:eastAsia="bg-BG"/>
              </w:rPr>
              <w:t>15</w:t>
            </w:r>
            <w:r w:rsidRPr="008E1FA7">
              <w:rPr>
                <w:lang w:eastAsia="bg-BG"/>
              </w:rPr>
              <w:t>O</w:t>
            </w:r>
            <w:r w:rsidRPr="008E1FA7">
              <w:rPr>
                <w:sz w:val="12"/>
                <w:szCs w:val="12"/>
                <w:lang w:eastAsia="bg-BG"/>
              </w:rPr>
              <w:t>3</w:t>
            </w:r>
            <w:r w:rsidRPr="008E1FA7">
              <w:rPr>
                <w:lang w:eastAsia="bg-BG"/>
              </w:rPr>
              <w:t>PS</w:t>
            </w:r>
            <w:r w:rsidRPr="008E1FA7">
              <w:rPr>
                <w:sz w:val="12"/>
                <w:szCs w:val="12"/>
                <w:lang w:eastAsia="bg-BG"/>
              </w:rPr>
              <w:t>2.</w:t>
            </w:r>
          </w:p>
        </w:tc>
      </w:tr>
      <w:tr w:rsidR="00371363" w:rsidRPr="008E1FA7" w14:paraId="0488D7CA"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709" w:type="dxa"/>
            <w:tcBorders>
              <w:top w:val="nil"/>
              <w:left w:val="nil"/>
              <w:bottom w:val="nil"/>
              <w:right w:val="nil"/>
            </w:tcBorders>
            <w:shd w:val="clear" w:color="auto" w:fill="auto"/>
          </w:tcPr>
          <w:p w14:paraId="42E18437" w14:textId="77777777" w:rsidR="00371363" w:rsidRPr="008E1FA7" w:rsidRDefault="00371363" w:rsidP="00AA2775">
            <w:pPr>
              <w:rPr>
                <w:b/>
              </w:rPr>
            </w:pPr>
            <w:r w:rsidRPr="008E1FA7">
              <w:rPr>
                <w:b/>
              </w:rPr>
              <w:t>1.3</w:t>
            </w:r>
          </w:p>
        </w:tc>
        <w:tc>
          <w:tcPr>
            <w:tcW w:w="1703" w:type="dxa"/>
            <w:gridSpan w:val="2"/>
            <w:tcBorders>
              <w:top w:val="nil"/>
              <w:left w:val="nil"/>
              <w:bottom w:val="nil"/>
              <w:right w:val="nil"/>
            </w:tcBorders>
            <w:shd w:val="clear" w:color="auto" w:fill="auto"/>
          </w:tcPr>
          <w:p w14:paraId="609A085F" w14:textId="77777777" w:rsidR="00371363" w:rsidRPr="008E1FA7" w:rsidRDefault="00371363" w:rsidP="00AA2775">
            <w:pPr>
              <w:rPr>
                <w:b/>
              </w:rPr>
            </w:pPr>
            <w:r w:rsidRPr="008E1FA7">
              <w:rPr>
                <w:b/>
              </w:rPr>
              <w:t>Masse molaire</w:t>
            </w:r>
          </w:p>
        </w:tc>
        <w:tc>
          <w:tcPr>
            <w:tcW w:w="6981" w:type="dxa"/>
            <w:gridSpan w:val="2"/>
            <w:tcBorders>
              <w:top w:val="nil"/>
              <w:left w:val="nil"/>
              <w:bottom w:val="nil"/>
              <w:right w:val="nil"/>
            </w:tcBorders>
            <w:shd w:val="clear" w:color="auto" w:fill="auto"/>
          </w:tcPr>
          <w:p w14:paraId="10400EEA" w14:textId="2A1BA638" w:rsidR="00371363" w:rsidRPr="008E1FA7" w:rsidRDefault="00371363" w:rsidP="00AA2775">
            <w:pPr>
              <w:spacing w:before="20"/>
            </w:pPr>
            <w:r w:rsidRPr="008E1FA7">
              <w:rPr>
                <w:lang w:eastAsia="bg-BG"/>
              </w:rPr>
              <w:t>278,3 g/mol</w:t>
            </w:r>
          </w:p>
        </w:tc>
      </w:tr>
      <w:tr w:rsidR="00371363" w:rsidRPr="008E1FA7" w14:paraId="22D848A7"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6"/>
        </w:trPr>
        <w:tc>
          <w:tcPr>
            <w:tcW w:w="709" w:type="dxa"/>
            <w:tcBorders>
              <w:top w:val="nil"/>
              <w:left w:val="nil"/>
              <w:bottom w:val="nil"/>
              <w:right w:val="nil"/>
            </w:tcBorders>
            <w:shd w:val="clear" w:color="auto" w:fill="auto"/>
          </w:tcPr>
          <w:p w14:paraId="10CB1D61" w14:textId="77777777" w:rsidR="00371363" w:rsidRPr="008E1FA7" w:rsidRDefault="00371363" w:rsidP="00AA2775">
            <w:pPr>
              <w:rPr>
                <w:b/>
              </w:rPr>
            </w:pPr>
            <w:r w:rsidRPr="008E1FA7">
              <w:rPr>
                <w:b/>
              </w:rPr>
              <w:t>1.4</w:t>
            </w:r>
          </w:p>
        </w:tc>
        <w:tc>
          <w:tcPr>
            <w:tcW w:w="1703" w:type="dxa"/>
            <w:gridSpan w:val="2"/>
            <w:tcBorders>
              <w:top w:val="nil"/>
              <w:left w:val="nil"/>
              <w:bottom w:val="nil"/>
              <w:right w:val="nil"/>
            </w:tcBorders>
            <w:shd w:val="clear" w:color="auto" w:fill="auto"/>
          </w:tcPr>
          <w:p w14:paraId="5B32C02B" w14:textId="77777777" w:rsidR="00371363" w:rsidRPr="008E1FA7" w:rsidRDefault="00371363" w:rsidP="00AA2775">
            <w:pPr>
              <w:rPr>
                <w:b/>
              </w:rPr>
            </w:pPr>
            <w:r w:rsidRPr="008E1FA7">
              <w:rPr>
                <w:b/>
              </w:rPr>
              <w:t>Aspect</w:t>
            </w:r>
          </w:p>
        </w:tc>
        <w:tc>
          <w:tcPr>
            <w:tcW w:w="6981" w:type="dxa"/>
            <w:gridSpan w:val="2"/>
            <w:tcBorders>
              <w:top w:val="nil"/>
              <w:left w:val="nil"/>
              <w:bottom w:val="nil"/>
              <w:right w:val="nil"/>
            </w:tcBorders>
            <w:shd w:val="clear" w:color="auto" w:fill="auto"/>
          </w:tcPr>
          <w:p w14:paraId="450318B9" w14:textId="24757106" w:rsidR="00371363" w:rsidRPr="008E1FA7" w:rsidRDefault="00371363" w:rsidP="00AA2775">
            <w:pPr>
              <w:autoSpaceDE w:val="0"/>
              <w:autoSpaceDN w:val="0"/>
              <w:adjustRightInd w:val="0"/>
              <w:spacing w:before="20"/>
            </w:pPr>
            <w:r w:rsidRPr="008E1FA7">
              <w:t>À l</w:t>
            </w:r>
            <w:r w:rsidR="001503DA" w:rsidRPr="008E1FA7">
              <w:t>’</w:t>
            </w:r>
            <w:r w:rsidRPr="008E1FA7">
              <w:t>état pur, le fenthion se présente sous la forme d</w:t>
            </w:r>
            <w:r w:rsidR="001503DA" w:rsidRPr="008E1FA7">
              <w:t>’</w:t>
            </w:r>
            <w:r w:rsidRPr="008E1FA7">
              <w:t>un liquide incolore et presque inodore</w:t>
            </w:r>
            <w:r w:rsidRPr="008E1FA7">
              <w:rPr>
                <w:lang w:eastAsia="bg-BG"/>
              </w:rPr>
              <w:t xml:space="preserve">. Le fenthion technique </w:t>
            </w:r>
            <w:r w:rsidRPr="008E1FA7">
              <w:t>est un liquide huileux jaune ou brun caractérisé par une légère odeur d</w:t>
            </w:r>
            <w:r w:rsidR="001503DA" w:rsidRPr="008E1FA7">
              <w:t>’</w:t>
            </w:r>
            <w:r w:rsidRPr="008E1FA7">
              <w:t>ail</w:t>
            </w:r>
            <w:r w:rsidRPr="008E1FA7">
              <w:rPr>
                <w:lang w:eastAsia="bg-BG"/>
              </w:rPr>
              <w:t>. (</w:t>
            </w:r>
            <w:r w:rsidRPr="008E1FA7">
              <w:t xml:space="preserve">Extension </w:t>
            </w:r>
            <w:proofErr w:type="spellStart"/>
            <w:r w:rsidRPr="008E1FA7">
              <w:t>Toxicology</w:t>
            </w:r>
            <w:proofErr w:type="spellEnd"/>
            <w:r w:rsidRPr="008E1FA7">
              <w:t xml:space="preserve"> Network 1993</w:t>
            </w:r>
            <w:r w:rsidRPr="008E1FA7">
              <w:rPr>
                <w:lang w:eastAsia="bg-BG"/>
              </w:rPr>
              <w:t>).</w:t>
            </w:r>
          </w:p>
        </w:tc>
      </w:tr>
      <w:tr w:rsidR="00371363" w:rsidRPr="008E1FA7" w14:paraId="4C807BB0"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5"/>
        </w:trPr>
        <w:tc>
          <w:tcPr>
            <w:tcW w:w="709" w:type="dxa"/>
            <w:tcBorders>
              <w:top w:val="nil"/>
              <w:left w:val="nil"/>
              <w:bottom w:val="nil"/>
              <w:right w:val="nil"/>
            </w:tcBorders>
            <w:shd w:val="clear" w:color="auto" w:fill="auto"/>
          </w:tcPr>
          <w:p w14:paraId="5E67E12B" w14:textId="77777777" w:rsidR="00371363" w:rsidRPr="008E1FA7" w:rsidRDefault="00371363" w:rsidP="00AA2775">
            <w:pPr>
              <w:rPr>
                <w:b/>
              </w:rPr>
            </w:pPr>
            <w:r w:rsidRPr="008E1FA7">
              <w:rPr>
                <w:b/>
              </w:rPr>
              <w:t>1.5</w:t>
            </w:r>
          </w:p>
        </w:tc>
        <w:tc>
          <w:tcPr>
            <w:tcW w:w="1703" w:type="dxa"/>
            <w:gridSpan w:val="2"/>
            <w:tcBorders>
              <w:top w:val="nil"/>
              <w:left w:val="nil"/>
              <w:bottom w:val="nil"/>
              <w:right w:val="nil"/>
            </w:tcBorders>
            <w:shd w:val="clear" w:color="auto" w:fill="auto"/>
          </w:tcPr>
          <w:p w14:paraId="523618CB" w14:textId="77777777" w:rsidR="00371363" w:rsidRPr="008E1FA7" w:rsidRDefault="00371363" w:rsidP="00AA2775">
            <w:pPr>
              <w:rPr>
                <w:b/>
              </w:rPr>
            </w:pPr>
            <w:r w:rsidRPr="008E1FA7">
              <w:rPr>
                <w:rFonts w:eastAsia="Batang"/>
                <w:b/>
                <w:lang w:eastAsia="bg-BG"/>
              </w:rPr>
              <w:t>Densité</w:t>
            </w:r>
          </w:p>
        </w:tc>
        <w:tc>
          <w:tcPr>
            <w:tcW w:w="6981" w:type="dxa"/>
            <w:gridSpan w:val="2"/>
            <w:tcBorders>
              <w:top w:val="nil"/>
              <w:left w:val="nil"/>
              <w:bottom w:val="nil"/>
              <w:right w:val="nil"/>
            </w:tcBorders>
            <w:shd w:val="clear" w:color="auto" w:fill="auto"/>
          </w:tcPr>
          <w:p w14:paraId="00620C5A" w14:textId="7B2B54DC" w:rsidR="00371363" w:rsidRPr="008E1FA7" w:rsidRDefault="00371363" w:rsidP="00AA2775">
            <w:pPr>
              <w:autoSpaceDE w:val="0"/>
              <w:autoSpaceDN w:val="0"/>
              <w:adjustRightInd w:val="0"/>
              <w:spacing w:before="20"/>
            </w:pPr>
            <w:r w:rsidRPr="008E1FA7">
              <w:rPr>
                <w:rFonts w:eastAsia="Batang"/>
                <w:lang w:eastAsia="bg-BG"/>
              </w:rPr>
              <w:t>1.250 g/cm</w:t>
            </w:r>
            <w:r w:rsidRPr="008E1FA7">
              <w:rPr>
                <w:rFonts w:eastAsia="Batang"/>
                <w:vertAlign w:val="superscript"/>
                <w:lang w:eastAsia="bg-BG"/>
              </w:rPr>
              <w:t>3</w:t>
            </w:r>
            <w:r w:rsidRPr="008E1FA7">
              <w:rPr>
                <w:rFonts w:eastAsia="Batang"/>
                <w:lang w:eastAsia="bg-BG"/>
              </w:rPr>
              <w:t xml:space="preserve"> (à 20 °C / 4 °C)</w:t>
            </w:r>
          </w:p>
        </w:tc>
      </w:tr>
      <w:tr w:rsidR="00371363" w:rsidRPr="008E1FA7" w14:paraId="0BC5A866"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709" w:type="dxa"/>
            <w:tcBorders>
              <w:top w:val="nil"/>
              <w:left w:val="nil"/>
              <w:bottom w:val="nil"/>
              <w:right w:val="nil"/>
            </w:tcBorders>
            <w:shd w:val="clear" w:color="auto" w:fill="auto"/>
          </w:tcPr>
          <w:p w14:paraId="7815E21B" w14:textId="77777777" w:rsidR="00371363" w:rsidRPr="008E1FA7" w:rsidRDefault="00371363" w:rsidP="00AA2775">
            <w:pPr>
              <w:rPr>
                <w:b/>
              </w:rPr>
            </w:pPr>
            <w:r w:rsidRPr="008E1FA7">
              <w:rPr>
                <w:b/>
              </w:rPr>
              <w:t>1.6</w:t>
            </w:r>
          </w:p>
        </w:tc>
        <w:tc>
          <w:tcPr>
            <w:tcW w:w="1703" w:type="dxa"/>
            <w:gridSpan w:val="2"/>
            <w:tcBorders>
              <w:top w:val="nil"/>
              <w:left w:val="nil"/>
              <w:bottom w:val="nil"/>
              <w:right w:val="nil"/>
            </w:tcBorders>
            <w:shd w:val="clear" w:color="auto" w:fill="auto"/>
          </w:tcPr>
          <w:p w14:paraId="7A9025DC" w14:textId="77777777" w:rsidR="00371363" w:rsidRPr="008E1FA7" w:rsidRDefault="00371363" w:rsidP="00AA2775">
            <w:pPr>
              <w:rPr>
                <w:b/>
              </w:rPr>
            </w:pPr>
            <w:r w:rsidRPr="008E1FA7">
              <w:rPr>
                <w:rFonts w:eastAsia="Batang"/>
                <w:b/>
                <w:lang w:eastAsia="bg-BG"/>
              </w:rPr>
              <w:t>Point de fusion</w:t>
            </w:r>
          </w:p>
        </w:tc>
        <w:tc>
          <w:tcPr>
            <w:tcW w:w="6981" w:type="dxa"/>
            <w:gridSpan w:val="2"/>
            <w:tcBorders>
              <w:top w:val="nil"/>
              <w:left w:val="nil"/>
              <w:bottom w:val="nil"/>
              <w:right w:val="nil"/>
            </w:tcBorders>
            <w:shd w:val="clear" w:color="auto" w:fill="auto"/>
          </w:tcPr>
          <w:p w14:paraId="07095319" w14:textId="5177B99C" w:rsidR="00371363" w:rsidRPr="008E1FA7" w:rsidRDefault="00371363" w:rsidP="00AA2775">
            <w:pPr>
              <w:spacing w:before="20"/>
            </w:pPr>
            <w:r w:rsidRPr="008E1FA7">
              <w:rPr>
                <w:rFonts w:eastAsia="Batang"/>
                <w:lang w:eastAsia="bg-BG"/>
              </w:rPr>
              <w:t>7 °C, 280 K, 45 °F</w:t>
            </w:r>
          </w:p>
        </w:tc>
      </w:tr>
      <w:tr w:rsidR="00371363" w:rsidRPr="00C31740" w14:paraId="1A71BB55"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5"/>
        </w:trPr>
        <w:tc>
          <w:tcPr>
            <w:tcW w:w="709" w:type="dxa"/>
            <w:tcBorders>
              <w:top w:val="nil"/>
              <w:left w:val="nil"/>
              <w:bottom w:val="nil"/>
              <w:right w:val="nil"/>
            </w:tcBorders>
            <w:shd w:val="clear" w:color="auto" w:fill="auto"/>
          </w:tcPr>
          <w:p w14:paraId="38D9FB04" w14:textId="77777777" w:rsidR="00371363" w:rsidRPr="008E1FA7" w:rsidRDefault="00371363" w:rsidP="00AA2775">
            <w:pPr>
              <w:rPr>
                <w:b/>
              </w:rPr>
            </w:pPr>
            <w:r w:rsidRPr="008E1FA7">
              <w:rPr>
                <w:b/>
              </w:rPr>
              <w:t>1.7</w:t>
            </w:r>
          </w:p>
        </w:tc>
        <w:tc>
          <w:tcPr>
            <w:tcW w:w="1703" w:type="dxa"/>
            <w:gridSpan w:val="2"/>
            <w:tcBorders>
              <w:top w:val="nil"/>
              <w:left w:val="nil"/>
              <w:bottom w:val="nil"/>
              <w:right w:val="nil"/>
            </w:tcBorders>
            <w:shd w:val="clear" w:color="auto" w:fill="auto"/>
          </w:tcPr>
          <w:p w14:paraId="1D7F9781" w14:textId="1B7FDDE4" w:rsidR="00371363" w:rsidRPr="008E1FA7" w:rsidRDefault="00371363" w:rsidP="00AA2775">
            <w:pPr>
              <w:rPr>
                <w:rFonts w:eastAsia="Batang"/>
                <w:b/>
                <w:lang w:eastAsia="bg-BG"/>
              </w:rPr>
            </w:pPr>
            <w:r w:rsidRPr="008E1FA7">
              <w:rPr>
                <w:rFonts w:eastAsia="Batang"/>
                <w:b/>
                <w:lang w:eastAsia="bg-BG"/>
              </w:rPr>
              <w:t>Point d</w:t>
            </w:r>
            <w:r w:rsidR="001503DA" w:rsidRPr="008E1FA7">
              <w:rPr>
                <w:rFonts w:eastAsia="Batang"/>
                <w:b/>
                <w:lang w:eastAsia="bg-BG"/>
              </w:rPr>
              <w:t>’</w:t>
            </w:r>
            <w:r w:rsidRPr="008E1FA7">
              <w:rPr>
                <w:rFonts w:eastAsia="Batang"/>
                <w:b/>
                <w:lang w:eastAsia="bg-BG"/>
              </w:rPr>
              <w:t>ébullition</w:t>
            </w:r>
          </w:p>
          <w:p w14:paraId="42E3FB8A" w14:textId="77777777" w:rsidR="00371363" w:rsidRPr="008E1FA7" w:rsidRDefault="00371363" w:rsidP="00AA2775">
            <w:pPr>
              <w:rPr>
                <w:rFonts w:eastAsia="Batang"/>
                <w:lang w:eastAsia="bg-BG"/>
              </w:rPr>
            </w:pPr>
          </w:p>
          <w:p w14:paraId="3F35C881" w14:textId="51362648" w:rsidR="00371363" w:rsidRPr="008E1FA7" w:rsidRDefault="00371363" w:rsidP="00AA2775">
            <w:pPr>
              <w:rPr>
                <w:b/>
              </w:rPr>
            </w:pPr>
            <w:r w:rsidRPr="008E1FA7">
              <w:rPr>
                <w:rFonts w:eastAsia="Batang"/>
                <w:b/>
                <w:lang w:eastAsia="bg-BG"/>
              </w:rPr>
              <w:t>Point d</w:t>
            </w:r>
            <w:r w:rsidR="001503DA" w:rsidRPr="008E1FA7">
              <w:rPr>
                <w:rFonts w:eastAsia="Batang"/>
                <w:b/>
                <w:lang w:eastAsia="bg-BG"/>
              </w:rPr>
              <w:t>’</w:t>
            </w:r>
            <w:r w:rsidRPr="008E1FA7">
              <w:rPr>
                <w:rFonts w:eastAsia="Batang"/>
                <w:b/>
                <w:lang w:eastAsia="bg-BG"/>
              </w:rPr>
              <w:t>éclair</w:t>
            </w:r>
          </w:p>
        </w:tc>
        <w:tc>
          <w:tcPr>
            <w:tcW w:w="6981" w:type="dxa"/>
            <w:gridSpan w:val="2"/>
            <w:tcBorders>
              <w:top w:val="nil"/>
              <w:left w:val="nil"/>
              <w:bottom w:val="nil"/>
              <w:right w:val="nil"/>
            </w:tcBorders>
            <w:shd w:val="clear" w:color="auto" w:fill="auto"/>
          </w:tcPr>
          <w:p w14:paraId="0D59E1DF" w14:textId="1282887B" w:rsidR="00371363" w:rsidRPr="00C31740" w:rsidRDefault="00371363" w:rsidP="00AA2775">
            <w:pPr>
              <w:spacing w:before="20"/>
              <w:rPr>
                <w:b/>
                <w:lang w:val="en-US"/>
              </w:rPr>
            </w:pPr>
            <w:r w:rsidRPr="00C31740">
              <w:rPr>
                <w:rFonts w:eastAsia="Batang"/>
                <w:lang w:val="en-US" w:eastAsia="bg-BG"/>
              </w:rPr>
              <w:t>87 °C, 360 K, 189 °F (à 0,01 mmHg)</w:t>
            </w:r>
            <w:r w:rsidRPr="00C31740">
              <w:rPr>
                <w:rFonts w:eastAsia="Batang"/>
                <w:lang w:val="en-US" w:eastAsia="bg-BG"/>
              </w:rPr>
              <w:br/>
            </w:r>
          </w:p>
          <w:p w14:paraId="4C3AD5CB" w14:textId="77777777" w:rsidR="00371363" w:rsidRPr="00C31740" w:rsidRDefault="00371363" w:rsidP="00AA2775">
            <w:pPr>
              <w:spacing w:before="20"/>
              <w:rPr>
                <w:lang w:val="en-US"/>
              </w:rPr>
            </w:pPr>
          </w:p>
          <w:p w14:paraId="0828A5EA" w14:textId="77777777" w:rsidR="00371363" w:rsidRPr="00C31740" w:rsidRDefault="00371363" w:rsidP="00AA2775">
            <w:pPr>
              <w:spacing w:before="20"/>
              <w:rPr>
                <w:lang w:val="en-US"/>
              </w:rPr>
            </w:pPr>
            <w:r w:rsidRPr="00C31740">
              <w:rPr>
                <w:lang w:val="en-US"/>
              </w:rPr>
              <w:t xml:space="preserve">&gt; 82 °C, 180 °F </w:t>
            </w:r>
            <w:r w:rsidRPr="00C31740">
              <w:rPr>
                <w:lang w:val="en-US" w:eastAsia="bg-BG"/>
              </w:rPr>
              <w:t>(</w:t>
            </w:r>
            <w:r w:rsidRPr="00C31740">
              <w:rPr>
                <w:lang w:val="en-US"/>
              </w:rPr>
              <w:t>Extension Toxicology Network 1993</w:t>
            </w:r>
            <w:r w:rsidRPr="00C31740">
              <w:rPr>
                <w:lang w:val="en-US" w:eastAsia="bg-BG"/>
              </w:rPr>
              <w:t>)</w:t>
            </w:r>
          </w:p>
        </w:tc>
      </w:tr>
      <w:tr w:rsidR="00371363" w:rsidRPr="008E1FA7" w14:paraId="3F5E2B3F"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182C5DA2" w14:textId="77777777" w:rsidR="00371363" w:rsidRPr="008E1FA7" w:rsidRDefault="00371363" w:rsidP="00AA2775">
            <w:pPr>
              <w:rPr>
                <w:b/>
              </w:rPr>
            </w:pPr>
            <w:r w:rsidRPr="008E1FA7">
              <w:rPr>
                <w:b/>
              </w:rPr>
              <w:t>1.8</w:t>
            </w:r>
          </w:p>
        </w:tc>
        <w:tc>
          <w:tcPr>
            <w:tcW w:w="1703" w:type="dxa"/>
            <w:gridSpan w:val="2"/>
            <w:tcBorders>
              <w:top w:val="nil"/>
              <w:left w:val="nil"/>
              <w:bottom w:val="nil"/>
              <w:right w:val="nil"/>
            </w:tcBorders>
            <w:shd w:val="clear" w:color="auto" w:fill="auto"/>
          </w:tcPr>
          <w:p w14:paraId="7910DAB4" w14:textId="77777777" w:rsidR="00371363" w:rsidRPr="008E1FA7" w:rsidRDefault="00371363" w:rsidP="00AA2775">
            <w:pPr>
              <w:spacing w:before="20" w:after="20"/>
              <w:outlineLvl w:val="2"/>
              <w:rPr>
                <w:b/>
                <w:bCs/>
              </w:rPr>
            </w:pPr>
            <w:r w:rsidRPr="008E1FA7">
              <w:rPr>
                <w:rFonts w:eastAsia="Batang"/>
                <w:b/>
                <w:lang w:eastAsia="bg-BG"/>
              </w:rPr>
              <w:t>Solubilité</w:t>
            </w:r>
          </w:p>
        </w:tc>
        <w:tc>
          <w:tcPr>
            <w:tcW w:w="6981" w:type="dxa"/>
            <w:gridSpan w:val="2"/>
            <w:tcBorders>
              <w:top w:val="nil"/>
              <w:left w:val="nil"/>
              <w:bottom w:val="nil"/>
              <w:right w:val="nil"/>
            </w:tcBorders>
            <w:shd w:val="clear" w:color="auto" w:fill="auto"/>
          </w:tcPr>
          <w:p w14:paraId="16A316D7" w14:textId="1EDFF6CD" w:rsidR="00371363" w:rsidRPr="008E1FA7" w:rsidRDefault="00371363" w:rsidP="00AA2775">
            <w:pPr>
              <w:autoSpaceDE w:val="0"/>
              <w:autoSpaceDN w:val="0"/>
              <w:adjustRightInd w:val="0"/>
              <w:spacing w:before="20"/>
            </w:pPr>
            <w:r w:rsidRPr="008E1FA7">
              <w:rPr>
                <w:rFonts w:eastAsia="Batang"/>
                <w:lang w:eastAsia="bg-BG"/>
              </w:rPr>
              <w:t>Dans l</w:t>
            </w:r>
            <w:r w:rsidR="001503DA" w:rsidRPr="008E1FA7">
              <w:rPr>
                <w:rFonts w:eastAsia="Batang"/>
                <w:lang w:eastAsia="bg-BG"/>
              </w:rPr>
              <w:t>’</w:t>
            </w:r>
            <w:r w:rsidRPr="008E1FA7">
              <w:rPr>
                <w:rFonts w:eastAsia="Batang"/>
                <w:lang w:eastAsia="bg-BG"/>
              </w:rPr>
              <w:t>eau : 4,2 mg/l (à 20 °C)</w:t>
            </w:r>
          </w:p>
          <w:p w14:paraId="09AFFBDE" w14:textId="4F040419" w:rsidR="00371363" w:rsidRPr="008E1FA7" w:rsidRDefault="00371363" w:rsidP="00AA2775">
            <w:pPr>
              <w:autoSpaceDE w:val="0"/>
              <w:autoSpaceDN w:val="0"/>
              <w:adjustRightInd w:val="0"/>
              <w:spacing w:before="20"/>
            </w:pPr>
            <w:r w:rsidRPr="008E1FA7">
              <w:rPr>
                <w:rFonts w:eastAsia="Batang"/>
                <w:lang w:eastAsia="bg-BG"/>
              </w:rPr>
              <w:t xml:space="preserve">Dans les huiles </w:t>
            </w:r>
            <w:proofErr w:type="spellStart"/>
            <w:r w:rsidRPr="008E1FA7">
              <w:rPr>
                <w:rFonts w:eastAsia="Batang"/>
                <w:lang w:eastAsia="bg-BG"/>
              </w:rPr>
              <w:t>glycéridiques</w:t>
            </w:r>
            <w:proofErr w:type="spellEnd"/>
            <w:r w:rsidRPr="008E1FA7">
              <w:rPr>
                <w:rFonts w:eastAsia="Batang"/>
                <w:lang w:eastAsia="bg-BG"/>
              </w:rPr>
              <w:t>, le méthanol, l</w:t>
            </w:r>
            <w:r w:rsidR="001503DA" w:rsidRPr="008E1FA7">
              <w:rPr>
                <w:rFonts w:eastAsia="Batang"/>
                <w:lang w:eastAsia="bg-BG"/>
              </w:rPr>
              <w:t>’</w:t>
            </w:r>
            <w:r w:rsidRPr="008E1FA7">
              <w:rPr>
                <w:rFonts w:eastAsia="Batang"/>
                <w:lang w:eastAsia="bg-BG"/>
              </w:rPr>
              <w:t>éthanol, l</w:t>
            </w:r>
            <w:r w:rsidR="001503DA" w:rsidRPr="008E1FA7">
              <w:rPr>
                <w:rFonts w:eastAsia="Batang"/>
                <w:lang w:eastAsia="bg-BG"/>
              </w:rPr>
              <w:t>’</w:t>
            </w:r>
            <w:r w:rsidRPr="008E1FA7">
              <w:rPr>
                <w:rFonts w:eastAsia="Batang"/>
                <w:lang w:eastAsia="bg-BG"/>
              </w:rPr>
              <w:t>éther, l</w:t>
            </w:r>
            <w:r w:rsidR="001503DA" w:rsidRPr="008E1FA7">
              <w:rPr>
                <w:rFonts w:eastAsia="Batang"/>
                <w:lang w:eastAsia="bg-BG"/>
              </w:rPr>
              <w:t>’</w:t>
            </w:r>
            <w:r w:rsidRPr="008E1FA7">
              <w:rPr>
                <w:rFonts w:eastAsia="Batang"/>
                <w:lang w:eastAsia="bg-BG"/>
              </w:rPr>
              <w:t xml:space="preserve">acétone et la plupart des solvants organiques, en particulier les </w:t>
            </w:r>
            <w:proofErr w:type="spellStart"/>
            <w:r w:rsidRPr="008E1FA7">
              <w:rPr>
                <w:rFonts w:eastAsia="Batang"/>
                <w:lang w:eastAsia="bg-BG"/>
              </w:rPr>
              <w:t>chlorohydrocarbures</w:t>
            </w:r>
            <w:proofErr w:type="spellEnd"/>
            <w:r w:rsidRPr="008E1FA7">
              <w:rPr>
                <w:rFonts w:eastAsia="Batang"/>
                <w:lang w:eastAsia="bg-BG"/>
              </w:rPr>
              <w:t xml:space="preserve"> : soluble </w:t>
            </w:r>
            <w:r w:rsidRPr="008E1FA7">
              <w:t>(</w:t>
            </w:r>
            <w:r w:rsidRPr="008E1FA7">
              <w:rPr>
                <w:lang w:eastAsia="bg-BG"/>
              </w:rPr>
              <w:t>FAO 2004</w:t>
            </w:r>
            <w:r w:rsidRPr="008E1FA7">
              <w:t>)</w:t>
            </w:r>
          </w:p>
        </w:tc>
      </w:tr>
      <w:tr w:rsidR="00371363" w:rsidRPr="008E1FA7" w14:paraId="1E7E651F"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709" w:type="dxa"/>
            <w:tcBorders>
              <w:top w:val="nil"/>
              <w:left w:val="nil"/>
              <w:bottom w:val="nil"/>
              <w:right w:val="nil"/>
            </w:tcBorders>
            <w:shd w:val="clear" w:color="auto" w:fill="auto"/>
          </w:tcPr>
          <w:p w14:paraId="1AADE130" w14:textId="77777777" w:rsidR="00371363" w:rsidRPr="008E1FA7" w:rsidRDefault="00371363" w:rsidP="00AA2775">
            <w:pPr>
              <w:rPr>
                <w:b/>
              </w:rPr>
            </w:pPr>
            <w:r w:rsidRPr="008E1FA7">
              <w:rPr>
                <w:b/>
              </w:rPr>
              <w:t>1.9</w:t>
            </w:r>
          </w:p>
        </w:tc>
        <w:tc>
          <w:tcPr>
            <w:tcW w:w="1703" w:type="dxa"/>
            <w:gridSpan w:val="2"/>
            <w:tcBorders>
              <w:top w:val="nil"/>
              <w:left w:val="nil"/>
              <w:bottom w:val="nil"/>
              <w:right w:val="nil"/>
            </w:tcBorders>
            <w:shd w:val="clear" w:color="auto" w:fill="auto"/>
          </w:tcPr>
          <w:p w14:paraId="1BA4A4FD" w14:textId="77777777" w:rsidR="00371363" w:rsidRPr="008E1FA7" w:rsidRDefault="00371363" w:rsidP="00AA2775">
            <w:pPr>
              <w:spacing w:before="20" w:after="20"/>
              <w:outlineLvl w:val="2"/>
              <w:rPr>
                <w:rFonts w:eastAsia="Batang"/>
                <w:b/>
                <w:lang w:eastAsia="bg-BG"/>
              </w:rPr>
            </w:pPr>
            <w:r w:rsidRPr="008E1FA7">
              <w:rPr>
                <w:b/>
              </w:rPr>
              <w:t>Pression de vapeur</w:t>
            </w:r>
          </w:p>
        </w:tc>
        <w:tc>
          <w:tcPr>
            <w:tcW w:w="6981" w:type="dxa"/>
            <w:gridSpan w:val="2"/>
            <w:tcBorders>
              <w:top w:val="nil"/>
              <w:left w:val="nil"/>
              <w:bottom w:val="nil"/>
              <w:right w:val="nil"/>
            </w:tcBorders>
            <w:shd w:val="clear" w:color="auto" w:fill="auto"/>
          </w:tcPr>
          <w:p w14:paraId="165A3A61" w14:textId="66D2BDA3" w:rsidR="00371363" w:rsidRPr="008E1FA7" w:rsidRDefault="00371363" w:rsidP="00AA2775">
            <w:pPr>
              <w:autoSpaceDE w:val="0"/>
              <w:autoSpaceDN w:val="0"/>
              <w:adjustRightInd w:val="0"/>
              <w:spacing w:before="20"/>
              <w:rPr>
                <w:rFonts w:eastAsia="Batang"/>
                <w:lang w:eastAsia="bg-BG"/>
              </w:rPr>
            </w:pPr>
            <w:r w:rsidRPr="008E1FA7">
              <w:t>7,4 x 10</w:t>
            </w:r>
            <w:r w:rsidRPr="008E1FA7">
              <w:rPr>
                <w:vertAlign w:val="superscript"/>
              </w:rPr>
              <w:t>-4</w:t>
            </w:r>
            <w:r w:rsidRPr="008E1FA7">
              <w:t> Pa à 20 °C, extrapolé, pureté 99,7 % p./p. (</w:t>
            </w:r>
            <w:r w:rsidRPr="008E1FA7">
              <w:rPr>
                <w:lang w:eastAsia="bg-BG"/>
              </w:rPr>
              <w:t>FAO 2004</w:t>
            </w:r>
            <w:r w:rsidRPr="008E1FA7">
              <w:t>)</w:t>
            </w:r>
          </w:p>
        </w:tc>
      </w:tr>
      <w:tr w:rsidR="00371363" w:rsidRPr="008E1FA7" w14:paraId="20E422DE" w14:textId="77777777" w:rsidTr="009C493C">
        <w:tblPrEx>
          <w:tblBorders>
            <w:top w:val="single" w:sz="6" w:space="0" w:color="C0C0C0"/>
            <w:left w:val="single" w:sz="6" w:space="0" w:color="C0C0C0"/>
            <w:bottom w:val="single" w:sz="6" w:space="0" w:color="C0C0C0"/>
            <w:right w:val="single" w:sz="6" w:space="0" w:color="C0C0C0"/>
          </w:tblBorders>
        </w:tblPrEx>
        <w:trPr>
          <w:trHeight w:val="53"/>
        </w:trPr>
        <w:tc>
          <w:tcPr>
            <w:tcW w:w="9393" w:type="dxa"/>
            <w:gridSpan w:val="5"/>
            <w:tcBorders>
              <w:top w:val="nil"/>
              <w:left w:val="nil"/>
              <w:bottom w:val="nil"/>
              <w:right w:val="nil"/>
            </w:tcBorders>
            <w:shd w:val="clear" w:color="auto" w:fill="auto"/>
          </w:tcPr>
          <w:p w14:paraId="71FA0D7B" w14:textId="77777777" w:rsidR="00371363" w:rsidRPr="008E1FA7" w:rsidRDefault="00371363" w:rsidP="00AA2775"/>
        </w:tc>
      </w:tr>
      <w:tr w:rsidR="00371363" w:rsidRPr="008E1FA7" w14:paraId="60EB5D99" w14:textId="77777777" w:rsidTr="009C493C">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shd w:val="clear" w:color="auto" w:fill="auto"/>
          </w:tcPr>
          <w:p w14:paraId="6B1A69CD" w14:textId="77777777" w:rsidR="00371363" w:rsidRPr="008E1FA7" w:rsidRDefault="00371363" w:rsidP="00AA2775">
            <w:pPr>
              <w:keepNext/>
              <w:spacing w:before="40" w:after="60"/>
              <w:outlineLvl w:val="0"/>
              <w:rPr>
                <w:b/>
                <w:bCs/>
                <w:kern w:val="28"/>
                <w:szCs w:val="24"/>
              </w:rPr>
            </w:pPr>
            <w:r w:rsidRPr="008E1FA7">
              <w:rPr>
                <w:b/>
                <w:bCs/>
                <w:kern w:val="28"/>
                <w:szCs w:val="24"/>
              </w:rPr>
              <w:t>2</w:t>
            </w:r>
          </w:p>
        </w:tc>
        <w:tc>
          <w:tcPr>
            <w:tcW w:w="8684" w:type="dxa"/>
            <w:gridSpan w:val="4"/>
            <w:tcBorders>
              <w:top w:val="nil"/>
              <w:left w:val="nil"/>
              <w:bottom w:val="single" w:sz="4" w:space="0" w:color="auto"/>
              <w:right w:val="nil"/>
            </w:tcBorders>
            <w:shd w:val="clear" w:color="auto" w:fill="auto"/>
          </w:tcPr>
          <w:p w14:paraId="6F59BE6D" w14:textId="77777777" w:rsidR="00371363" w:rsidRPr="008E1FA7" w:rsidRDefault="00371363" w:rsidP="00AA2775">
            <w:pPr>
              <w:keepNext/>
              <w:spacing w:before="40" w:after="60"/>
              <w:outlineLvl w:val="0"/>
              <w:rPr>
                <w:b/>
                <w:bCs/>
                <w:kern w:val="28"/>
                <w:szCs w:val="24"/>
              </w:rPr>
            </w:pPr>
            <w:r w:rsidRPr="008E1FA7">
              <w:rPr>
                <w:b/>
                <w:bCs/>
                <w:kern w:val="28"/>
                <w:szCs w:val="24"/>
              </w:rPr>
              <w:t>Propriétés toxicologiques</w:t>
            </w:r>
          </w:p>
        </w:tc>
      </w:tr>
      <w:tr w:rsidR="00371363" w:rsidRPr="008E1FA7" w14:paraId="2CEA3D1F"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
        </w:trPr>
        <w:tc>
          <w:tcPr>
            <w:tcW w:w="709" w:type="dxa"/>
            <w:tcBorders>
              <w:top w:val="nil"/>
              <w:left w:val="nil"/>
              <w:bottom w:val="nil"/>
              <w:right w:val="nil"/>
            </w:tcBorders>
            <w:shd w:val="clear" w:color="auto" w:fill="auto"/>
          </w:tcPr>
          <w:p w14:paraId="4072961E" w14:textId="77777777" w:rsidR="00371363" w:rsidRPr="008E1FA7" w:rsidRDefault="00371363" w:rsidP="00AA2775">
            <w:pPr>
              <w:spacing w:after="60"/>
              <w:rPr>
                <w:b/>
                <w:bCs/>
                <w:color w:val="000000"/>
              </w:rPr>
            </w:pPr>
            <w:r w:rsidRPr="008E1FA7">
              <w:rPr>
                <w:b/>
                <w:bCs/>
                <w:color w:val="000000"/>
              </w:rPr>
              <w:t>2.1</w:t>
            </w:r>
          </w:p>
        </w:tc>
        <w:tc>
          <w:tcPr>
            <w:tcW w:w="1703" w:type="dxa"/>
            <w:gridSpan w:val="2"/>
            <w:tcBorders>
              <w:top w:val="nil"/>
              <w:left w:val="nil"/>
              <w:bottom w:val="nil"/>
              <w:right w:val="nil"/>
            </w:tcBorders>
            <w:shd w:val="clear" w:color="auto" w:fill="auto"/>
          </w:tcPr>
          <w:p w14:paraId="06F5C715" w14:textId="77777777" w:rsidR="00371363" w:rsidRPr="008E1FA7" w:rsidRDefault="00371363" w:rsidP="00AA2775">
            <w:pPr>
              <w:spacing w:before="20" w:after="20"/>
              <w:outlineLvl w:val="2"/>
              <w:rPr>
                <w:b/>
                <w:bCs/>
              </w:rPr>
            </w:pPr>
            <w:r w:rsidRPr="008E1FA7">
              <w:rPr>
                <w:b/>
                <w:bCs/>
              </w:rPr>
              <w:t xml:space="preserve">Généralités </w:t>
            </w:r>
          </w:p>
        </w:tc>
        <w:tc>
          <w:tcPr>
            <w:tcW w:w="6981" w:type="dxa"/>
            <w:gridSpan w:val="2"/>
            <w:tcBorders>
              <w:top w:val="nil"/>
              <w:left w:val="nil"/>
              <w:bottom w:val="nil"/>
              <w:right w:val="nil"/>
            </w:tcBorders>
            <w:shd w:val="clear" w:color="auto" w:fill="auto"/>
          </w:tcPr>
          <w:p w14:paraId="1DE31D5D" w14:textId="77777777" w:rsidR="00371363" w:rsidRPr="008E1FA7" w:rsidRDefault="00371363" w:rsidP="00AA2775">
            <w:pPr>
              <w:spacing w:after="40"/>
            </w:pPr>
          </w:p>
        </w:tc>
      </w:tr>
      <w:tr w:rsidR="00371363" w:rsidRPr="008E1FA7" w14:paraId="3D3ED5E1"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93" w:type="dxa"/>
            <w:gridSpan w:val="5"/>
            <w:tcBorders>
              <w:top w:val="nil"/>
              <w:left w:val="nil"/>
              <w:bottom w:val="nil"/>
              <w:right w:val="nil"/>
            </w:tcBorders>
            <w:shd w:val="clear" w:color="auto" w:fill="auto"/>
          </w:tcPr>
          <w:p w14:paraId="31379AEA" w14:textId="77777777" w:rsidR="00371363" w:rsidRPr="008E1FA7" w:rsidRDefault="00371363" w:rsidP="00AA2775"/>
        </w:tc>
      </w:tr>
      <w:tr w:rsidR="00371363" w:rsidRPr="008E1FA7" w14:paraId="62B3AD8A"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
        </w:trPr>
        <w:tc>
          <w:tcPr>
            <w:tcW w:w="709" w:type="dxa"/>
            <w:tcBorders>
              <w:top w:val="nil"/>
              <w:left w:val="nil"/>
              <w:bottom w:val="nil"/>
              <w:right w:val="nil"/>
            </w:tcBorders>
            <w:shd w:val="clear" w:color="auto" w:fill="auto"/>
          </w:tcPr>
          <w:p w14:paraId="2E9FEE88" w14:textId="77777777" w:rsidR="00371363" w:rsidRPr="008E1FA7" w:rsidRDefault="00371363" w:rsidP="00AA2775">
            <w:pPr>
              <w:rPr>
                <w:b/>
              </w:rPr>
            </w:pPr>
            <w:r w:rsidRPr="008E1FA7">
              <w:rPr>
                <w:b/>
              </w:rPr>
              <w:t>2.1.1</w:t>
            </w:r>
          </w:p>
        </w:tc>
        <w:tc>
          <w:tcPr>
            <w:tcW w:w="1703" w:type="dxa"/>
            <w:gridSpan w:val="2"/>
            <w:tcBorders>
              <w:top w:val="nil"/>
              <w:left w:val="nil"/>
              <w:bottom w:val="nil"/>
              <w:right w:val="nil"/>
            </w:tcBorders>
            <w:shd w:val="clear" w:color="auto" w:fill="auto"/>
          </w:tcPr>
          <w:p w14:paraId="488EB06C" w14:textId="6B04C77E" w:rsidR="00371363" w:rsidRPr="008E1FA7" w:rsidRDefault="00371363" w:rsidP="00AA2775">
            <w:pPr>
              <w:rPr>
                <w:b/>
                <w:bCs/>
              </w:rPr>
            </w:pPr>
            <w:r w:rsidRPr="008E1FA7">
              <w:rPr>
                <w:b/>
                <w:bCs/>
              </w:rPr>
              <w:t>Mode d</w:t>
            </w:r>
            <w:r w:rsidR="001503DA" w:rsidRPr="008E1FA7">
              <w:rPr>
                <w:b/>
                <w:bCs/>
              </w:rPr>
              <w:t>’</w:t>
            </w:r>
            <w:r w:rsidRPr="008E1FA7">
              <w:rPr>
                <w:b/>
                <w:bCs/>
              </w:rPr>
              <w:t>action</w:t>
            </w:r>
          </w:p>
        </w:tc>
        <w:tc>
          <w:tcPr>
            <w:tcW w:w="6981" w:type="dxa"/>
            <w:gridSpan w:val="2"/>
            <w:tcBorders>
              <w:top w:val="nil"/>
              <w:left w:val="nil"/>
              <w:bottom w:val="nil"/>
              <w:right w:val="nil"/>
            </w:tcBorders>
            <w:shd w:val="clear" w:color="auto" w:fill="auto"/>
          </w:tcPr>
          <w:p w14:paraId="2512F0FC" w14:textId="4FB58F00" w:rsidR="00371363" w:rsidRPr="008E1FA7" w:rsidRDefault="00371363" w:rsidP="00AA2775">
            <w:pPr>
              <w:spacing w:before="20" w:after="40"/>
            </w:pPr>
            <w:r w:rsidRPr="008E1FA7">
              <w:t>Effet anticholinestérasique après transformation dans l</w:t>
            </w:r>
            <w:r w:rsidR="001503DA" w:rsidRPr="008E1FA7">
              <w:t>’</w:t>
            </w:r>
            <w:r w:rsidRPr="008E1FA7">
              <w:t>organisme en l</w:t>
            </w:r>
            <w:r w:rsidR="001503DA" w:rsidRPr="008E1FA7">
              <w:t>’</w:t>
            </w:r>
            <w:r w:rsidRPr="008E1FA7">
              <w:t>analogue oxygéné plus toxique (Data Sheets on Pesticides No. 23, PISSC).</w:t>
            </w:r>
          </w:p>
        </w:tc>
      </w:tr>
      <w:tr w:rsidR="00371363" w:rsidRPr="008E1FA7" w14:paraId="2C9A1B13"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93" w:type="dxa"/>
            <w:gridSpan w:val="5"/>
            <w:tcBorders>
              <w:top w:val="nil"/>
              <w:left w:val="nil"/>
              <w:bottom w:val="nil"/>
              <w:right w:val="nil"/>
            </w:tcBorders>
            <w:shd w:val="clear" w:color="auto" w:fill="auto"/>
          </w:tcPr>
          <w:p w14:paraId="2215779A" w14:textId="77777777" w:rsidR="00371363" w:rsidRPr="008E1FA7" w:rsidRDefault="00371363" w:rsidP="00AA2775"/>
        </w:tc>
      </w:tr>
      <w:tr w:rsidR="00371363" w:rsidRPr="008E1FA7" w14:paraId="27E0BDD5"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2F0D705C" w14:textId="77777777" w:rsidR="00371363" w:rsidRPr="008E1FA7" w:rsidRDefault="00371363" w:rsidP="00AA2775">
            <w:pPr>
              <w:rPr>
                <w:b/>
              </w:rPr>
            </w:pPr>
            <w:r w:rsidRPr="008E1FA7">
              <w:rPr>
                <w:b/>
              </w:rPr>
              <w:t>2.1.2</w:t>
            </w:r>
          </w:p>
        </w:tc>
        <w:tc>
          <w:tcPr>
            <w:tcW w:w="1703" w:type="dxa"/>
            <w:gridSpan w:val="2"/>
            <w:tcBorders>
              <w:top w:val="nil"/>
              <w:left w:val="nil"/>
              <w:bottom w:val="nil"/>
              <w:right w:val="nil"/>
            </w:tcBorders>
            <w:shd w:val="clear" w:color="auto" w:fill="auto"/>
          </w:tcPr>
          <w:p w14:paraId="319C45B3" w14:textId="27EC08C1" w:rsidR="00371363" w:rsidRPr="008E1FA7" w:rsidRDefault="00371363" w:rsidP="00AA2775">
            <w:pPr>
              <w:rPr>
                <w:b/>
                <w:bCs/>
              </w:rPr>
            </w:pPr>
            <w:r w:rsidRPr="008E1FA7">
              <w:rPr>
                <w:b/>
                <w:bCs/>
              </w:rPr>
              <w:t>Symptômes d</w:t>
            </w:r>
            <w:r w:rsidR="001503DA" w:rsidRPr="008E1FA7">
              <w:rPr>
                <w:b/>
                <w:bCs/>
              </w:rPr>
              <w:t>’</w:t>
            </w:r>
            <w:r w:rsidRPr="008E1FA7">
              <w:rPr>
                <w:b/>
                <w:bCs/>
              </w:rPr>
              <w:t>intoxication</w:t>
            </w:r>
          </w:p>
        </w:tc>
        <w:tc>
          <w:tcPr>
            <w:tcW w:w="6981" w:type="dxa"/>
            <w:gridSpan w:val="2"/>
            <w:tcBorders>
              <w:top w:val="nil"/>
              <w:left w:val="nil"/>
              <w:bottom w:val="nil"/>
              <w:right w:val="nil"/>
            </w:tcBorders>
            <w:shd w:val="clear" w:color="auto" w:fill="auto"/>
          </w:tcPr>
          <w:p w14:paraId="532ABA6B" w14:textId="6F378DAB" w:rsidR="00371363" w:rsidRPr="008E1FA7" w:rsidRDefault="00371363" w:rsidP="00AA2775">
            <w:pPr>
              <w:autoSpaceDE w:val="0"/>
              <w:autoSpaceDN w:val="0"/>
              <w:adjustRightInd w:val="0"/>
              <w:spacing w:after="120"/>
            </w:pPr>
            <w:r w:rsidRPr="008E1FA7">
              <w:t>Le fenthion est modérément toxique par ingestion, inhalation ou absorption à travers la peau. Il touche le système nerveux central, le système cardiovasculaire et le</w:t>
            </w:r>
            <w:r w:rsidR="00F40C92" w:rsidRPr="008E1FA7">
              <w:t> </w:t>
            </w:r>
            <w:r w:rsidRPr="008E1FA7">
              <w:t>système respiratoire et peut provoquer une irritation des yeux et des muqueuses. À l</w:t>
            </w:r>
            <w:r w:rsidR="001503DA" w:rsidRPr="008E1FA7">
              <w:t>’</w:t>
            </w:r>
            <w:r w:rsidRPr="008E1FA7">
              <w:t>instar de tous les composés organophosphorés, le fenthion est aisément absorbé par contact avec la peau. Les symptômes d</w:t>
            </w:r>
            <w:r w:rsidR="001503DA" w:rsidRPr="008E1FA7">
              <w:t>’</w:t>
            </w:r>
            <w:r w:rsidRPr="008E1FA7">
              <w:t>intoxication peuvent être retardés chez l</w:t>
            </w:r>
            <w:r w:rsidR="001503DA" w:rsidRPr="008E1FA7">
              <w:t>’</w:t>
            </w:r>
            <w:r w:rsidRPr="008E1FA7">
              <w:t>animal, mais sont généralement immédiats chez l</w:t>
            </w:r>
            <w:r w:rsidR="001503DA" w:rsidRPr="008E1FA7">
              <w:t>’</w:t>
            </w:r>
            <w:r w:rsidRPr="008E1FA7">
              <w:t>être humain. Le décès survient par insuffisance respiratoire. Plusieurs cas d</w:t>
            </w:r>
            <w:r w:rsidR="001503DA" w:rsidRPr="008E1FA7">
              <w:t>’</w:t>
            </w:r>
            <w:r w:rsidRPr="008E1FA7">
              <w:t>intoxication intentionnelle ou accidentelle par ingestion et/ou par exposition cutanée ont été recensés chez l</w:t>
            </w:r>
            <w:r w:rsidR="001503DA" w:rsidRPr="008E1FA7">
              <w:t>’</w:t>
            </w:r>
            <w:r w:rsidRPr="008E1FA7">
              <w:t>homme.</w:t>
            </w:r>
          </w:p>
          <w:p w14:paraId="293E8545" w14:textId="4B56F3FD" w:rsidR="00371363" w:rsidRPr="008E1FA7" w:rsidRDefault="00371363" w:rsidP="00AA2775">
            <w:pPr>
              <w:spacing w:after="120"/>
            </w:pPr>
            <w:r w:rsidRPr="008E1FA7">
              <w:t>Les pesticides organophosphorés sont des anticholinestérasiques hautement toxiques par toutes les voies d</w:t>
            </w:r>
            <w:r w:rsidR="001503DA" w:rsidRPr="008E1FA7">
              <w:t>’</w:t>
            </w:r>
            <w:r w:rsidRPr="008E1FA7">
              <w:t>exposition. En cas d</w:t>
            </w:r>
            <w:r w:rsidR="001503DA" w:rsidRPr="008E1FA7">
              <w:t>’</w:t>
            </w:r>
            <w:r w:rsidRPr="008E1FA7">
              <w:t>inhalation, les premiers effets apparaissent en général au niveau du système respiratoire et peuvent comprendre les</w:t>
            </w:r>
            <w:r w:rsidR="00F40C92" w:rsidRPr="008E1FA7">
              <w:t> </w:t>
            </w:r>
            <w:r w:rsidRPr="008E1FA7">
              <w:t>suivants : saignements ou écoulements nasaux, toux, oppression thoracique, respiration laborieuse ou essoufflement et sifflement dû à une bronchoconstriction ou à une hypersécrétion bronchique. Le contact cutané avec des composés organophosphorés peut provoquer localement une sudation et des contractions musculaires involontaires. Le contact oculaire peut entraîner des douleurs, des</w:t>
            </w:r>
            <w:r w:rsidR="00F40C92" w:rsidRPr="008E1FA7">
              <w:t> </w:t>
            </w:r>
            <w:r w:rsidRPr="008E1FA7">
              <w:t>saignements, un larmoiement, une contraction des pupilles ou des troubles de la</w:t>
            </w:r>
            <w:r w:rsidR="00F40C92" w:rsidRPr="008E1FA7">
              <w:t> </w:t>
            </w:r>
            <w:r w:rsidRPr="008E1FA7">
              <w:t>vue. Quelle que soit la voie d</w:t>
            </w:r>
            <w:r w:rsidR="001503DA" w:rsidRPr="008E1FA7">
              <w:t>’</w:t>
            </w:r>
            <w:r w:rsidRPr="008E1FA7">
              <w:t>exposition, des effets systémiques peuvent se</w:t>
            </w:r>
            <w:r w:rsidR="00F40C92" w:rsidRPr="008E1FA7">
              <w:t> </w:t>
            </w:r>
            <w:r w:rsidRPr="008E1FA7">
              <w:t>manifester dans un délai allant de quelques minutes à 12 heures, dont les suivants : pâleur, nausées, vomissements, diarrhées, crampes abdominales, maux de tête, vertiges, douleurs oculaires, troubles de la vue, contraction ou dilation des</w:t>
            </w:r>
            <w:r w:rsidR="00F40C92" w:rsidRPr="008E1FA7">
              <w:t> </w:t>
            </w:r>
            <w:r w:rsidRPr="008E1FA7">
              <w:t>pupilles, larmoiement, salivation, sudation et confusion. Une intoxication grave produit les symptômes suivants, liés à une perturbation du système nerveux central : perte de coordination, troubles de l</w:t>
            </w:r>
            <w:r w:rsidR="001503DA" w:rsidRPr="008E1FA7">
              <w:t>’</w:t>
            </w:r>
            <w:r w:rsidRPr="008E1FA7">
              <w:t xml:space="preserve">élocution, perte des réflexes, débilité, fatigue, contractions musculaires involontaires, contractions, tremblements de la langue et des paupières et, pour finir, paralysie des extrémités et des muscles respiratoires. Dans les cas extrêmes, une défécation ou une </w:t>
            </w:r>
            <w:proofErr w:type="spellStart"/>
            <w:r w:rsidRPr="008E1FA7">
              <w:t>mixion</w:t>
            </w:r>
            <w:proofErr w:type="spellEnd"/>
            <w:r w:rsidRPr="008E1FA7">
              <w:t xml:space="preserve"> involontaires, une psychose, un rythme cardiaque irrégulier, une perte de connaissance, des convulsions ou un</w:t>
            </w:r>
            <w:r w:rsidR="00F40C92" w:rsidRPr="008E1FA7">
              <w:t> </w:t>
            </w:r>
            <w:r w:rsidRPr="008E1FA7">
              <w:t>coma peuvent aussi survenir. Le décès peut survenir par insuffisance respiratoire ou arrêt cardiaque (</w:t>
            </w:r>
            <w:r w:rsidRPr="008E1FA7">
              <w:rPr>
                <w:bCs/>
                <w:lang w:eastAsia="en-GB"/>
              </w:rPr>
              <w:t>UNEP/FAO/RC/CRC.9/4/Add.2</w:t>
            </w:r>
            <w:r w:rsidRPr="008E1FA7">
              <w:t xml:space="preserve">, source : </w:t>
            </w:r>
            <w:r w:rsidRPr="008E1FA7">
              <w:rPr>
                <w:lang w:eastAsia="bg-BG"/>
              </w:rPr>
              <w:t xml:space="preserve">Extension </w:t>
            </w:r>
            <w:proofErr w:type="spellStart"/>
            <w:r w:rsidRPr="008E1FA7">
              <w:rPr>
                <w:lang w:eastAsia="bg-BG"/>
              </w:rPr>
              <w:t>Toxicology</w:t>
            </w:r>
            <w:proofErr w:type="spellEnd"/>
            <w:r w:rsidRPr="008E1FA7">
              <w:rPr>
                <w:lang w:eastAsia="bg-BG"/>
              </w:rPr>
              <w:t xml:space="preserve"> Network 1993</w:t>
            </w:r>
            <w:r w:rsidRPr="008E1FA7">
              <w:t>).</w:t>
            </w:r>
          </w:p>
          <w:p w14:paraId="5E8B7F35" w14:textId="45850E7B" w:rsidR="00371363" w:rsidRPr="008E1FA7" w:rsidRDefault="00371363" w:rsidP="00AA2775">
            <w:pPr>
              <w:autoSpaceDE w:val="0"/>
              <w:autoSpaceDN w:val="0"/>
              <w:adjustRightInd w:val="0"/>
              <w:spacing w:after="120"/>
            </w:pPr>
            <w:r w:rsidRPr="008E1FA7">
              <w:t>L</w:t>
            </w:r>
            <w:r w:rsidR="001503DA" w:rsidRPr="008E1FA7">
              <w:t>’</w:t>
            </w:r>
            <w:r w:rsidRPr="008E1FA7">
              <w:t>intoxication survient quand l</w:t>
            </w:r>
            <w:r w:rsidR="001503DA" w:rsidRPr="008E1FA7">
              <w:t>’</w:t>
            </w:r>
            <w:r w:rsidRPr="008E1FA7">
              <w:t>effet anticholinestérasique conduit à l</w:t>
            </w:r>
            <w:r w:rsidR="001503DA" w:rsidRPr="008E1FA7">
              <w:t>’</w:t>
            </w:r>
            <w:r w:rsidRPr="008E1FA7">
              <w:t>accumulation d</w:t>
            </w:r>
            <w:r w:rsidR="001503DA" w:rsidRPr="008E1FA7">
              <w:t>’</w:t>
            </w:r>
            <w:r w:rsidRPr="008E1FA7">
              <w:t>acétylcholine dans les synapses nerveuses et induit des effets sur les systèmes muscarinique, nicotinique et nerveux central. Les symptômes d</w:t>
            </w:r>
            <w:r w:rsidR="001503DA" w:rsidRPr="008E1FA7">
              <w:t>’</w:t>
            </w:r>
            <w:r w:rsidRPr="008E1FA7">
              <w:t>intoxication sont aigus, mais proviennent ensuite aussi de l</w:t>
            </w:r>
            <w:r w:rsidR="001503DA" w:rsidRPr="008E1FA7">
              <w:t>’</w:t>
            </w:r>
            <w:r w:rsidRPr="008E1FA7">
              <w:t>accumulation d</w:t>
            </w:r>
            <w:r w:rsidR="001503DA" w:rsidRPr="008E1FA7">
              <w:t>’</w:t>
            </w:r>
            <w:r w:rsidRPr="008E1FA7">
              <w:t>acétylcholine. L</w:t>
            </w:r>
            <w:r w:rsidR="001503DA" w:rsidRPr="008E1FA7">
              <w:t>’</w:t>
            </w:r>
            <w:r w:rsidRPr="008E1FA7">
              <w:t>intoxication se manifeste par une myosis, une hypersécrétion, des nausées, des</w:t>
            </w:r>
            <w:r w:rsidR="00F40C92" w:rsidRPr="008E1FA7">
              <w:t> </w:t>
            </w:r>
            <w:r w:rsidRPr="008E1FA7">
              <w:t>vomissements, des diarrhées, des douleurs abdominales, une constriction bronchique, une dépression respiratoire et contractions musculaires. Le traitement consiste à améliorer l</w:t>
            </w:r>
            <w:r w:rsidR="001503DA" w:rsidRPr="008E1FA7">
              <w:t>’</w:t>
            </w:r>
            <w:r w:rsidRPr="008E1FA7">
              <w:t>oxygénation tissulaire et à administrer de l</w:t>
            </w:r>
            <w:r w:rsidR="001503DA" w:rsidRPr="008E1FA7">
              <w:t>’</w:t>
            </w:r>
            <w:r w:rsidRPr="008E1FA7">
              <w:t xml:space="preserve">atropine par voie intraveineuse. </w:t>
            </w:r>
            <w:r w:rsidRPr="00C31740">
              <w:rPr>
                <w:lang w:val="en-US"/>
              </w:rPr>
              <w:t>(</w:t>
            </w:r>
            <w:r w:rsidRPr="00C31740">
              <w:rPr>
                <w:bCs/>
                <w:lang w:val="en-US" w:eastAsia="en-GB"/>
              </w:rPr>
              <w:t xml:space="preserve">UNEP/FAO/RC/CRC.9/4/Add.2, </w:t>
            </w:r>
            <w:r w:rsidRPr="00C31740">
              <w:rPr>
                <w:lang w:val="en-US"/>
              </w:rPr>
              <w:t xml:space="preserve">p. 186, </w:t>
            </w:r>
            <w:proofErr w:type="gramStart"/>
            <w:r w:rsidRPr="00C31740">
              <w:rPr>
                <w:lang w:val="en-US"/>
              </w:rPr>
              <w:t>source :</w:t>
            </w:r>
            <w:proofErr w:type="gramEnd"/>
            <w:r w:rsidRPr="00C31740">
              <w:rPr>
                <w:lang w:val="en-US"/>
              </w:rPr>
              <w:t xml:space="preserve"> Haavik TK., Ihlen</w:t>
            </w:r>
            <w:r w:rsidR="00F40C92" w:rsidRPr="00C31740">
              <w:rPr>
                <w:lang w:val="en-US"/>
              </w:rPr>
              <w:t> </w:t>
            </w:r>
            <w:r w:rsidRPr="00C31740">
              <w:rPr>
                <w:lang w:val="en-US"/>
              </w:rPr>
              <w:t xml:space="preserve">H. (1974): Alkyl phosphate poisoning. </w:t>
            </w:r>
            <w:r w:rsidRPr="008E1FA7">
              <w:t xml:space="preserve">A case of </w:t>
            </w:r>
            <w:proofErr w:type="spellStart"/>
            <w:r w:rsidRPr="008E1FA7">
              <w:t>Lebaycid</w:t>
            </w:r>
            <w:proofErr w:type="spellEnd"/>
            <w:r w:rsidRPr="008E1FA7">
              <w:t xml:space="preserve"> (Fenthion) </w:t>
            </w:r>
            <w:proofErr w:type="spellStart"/>
            <w:r w:rsidRPr="008E1FA7">
              <w:t>poisoning</w:t>
            </w:r>
            <w:proofErr w:type="spellEnd"/>
            <w:r w:rsidRPr="008E1FA7">
              <w:t xml:space="preserve">. </w:t>
            </w:r>
            <w:proofErr w:type="spellStart"/>
            <w:r w:rsidRPr="008E1FA7">
              <w:t>Nor</w:t>
            </w:r>
            <w:proofErr w:type="spellEnd"/>
            <w:r w:rsidRPr="008E1FA7">
              <w:t> </w:t>
            </w:r>
            <w:proofErr w:type="spellStart"/>
            <w:r w:rsidRPr="008E1FA7">
              <w:t>Laegeforen</w:t>
            </w:r>
            <w:proofErr w:type="spellEnd"/>
            <w:r w:rsidRPr="008E1FA7">
              <w:t xml:space="preserve"> (94(19):1251</w:t>
            </w:r>
            <w:r w:rsidRPr="008E1FA7">
              <w:noBreakHyphen/>
              <w:t>3, 10 juillet 1974).</w:t>
            </w:r>
          </w:p>
          <w:p w14:paraId="289BF79C" w14:textId="2F896873" w:rsidR="00371363" w:rsidRPr="008E1FA7" w:rsidRDefault="00371363" w:rsidP="00AA2775">
            <w:pPr>
              <w:autoSpaceDE w:val="0"/>
              <w:autoSpaceDN w:val="0"/>
              <w:adjustRightInd w:val="0"/>
              <w:spacing w:after="120"/>
            </w:pPr>
            <w:r w:rsidRPr="008E1FA7">
              <w:t>L</w:t>
            </w:r>
            <w:r w:rsidR="001503DA" w:rsidRPr="008E1FA7">
              <w:t>’</w:t>
            </w:r>
            <w:r w:rsidRPr="008E1FA7">
              <w:t>ingestion constitue une cause importante d</w:t>
            </w:r>
            <w:r w:rsidR="001503DA" w:rsidRPr="008E1FA7">
              <w:t>’</w:t>
            </w:r>
            <w:r w:rsidRPr="008E1FA7">
              <w:t>intoxication grave par ce composé. Le</w:t>
            </w:r>
            <w:r w:rsidR="00F40C92" w:rsidRPr="008E1FA7">
              <w:t> </w:t>
            </w:r>
            <w:r w:rsidRPr="008E1FA7">
              <w:t xml:space="preserve">fenthion peut aussi être absorbé par contact avec la peau ou par inhalation de particules de poudres. </w:t>
            </w:r>
          </w:p>
          <w:p w14:paraId="0276EFF8" w14:textId="3252795E" w:rsidR="00371363" w:rsidRPr="008E1FA7" w:rsidRDefault="00371363" w:rsidP="00AA2775">
            <w:pPr>
              <w:autoSpaceDE w:val="0"/>
              <w:autoSpaceDN w:val="0"/>
              <w:adjustRightInd w:val="0"/>
              <w:spacing w:after="120"/>
            </w:pPr>
            <w:r w:rsidRPr="008E1FA7">
              <w:t>Le fenthion a été largement employé dans de nombreuses régions du monde dans le</w:t>
            </w:r>
            <w:r w:rsidR="00F40C92" w:rsidRPr="008E1FA7">
              <w:t> </w:t>
            </w:r>
            <w:r w:rsidRPr="008E1FA7">
              <w:t>cadre de la lutte contre les ravageurs et les moustiques domestiques. Sur</w:t>
            </w:r>
            <w:r w:rsidR="00F40C92" w:rsidRPr="008E1FA7">
              <w:t> </w:t>
            </w:r>
            <w:r w:rsidRPr="008E1FA7">
              <w:t>vingt</w:t>
            </w:r>
            <w:r w:rsidRPr="008E1FA7">
              <w:noBreakHyphen/>
              <w:t>huit opérateurs ayant procédé à la pulvérisation intérieure à effets rémanents de fenthion pendant 15 jours, lors d</w:t>
            </w:r>
            <w:r w:rsidR="001503DA" w:rsidRPr="008E1FA7">
              <w:t>’</w:t>
            </w:r>
            <w:r w:rsidRPr="008E1FA7">
              <w:t>un essai opérationnel de lutte contre le paludisme, sans prendre les précautions adéquates, vingt</w:t>
            </w:r>
            <w:r w:rsidRPr="008E1FA7">
              <w:noBreakHyphen/>
              <w:t>sept présentaient des</w:t>
            </w:r>
            <w:r w:rsidR="00F40C92" w:rsidRPr="008E1FA7">
              <w:t> </w:t>
            </w:r>
            <w:r w:rsidRPr="008E1FA7">
              <w:t>signes d</w:t>
            </w:r>
            <w:r w:rsidR="001503DA" w:rsidRPr="008E1FA7">
              <w:t>’</w:t>
            </w:r>
            <w:r w:rsidRPr="008E1FA7">
              <w:t>intoxication à des degrés divers, notamment, des maux de têtes, vertiges, troubles de la vue, douleurs musculaires et abdominales, crampes, diarrhées et vomissements prolongés. On observait une diminution très sévère de l</w:t>
            </w:r>
            <w:r w:rsidR="001503DA" w:rsidRPr="008E1FA7">
              <w:t>’</w:t>
            </w:r>
            <w:r w:rsidRPr="008E1FA7">
              <w:t>activité des cholinestérases sanguines, qui persistait un mois après la fin de la</w:t>
            </w:r>
            <w:r w:rsidR="00F40C92" w:rsidRPr="008E1FA7">
              <w:t> </w:t>
            </w:r>
            <w:r w:rsidRPr="008E1FA7">
              <w:t>pulvérisation. Cependant, lors d</w:t>
            </w:r>
            <w:r w:rsidR="001503DA" w:rsidRPr="008E1FA7">
              <w:t>’</w:t>
            </w:r>
            <w:r w:rsidRPr="008E1FA7">
              <w:t>une deuxième opération de pulvérisation à plus faible échelle, où les précautions prises étaient plus strictes, un seul des</w:t>
            </w:r>
            <w:r w:rsidR="00F40C92" w:rsidRPr="008E1FA7">
              <w:t> </w:t>
            </w:r>
            <w:r w:rsidRPr="008E1FA7">
              <w:t>douze</w:t>
            </w:r>
            <w:r w:rsidR="00F40C92" w:rsidRPr="008E1FA7">
              <w:t> </w:t>
            </w:r>
            <w:r w:rsidRPr="008E1FA7">
              <w:t>opérateurs présentait des symptômes légers. Au cours d</w:t>
            </w:r>
            <w:r w:rsidR="001503DA" w:rsidRPr="008E1FA7">
              <w:t>’</w:t>
            </w:r>
            <w:r w:rsidRPr="008E1FA7">
              <w:t>opérations d</w:t>
            </w:r>
            <w:r w:rsidR="001503DA" w:rsidRPr="008E1FA7">
              <w:t>’</w:t>
            </w:r>
            <w:r w:rsidRPr="008E1FA7">
              <w:t>élimination de larves de moustiques, l</w:t>
            </w:r>
            <w:r w:rsidR="001503DA" w:rsidRPr="008E1FA7">
              <w:t>’</w:t>
            </w:r>
            <w:r w:rsidRPr="008E1FA7">
              <w:t>exposition cutanée s</w:t>
            </w:r>
            <w:r w:rsidR="001503DA" w:rsidRPr="008E1FA7">
              <w:t>’</w:t>
            </w:r>
            <w:r w:rsidRPr="008E1FA7">
              <w:t>élevait en moyenne à 3.6 mg/h pour l</w:t>
            </w:r>
            <w:r w:rsidR="001503DA" w:rsidRPr="008E1FA7">
              <w:t>’</w:t>
            </w:r>
            <w:r w:rsidRPr="008E1FA7">
              <w:t>application à l</w:t>
            </w:r>
            <w:r w:rsidR="001503DA" w:rsidRPr="008E1FA7">
              <w:t>’</w:t>
            </w:r>
            <w:r w:rsidRPr="008E1FA7">
              <w:t>aide de pulvérisateurs motorisés ou à main et à 12,3 mg/h pour l</w:t>
            </w:r>
            <w:r w:rsidR="001503DA" w:rsidRPr="008E1FA7">
              <w:t>’</w:t>
            </w:r>
            <w:r w:rsidRPr="008E1FA7">
              <w:t>épandage manuel de granulés. Certains opérateurs présentaient une</w:t>
            </w:r>
            <w:r w:rsidR="00F40C92" w:rsidRPr="008E1FA7">
              <w:t> </w:t>
            </w:r>
            <w:r w:rsidRPr="008E1FA7">
              <w:t>légère baisse de la cholinestérase plasmatique, mais pas de la cholinestérase érythrocytaire (</w:t>
            </w:r>
            <w:r w:rsidRPr="008E1FA7">
              <w:rPr>
                <w:bCs/>
                <w:lang w:eastAsia="en-GB"/>
              </w:rPr>
              <w:t xml:space="preserve">UNEP/FAO/RC/CRC.9/4/Add.2, </w:t>
            </w:r>
            <w:r w:rsidRPr="008E1FA7">
              <w:t>source : Data Sheets on Pesticides No. 23, PISSC).</w:t>
            </w:r>
          </w:p>
        </w:tc>
      </w:tr>
      <w:tr w:rsidR="00371363" w:rsidRPr="008E1FA7" w14:paraId="5D384728"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93" w:type="dxa"/>
            <w:gridSpan w:val="5"/>
            <w:tcBorders>
              <w:top w:val="nil"/>
              <w:left w:val="nil"/>
              <w:bottom w:val="nil"/>
              <w:right w:val="nil"/>
            </w:tcBorders>
            <w:shd w:val="clear" w:color="auto" w:fill="auto"/>
          </w:tcPr>
          <w:p w14:paraId="73DF6BD2" w14:textId="77777777" w:rsidR="00371363" w:rsidRPr="008E1FA7" w:rsidRDefault="00371363" w:rsidP="00AA2775"/>
        </w:tc>
      </w:tr>
      <w:tr w:rsidR="00371363" w:rsidRPr="008E1FA7" w14:paraId="08D73968"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shd w:val="clear" w:color="auto" w:fill="auto"/>
          </w:tcPr>
          <w:p w14:paraId="530EAAB6" w14:textId="77777777" w:rsidR="00371363" w:rsidRPr="008E1FA7" w:rsidRDefault="00371363" w:rsidP="00AA2775">
            <w:pPr>
              <w:rPr>
                <w:b/>
              </w:rPr>
            </w:pPr>
            <w:r w:rsidRPr="008E1FA7">
              <w:rPr>
                <w:b/>
              </w:rPr>
              <w:t>2.1.3</w:t>
            </w:r>
          </w:p>
        </w:tc>
        <w:tc>
          <w:tcPr>
            <w:tcW w:w="1703" w:type="dxa"/>
            <w:gridSpan w:val="2"/>
            <w:tcBorders>
              <w:top w:val="nil"/>
              <w:left w:val="nil"/>
              <w:bottom w:val="nil"/>
              <w:right w:val="nil"/>
            </w:tcBorders>
            <w:shd w:val="clear" w:color="auto" w:fill="auto"/>
          </w:tcPr>
          <w:p w14:paraId="74B7F882" w14:textId="77777777" w:rsidR="00371363" w:rsidRPr="008E1FA7" w:rsidRDefault="00371363" w:rsidP="00AA2775">
            <w:pPr>
              <w:rPr>
                <w:b/>
                <w:bCs/>
              </w:rPr>
            </w:pPr>
            <w:r w:rsidRPr="008E1FA7">
              <w:rPr>
                <w:b/>
                <w:bCs/>
              </w:rPr>
              <w:t>Absorption, distribution, excrétion et métabolisme chez les mammifères</w:t>
            </w:r>
          </w:p>
        </w:tc>
        <w:tc>
          <w:tcPr>
            <w:tcW w:w="6981" w:type="dxa"/>
            <w:gridSpan w:val="2"/>
            <w:tcBorders>
              <w:top w:val="nil"/>
              <w:left w:val="nil"/>
              <w:bottom w:val="nil"/>
              <w:right w:val="nil"/>
            </w:tcBorders>
            <w:shd w:val="clear" w:color="auto" w:fill="auto"/>
          </w:tcPr>
          <w:p w14:paraId="50C57EBF" w14:textId="0CAAB9C6" w:rsidR="00371363" w:rsidRPr="008E1FA7" w:rsidRDefault="00371363" w:rsidP="00AA2775">
            <w:pPr>
              <w:autoSpaceDE w:val="0"/>
              <w:autoSpaceDN w:val="0"/>
              <w:adjustRightInd w:val="0"/>
            </w:pPr>
            <w:r w:rsidRPr="008E1FA7">
              <w:t>Le fenthion est absorbé par contact avec la peau, même non lésée, par inhalation ou par les voies gastro</w:t>
            </w:r>
            <w:r w:rsidRPr="008E1FA7">
              <w:noBreakHyphen/>
              <w:t>intestinales. Il induit un effet anticholinestérasique après transformation dans l</w:t>
            </w:r>
            <w:r w:rsidR="001503DA" w:rsidRPr="008E1FA7">
              <w:t>’</w:t>
            </w:r>
            <w:r w:rsidRPr="008E1FA7">
              <w:t>organisme en l</w:t>
            </w:r>
            <w:r w:rsidR="001503DA" w:rsidRPr="008E1FA7">
              <w:t>’</w:t>
            </w:r>
            <w:r w:rsidRPr="008E1FA7">
              <w:t xml:space="preserve">analogue oxygéné plus toxique. </w:t>
            </w:r>
          </w:p>
          <w:p w14:paraId="439C5867" w14:textId="4442C11E" w:rsidR="00371363" w:rsidRPr="008E1FA7" w:rsidRDefault="00371363" w:rsidP="00851188">
            <w:pPr>
              <w:autoSpaceDE w:val="0"/>
              <w:autoSpaceDN w:val="0"/>
              <w:adjustRightInd w:val="0"/>
              <w:spacing w:before="120"/>
            </w:pPr>
            <w:r w:rsidRPr="008E1FA7">
              <w:t>Chez le rat, 86 % d</w:t>
            </w:r>
            <w:r w:rsidR="001503DA" w:rsidRPr="008E1FA7">
              <w:t>’</w:t>
            </w:r>
            <w:r w:rsidRPr="008E1FA7">
              <w:t>une dose administrée par voie orale sont éliminés en sept jours (45 % dans l</w:t>
            </w:r>
            <w:r w:rsidR="001503DA" w:rsidRPr="008E1FA7">
              <w:t>’</w:t>
            </w:r>
            <w:r w:rsidRPr="008E1FA7">
              <w:t xml:space="preserve">urine et 40 % dans les fèces). Les métabolites sont notamment les sulfones et </w:t>
            </w:r>
            <w:proofErr w:type="spellStart"/>
            <w:r w:rsidRPr="008E1FA7">
              <w:t>sulfoxydes</w:t>
            </w:r>
            <w:proofErr w:type="spellEnd"/>
            <w:r w:rsidRPr="008E1FA7">
              <w:t xml:space="preserve"> du composé parent et de l</w:t>
            </w:r>
            <w:r w:rsidR="001503DA" w:rsidRPr="008E1FA7">
              <w:t>’</w:t>
            </w:r>
            <w:r w:rsidRPr="008E1FA7">
              <w:t>analogue oxygéné.</w:t>
            </w:r>
          </w:p>
          <w:p w14:paraId="5FF83A49" w14:textId="1FDF1758" w:rsidR="00371363" w:rsidRPr="008E1FA7" w:rsidRDefault="00371363" w:rsidP="00AA2775">
            <w:pPr>
              <w:spacing w:before="120" w:after="120"/>
            </w:pPr>
            <w:r w:rsidRPr="008E1FA7">
              <w:t>Chez l</w:t>
            </w:r>
            <w:r w:rsidR="001503DA" w:rsidRPr="008E1FA7">
              <w:t>’</w:t>
            </w:r>
            <w:r w:rsidRPr="008E1FA7">
              <w:t>animal, le fenthion est rapidement absorbé dans le sang par les voies digestives, les poumons et la peau, puis dégradé. Les produits de sa dégradation sont éliminés dans l</w:t>
            </w:r>
            <w:r w:rsidR="001503DA" w:rsidRPr="008E1FA7">
              <w:t>’</w:t>
            </w:r>
            <w:r w:rsidRPr="008E1FA7">
              <w:t>urine et les fèces en trois jours. Une dose unique de l</w:t>
            </w:r>
            <w:r w:rsidR="001503DA" w:rsidRPr="008E1FA7">
              <w:t>’</w:t>
            </w:r>
            <w:r w:rsidRPr="008E1FA7">
              <w:t>insecticide a une action prolongée, ce qui suggère qu</w:t>
            </w:r>
            <w:r w:rsidR="001503DA" w:rsidRPr="008E1FA7">
              <w:t>’</w:t>
            </w:r>
            <w:r w:rsidRPr="008E1FA7">
              <w:t>une grande partie est stockée et libérée ultérieurement pour être métabolisée. Le fenthion présente des propriétés « lipophiles » et tend à se déposer dans les tissus adipeux. Le fenthion et ses</w:t>
            </w:r>
            <w:r w:rsidR="00F40C92" w:rsidRPr="008E1FA7">
              <w:t> </w:t>
            </w:r>
            <w:r w:rsidRPr="008E1FA7">
              <w:t>métabolites ont été détectés dans les tissus adipeux de bouvillons abattus 3 jours après application cutanée de fenthion. Après application cutanée de 9 mg/kg de fenthion radiomarqué à des vaches, 45</w:t>
            </w:r>
            <w:r w:rsidRPr="008E1FA7">
              <w:noBreakHyphen/>
              <w:t>55 % de la dose était excrétée dans l</w:t>
            </w:r>
            <w:r w:rsidR="001503DA" w:rsidRPr="008E1FA7">
              <w:t>’</w:t>
            </w:r>
            <w:r w:rsidRPr="008E1FA7">
              <w:t xml:space="preserve">urine, 2,0 à 2,5 % dans les fèces et 1,5 à 2,0 % dans le lait </w:t>
            </w:r>
            <w:r w:rsidRPr="008E1FA7">
              <w:rPr>
                <w:bCs/>
                <w:lang w:eastAsia="en-GB"/>
              </w:rPr>
              <w:t>(</w:t>
            </w:r>
            <w:r w:rsidRPr="008E1FA7">
              <w:t xml:space="preserve">Extension </w:t>
            </w:r>
            <w:proofErr w:type="spellStart"/>
            <w:r w:rsidRPr="008E1FA7">
              <w:t>Toxicology</w:t>
            </w:r>
            <w:proofErr w:type="spellEnd"/>
            <w:r w:rsidRPr="008E1FA7">
              <w:t xml:space="preserve"> Network 1993).</w:t>
            </w:r>
          </w:p>
          <w:p w14:paraId="50E0FEAD" w14:textId="30D99060" w:rsidR="00371363" w:rsidRPr="008E1FA7" w:rsidRDefault="00371363" w:rsidP="00AA2775">
            <w:pPr>
              <w:spacing w:before="120"/>
            </w:pPr>
            <w:r w:rsidRPr="008E1FA7">
              <w:t>Les profils d</w:t>
            </w:r>
            <w:r w:rsidR="001503DA" w:rsidRPr="008E1FA7">
              <w:t>’</w:t>
            </w:r>
            <w:r w:rsidRPr="008E1FA7">
              <w:t>absorption, de distribution, de métabolisme et d</w:t>
            </w:r>
            <w:r w:rsidR="001503DA" w:rsidRPr="008E1FA7">
              <w:t>’</w:t>
            </w:r>
            <w:r w:rsidRPr="008E1FA7">
              <w:t>élimination du fenthion administré sont globalement comparables chez le rat, le porc, la vache et la</w:t>
            </w:r>
            <w:r w:rsidR="00F40C92" w:rsidRPr="008E1FA7">
              <w:t> </w:t>
            </w:r>
            <w:r w:rsidRPr="008E1FA7">
              <w:t>chèvre. L</w:t>
            </w:r>
            <w:r w:rsidR="001503DA" w:rsidRPr="008E1FA7">
              <w:t>’</w:t>
            </w:r>
            <w:r w:rsidRPr="008E1FA7">
              <w:t>absorption est rapide quelle que soit la voie d</w:t>
            </w:r>
            <w:r w:rsidR="001503DA" w:rsidRPr="008E1FA7">
              <w:t>’</w:t>
            </w:r>
            <w:r w:rsidRPr="008E1FA7">
              <w:t>exposition, la distribution est large en particulier dans les réserves lipidiques, le métabolisme est important et peut produire des intermédiaires actifs anti</w:t>
            </w:r>
            <w:r w:rsidRPr="008E1FA7">
              <w:noBreakHyphen/>
            </w:r>
            <w:proofErr w:type="spellStart"/>
            <w:r w:rsidRPr="008E1FA7">
              <w:t>ChE</w:t>
            </w:r>
            <w:proofErr w:type="spellEnd"/>
            <w:r w:rsidRPr="008E1FA7">
              <w:t xml:space="preserve"> et l</w:t>
            </w:r>
            <w:r w:rsidR="001503DA" w:rsidRPr="008E1FA7">
              <w:t>’</w:t>
            </w:r>
            <w:r w:rsidRPr="008E1FA7">
              <w:t xml:space="preserve">élimination est presque totale. Les résidus tissulaires étaient faibles chez toutes les espèces. </w:t>
            </w:r>
          </w:p>
          <w:p w14:paraId="62970BDC" w14:textId="77A0E22F" w:rsidR="00371363" w:rsidRPr="008E1FA7" w:rsidRDefault="00371363" w:rsidP="00AA2775">
            <w:pPr>
              <w:spacing w:before="120"/>
            </w:pPr>
            <w:r w:rsidRPr="008E1FA7">
              <w:t xml:space="preserve">Le métabolisme du fenthion commence en général par la désulfuration du groupe fonctionnel ester </w:t>
            </w:r>
            <w:proofErr w:type="spellStart"/>
            <w:r w:rsidRPr="008E1FA7">
              <w:t>thiophosphorique</w:t>
            </w:r>
            <w:proofErr w:type="spellEnd"/>
            <w:r w:rsidRPr="008E1FA7">
              <w:t xml:space="preserve"> du fenthion (PS), qui conduit à l</w:t>
            </w:r>
            <w:r w:rsidR="001503DA" w:rsidRPr="008E1FA7">
              <w:t>’</w:t>
            </w:r>
            <w:r w:rsidRPr="008E1FA7">
              <w:t xml:space="preserve">analogue oxygéné </w:t>
            </w:r>
            <w:proofErr w:type="spellStart"/>
            <w:r w:rsidRPr="008E1FA7">
              <w:t>phosphooxone</w:t>
            </w:r>
            <w:proofErr w:type="spellEnd"/>
            <w:r w:rsidRPr="008E1FA7">
              <w:t xml:space="preserve"> (</w:t>
            </w:r>
            <w:proofErr w:type="spellStart"/>
            <w:r w:rsidRPr="008E1FA7">
              <w:t>fenthoxone</w:t>
            </w:r>
            <w:proofErr w:type="spellEnd"/>
            <w:r w:rsidRPr="008E1FA7">
              <w:t xml:space="preserve">; POS). </w:t>
            </w:r>
          </w:p>
          <w:p w14:paraId="57AEEF08" w14:textId="1BFE81C7" w:rsidR="00371363" w:rsidRPr="008E1FA7" w:rsidRDefault="00371363" w:rsidP="00AA2775">
            <w:pPr>
              <w:spacing w:before="120"/>
            </w:pPr>
            <w:r w:rsidRPr="008E1FA7">
              <w:t xml:space="preserve">Le fenthion et le </w:t>
            </w:r>
            <w:proofErr w:type="spellStart"/>
            <w:r w:rsidRPr="008E1FA7">
              <w:t>fenthoxone</w:t>
            </w:r>
            <w:proofErr w:type="spellEnd"/>
            <w:r w:rsidRPr="008E1FA7">
              <w:t xml:space="preserve"> peuvent tous deux être transformés en </w:t>
            </w:r>
            <w:proofErr w:type="spellStart"/>
            <w:r w:rsidRPr="008E1FA7">
              <w:t>sulfoxydes</w:t>
            </w:r>
            <w:proofErr w:type="spellEnd"/>
            <w:r w:rsidRPr="008E1FA7">
              <w:t xml:space="preserve"> (PSSO, POSO) et sulfones (PSSO</w:t>
            </w:r>
            <w:r w:rsidRPr="008E1FA7">
              <w:rPr>
                <w:vertAlign w:val="subscript"/>
              </w:rPr>
              <w:t>2</w:t>
            </w:r>
            <w:r w:rsidRPr="008E1FA7">
              <w:t>, POSO</w:t>
            </w:r>
            <w:r w:rsidRPr="008E1FA7">
              <w:rPr>
                <w:vertAlign w:val="subscript"/>
              </w:rPr>
              <w:t>2</w:t>
            </w:r>
            <w:r w:rsidRPr="008E1FA7">
              <w:t>) par oxydation du substituant SCH</w:t>
            </w:r>
            <w:r w:rsidRPr="008E1FA7">
              <w:rPr>
                <w:vertAlign w:val="subscript"/>
              </w:rPr>
              <w:t>3</w:t>
            </w:r>
            <w:r w:rsidRPr="008E1FA7">
              <w:t xml:space="preserve"> du cycle phénol. D</w:t>
            </w:r>
            <w:r w:rsidR="001503DA" w:rsidRPr="008E1FA7">
              <w:t>’</w:t>
            </w:r>
            <w:r w:rsidRPr="008E1FA7">
              <w:t>autres métabolites peuvent être formés par déméthylation d</w:t>
            </w:r>
            <w:r w:rsidR="001503DA" w:rsidRPr="008E1FA7">
              <w:t>’</w:t>
            </w:r>
            <w:r w:rsidRPr="008E1FA7">
              <w:t xml:space="preserve">un ou des deux groupement(s) </w:t>
            </w:r>
            <w:proofErr w:type="spellStart"/>
            <w:r w:rsidRPr="008E1FA7">
              <w:t>oxyméthyle</w:t>
            </w:r>
            <w:proofErr w:type="spellEnd"/>
            <w:r w:rsidRPr="008E1FA7">
              <w:t>(s). L</w:t>
            </w:r>
            <w:r w:rsidR="001503DA" w:rsidRPr="008E1FA7">
              <w:t>’</w:t>
            </w:r>
            <w:r w:rsidRPr="008E1FA7">
              <w:t>hydrolyse de la liaison O</w:t>
            </w:r>
            <w:r w:rsidRPr="008E1FA7">
              <w:noBreakHyphen/>
              <w:t>P conduit à la</w:t>
            </w:r>
            <w:r w:rsidR="00F40C92" w:rsidRPr="008E1FA7">
              <w:t> </w:t>
            </w:r>
            <w:r w:rsidRPr="008E1FA7">
              <w:t>perte de cette partie de la molécule et à la formation d</w:t>
            </w:r>
            <w:r w:rsidR="001503DA" w:rsidRPr="008E1FA7">
              <w:t>’</w:t>
            </w:r>
            <w:r w:rsidRPr="008E1FA7">
              <w:t>un « phénol »</w:t>
            </w:r>
            <w:r w:rsidRPr="008E1FA7">
              <w:noBreakHyphen/>
              <w:t>fenthion (</w:t>
            </w:r>
            <w:proofErr w:type="spellStart"/>
            <w:r w:rsidRPr="008E1FA7">
              <w:t>PhS</w:t>
            </w:r>
            <w:proofErr w:type="spellEnd"/>
            <w:r w:rsidRPr="008E1FA7">
              <w:t xml:space="preserve">), qui peut à son tour être oxydé en </w:t>
            </w:r>
            <w:proofErr w:type="spellStart"/>
            <w:r w:rsidRPr="008E1FA7">
              <w:t>sulfoxyde</w:t>
            </w:r>
            <w:proofErr w:type="spellEnd"/>
            <w:r w:rsidRPr="008E1FA7">
              <w:t xml:space="preserve"> (</w:t>
            </w:r>
            <w:proofErr w:type="spellStart"/>
            <w:r w:rsidRPr="008E1FA7">
              <w:t>PhSO</w:t>
            </w:r>
            <w:proofErr w:type="spellEnd"/>
            <w:r w:rsidRPr="008E1FA7">
              <w:t>) et sulfone (PhSO</w:t>
            </w:r>
            <w:r w:rsidRPr="008E1FA7">
              <w:rPr>
                <w:vertAlign w:val="subscript"/>
              </w:rPr>
              <w:t>2</w:t>
            </w:r>
            <w:r w:rsidRPr="008E1FA7">
              <w:t>). On</w:t>
            </w:r>
            <w:r w:rsidR="00F40C92" w:rsidRPr="008E1FA7">
              <w:t> </w:t>
            </w:r>
            <w:r w:rsidRPr="008E1FA7">
              <w:t>considère en général que l</w:t>
            </w:r>
            <w:r w:rsidR="001503DA" w:rsidRPr="008E1FA7">
              <w:t>’</w:t>
            </w:r>
            <w:r w:rsidRPr="008E1FA7">
              <w:t xml:space="preserve">analogue oxygéné du fenthion ainsi que ses dérivés </w:t>
            </w:r>
            <w:proofErr w:type="spellStart"/>
            <w:r w:rsidRPr="008E1FA7">
              <w:t>sulfoxydes</w:t>
            </w:r>
            <w:proofErr w:type="spellEnd"/>
            <w:r w:rsidRPr="008E1FA7">
              <w:t xml:space="preserve"> et sulfones, plutôt que le fenthion lui</w:t>
            </w:r>
            <w:r w:rsidRPr="008E1FA7">
              <w:noBreakHyphen/>
              <w:t>même, sont les principaux métabolites actifs.</w:t>
            </w:r>
          </w:p>
          <w:p w14:paraId="6D14E643" w14:textId="4FB5E903" w:rsidR="00371363" w:rsidRPr="008E1FA7" w:rsidRDefault="00371363" w:rsidP="00AA2775">
            <w:pPr>
              <w:spacing w:before="120"/>
            </w:pPr>
            <w:r w:rsidRPr="008E1FA7">
              <w:t>L</w:t>
            </w:r>
            <w:r w:rsidR="001503DA" w:rsidRPr="008E1FA7">
              <w:t>’</w:t>
            </w:r>
            <w:r w:rsidRPr="008E1FA7">
              <w:t>administration de fenthion par voies orale, cutanée, sous</w:t>
            </w:r>
            <w:r w:rsidRPr="008E1FA7">
              <w:noBreakHyphen/>
              <w:t>cutanée ou intrapéritonéale à diverses espèces (rat, porc, vache, chèvre et lapin) a montré des</w:t>
            </w:r>
            <w:r w:rsidR="00F40C92" w:rsidRPr="008E1FA7">
              <w:t> </w:t>
            </w:r>
            <w:r w:rsidRPr="008E1FA7">
              <w:t>profils d</w:t>
            </w:r>
            <w:r w:rsidR="001503DA" w:rsidRPr="008E1FA7">
              <w:t>’</w:t>
            </w:r>
            <w:r w:rsidRPr="008E1FA7">
              <w:t>absorption et de métabolisme similaires chez tous les animaux. Les</w:t>
            </w:r>
            <w:r w:rsidR="00851188" w:rsidRPr="008E1FA7">
              <w:t> </w:t>
            </w:r>
            <w:r w:rsidRPr="008E1FA7">
              <w:t>doses uniques sont aisément absorbées quelle que soit la voie d</w:t>
            </w:r>
            <w:r w:rsidR="001503DA" w:rsidRPr="008E1FA7">
              <w:t>’</w:t>
            </w:r>
            <w:r w:rsidRPr="008E1FA7">
              <w:t>administration et rapidement excrétées dans l</w:t>
            </w:r>
            <w:r w:rsidR="001503DA" w:rsidRPr="008E1FA7">
              <w:t>’</w:t>
            </w:r>
            <w:r w:rsidRPr="008E1FA7">
              <w:t>urine (environ 90 %) et les fèces. Par exemple, dans plusieurs études sur des rats exposés à du fenthion marqué au carbone 14 par voie orale ou intraveineuse, on n</w:t>
            </w:r>
            <w:r w:rsidR="001503DA" w:rsidRPr="008E1FA7">
              <w:t>’</w:t>
            </w:r>
            <w:r w:rsidRPr="008E1FA7">
              <w:t>observait aucune différence majeure dans les profils métaboliques selon la voie d</w:t>
            </w:r>
            <w:r w:rsidR="001503DA" w:rsidRPr="008E1FA7">
              <w:t>’</w:t>
            </w:r>
            <w:r w:rsidRPr="008E1FA7">
              <w:t>administration, la dose, le sexe ou l</w:t>
            </w:r>
            <w:r w:rsidR="001503DA" w:rsidRPr="008E1FA7">
              <w:t>’</w:t>
            </w:r>
            <w:r w:rsidRPr="008E1FA7">
              <w:t>administration ou non d</w:t>
            </w:r>
            <w:r w:rsidR="001503DA" w:rsidRPr="008E1FA7">
              <w:t>’</w:t>
            </w:r>
            <w:r w:rsidRPr="008E1FA7">
              <w:t>un prétraitement au fenthion non marqué pendant 14 jours. On ne détectait aucun composé parent non modifié dans l</w:t>
            </w:r>
            <w:r w:rsidR="001503DA" w:rsidRPr="008E1FA7">
              <w:t>’</w:t>
            </w:r>
            <w:r w:rsidRPr="008E1FA7">
              <w:t>urine et des quantités très faibles (&lt; 2 %) dans les fèces. On recensait quatorze métabolites urinaires représentant 93</w:t>
            </w:r>
            <w:r w:rsidRPr="008E1FA7">
              <w:noBreakHyphen/>
              <w:t>96 % de la quantité totale de marqueur récupérée. Le principal groupe de métabolites (environ 60 % du marqueur total) était composé de trois phénol</w:t>
            </w:r>
            <w:r w:rsidRPr="008E1FA7">
              <w:noBreakHyphen/>
            </w:r>
            <w:proofErr w:type="spellStart"/>
            <w:r w:rsidRPr="008E1FA7">
              <w:t>thioéthers</w:t>
            </w:r>
            <w:proofErr w:type="spellEnd"/>
            <w:r w:rsidRPr="008E1FA7">
              <w:t xml:space="preserve"> provenant de l</w:t>
            </w:r>
            <w:r w:rsidR="001503DA" w:rsidRPr="008E1FA7">
              <w:t>’</w:t>
            </w:r>
            <w:r w:rsidRPr="008E1FA7">
              <w:t>hydrolyse de la partie OP (phénol</w:t>
            </w:r>
            <w:r w:rsidRPr="008E1FA7">
              <w:noBreakHyphen/>
              <w:t>fenthion, phénol</w:t>
            </w:r>
            <w:r w:rsidRPr="008E1FA7">
              <w:noBreakHyphen/>
            </w:r>
            <w:proofErr w:type="spellStart"/>
            <w:r w:rsidRPr="008E1FA7">
              <w:t>sulfoxyde</w:t>
            </w:r>
            <w:proofErr w:type="spellEnd"/>
            <w:r w:rsidRPr="008E1FA7">
              <w:t xml:space="preserve"> et phénol</w:t>
            </w:r>
            <w:r w:rsidRPr="008E1FA7">
              <w:noBreakHyphen/>
              <w:t xml:space="preserve">sulfone) et leurs </w:t>
            </w:r>
            <w:proofErr w:type="spellStart"/>
            <w:r w:rsidRPr="008E1FA7">
              <w:t>glucuronides</w:t>
            </w:r>
            <w:proofErr w:type="spellEnd"/>
            <w:r w:rsidRPr="008E1FA7">
              <w:t xml:space="preserve">, </w:t>
            </w:r>
            <w:proofErr w:type="spellStart"/>
            <w:r w:rsidRPr="008E1FA7">
              <w:t>sulfoxydes</w:t>
            </w:r>
            <w:proofErr w:type="spellEnd"/>
            <w:r w:rsidRPr="008E1FA7">
              <w:t xml:space="preserve"> et sulfones conjugués. On relevait aussi la présence de quatre métabolites déméthylés (environ 30 % du marqueur) et de l</w:t>
            </w:r>
            <w:r w:rsidR="001503DA" w:rsidRPr="008E1FA7">
              <w:t>’</w:t>
            </w:r>
            <w:r w:rsidRPr="008E1FA7">
              <w:t xml:space="preserve">analogue oxygéné </w:t>
            </w:r>
            <w:proofErr w:type="spellStart"/>
            <w:r w:rsidRPr="008E1FA7">
              <w:t>sulfoxyde</w:t>
            </w:r>
            <w:proofErr w:type="spellEnd"/>
            <w:r w:rsidRPr="008E1FA7">
              <w:t xml:space="preserve"> (seulement 1</w:t>
            </w:r>
            <w:r w:rsidRPr="008E1FA7">
              <w:noBreakHyphen/>
              <w:t>4 %). Les concentrations de résidus tissulaires de fenthion ou de métabolites étaient en général faibles, sauf au site d</w:t>
            </w:r>
            <w:r w:rsidR="001503DA" w:rsidRPr="008E1FA7">
              <w:t>’</w:t>
            </w:r>
            <w:r w:rsidRPr="008E1FA7">
              <w:t>administration cutanée ou sous</w:t>
            </w:r>
            <w:r w:rsidRPr="008E1FA7">
              <w:noBreakHyphen/>
              <w:t>cutanée, ce qui indique que le fenthion ne présente pas de tendance à la bioaccumulation chez le rat ou les animaux domestiques.</w:t>
            </w:r>
          </w:p>
          <w:p w14:paraId="55D288CE" w14:textId="36514F5D" w:rsidR="00371363" w:rsidRPr="008E1FA7" w:rsidRDefault="00371363" w:rsidP="00AA2775">
            <w:pPr>
              <w:spacing w:before="120" w:after="120"/>
            </w:pPr>
            <w:r w:rsidRPr="008E1FA7">
              <w:t>Après administration d</w:t>
            </w:r>
            <w:r w:rsidR="001503DA" w:rsidRPr="008E1FA7">
              <w:t>’</w:t>
            </w:r>
            <w:r w:rsidRPr="008E1FA7">
              <w:t>une dose par voie orale, l</w:t>
            </w:r>
            <w:r w:rsidR="001503DA" w:rsidRPr="008E1FA7">
              <w:t>’</w:t>
            </w:r>
            <w:r w:rsidRPr="008E1FA7">
              <w:t>effet anticholinestérasique apparaît de manière plus précoce et le rétablissement est plus rapide que par voies cutanée ou sous</w:t>
            </w:r>
            <w:r w:rsidRPr="008E1FA7">
              <w:noBreakHyphen/>
              <w:t>cutanée, pour lesquelles les effets sont plus tardifs et prolongés (</w:t>
            </w:r>
            <w:proofErr w:type="spellStart"/>
            <w:r w:rsidRPr="008E1FA7">
              <w:t>Emteres</w:t>
            </w:r>
            <w:proofErr w:type="spellEnd"/>
            <w:r w:rsidRPr="008E1FA7">
              <w:t xml:space="preserve"> et al. 1985; </w:t>
            </w:r>
            <w:proofErr w:type="spellStart"/>
            <w:r w:rsidRPr="008E1FA7">
              <w:t>Christenson</w:t>
            </w:r>
            <w:proofErr w:type="spellEnd"/>
            <w:r w:rsidRPr="008E1FA7">
              <w:t xml:space="preserve"> 1990c, APVMA 2012a).</w:t>
            </w:r>
          </w:p>
        </w:tc>
      </w:tr>
      <w:tr w:rsidR="00371363" w:rsidRPr="008E1FA7" w14:paraId="02B46DA1" w14:textId="77777777" w:rsidTr="009C493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93" w:type="dxa"/>
            <w:gridSpan w:val="5"/>
            <w:tcBorders>
              <w:top w:val="nil"/>
              <w:left w:val="nil"/>
              <w:bottom w:val="nil"/>
              <w:right w:val="nil"/>
            </w:tcBorders>
            <w:shd w:val="clear" w:color="auto" w:fill="auto"/>
          </w:tcPr>
          <w:p w14:paraId="43C1F3D8" w14:textId="77777777" w:rsidR="00371363" w:rsidRPr="008E1FA7" w:rsidRDefault="00371363" w:rsidP="00AA2775"/>
        </w:tc>
      </w:tr>
      <w:tr w:rsidR="00371363" w:rsidRPr="008E1FA7" w14:paraId="02D123CF"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159136B6" w14:textId="77777777" w:rsidR="00371363" w:rsidRPr="008E1FA7" w:rsidRDefault="00371363" w:rsidP="00371363">
            <w:pPr>
              <w:rPr>
                <w:b/>
              </w:rPr>
            </w:pPr>
            <w:r w:rsidRPr="008E1FA7">
              <w:rPr>
                <w:b/>
              </w:rPr>
              <w:t>2.2</w:t>
            </w:r>
          </w:p>
        </w:tc>
        <w:tc>
          <w:tcPr>
            <w:tcW w:w="1719" w:type="dxa"/>
            <w:gridSpan w:val="2"/>
            <w:tcBorders>
              <w:top w:val="nil"/>
              <w:left w:val="nil"/>
              <w:bottom w:val="nil"/>
              <w:right w:val="nil"/>
            </w:tcBorders>
            <w:shd w:val="clear" w:color="auto" w:fill="auto"/>
          </w:tcPr>
          <w:p w14:paraId="7EEC974A" w14:textId="77777777" w:rsidR="00371363" w:rsidRPr="008E1FA7" w:rsidRDefault="00371363" w:rsidP="00371363">
            <w:pPr>
              <w:rPr>
                <w:b/>
                <w:bCs/>
              </w:rPr>
            </w:pPr>
            <w:r w:rsidRPr="008E1FA7">
              <w:rPr>
                <w:b/>
                <w:bCs/>
              </w:rPr>
              <w:t xml:space="preserve">Études toxicologiques </w:t>
            </w:r>
          </w:p>
        </w:tc>
        <w:tc>
          <w:tcPr>
            <w:tcW w:w="6958" w:type="dxa"/>
            <w:tcBorders>
              <w:top w:val="nil"/>
              <w:left w:val="nil"/>
              <w:bottom w:val="nil"/>
              <w:right w:val="nil"/>
            </w:tcBorders>
            <w:shd w:val="clear" w:color="auto" w:fill="auto"/>
          </w:tcPr>
          <w:p w14:paraId="5574F468" w14:textId="77777777" w:rsidR="00371363" w:rsidRPr="008E1FA7" w:rsidRDefault="00371363" w:rsidP="00371363">
            <w:pPr>
              <w:spacing w:after="40"/>
              <w:jc w:val="both"/>
            </w:pPr>
          </w:p>
        </w:tc>
      </w:tr>
      <w:tr w:rsidR="00371363" w:rsidRPr="008E1FA7" w14:paraId="3183B01A"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2C577080" w14:textId="77777777" w:rsidR="00371363" w:rsidRPr="008E1FA7" w:rsidRDefault="00371363" w:rsidP="00371363">
            <w:pPr>
              <w:jc w:val="both"/>
            </w:pPr>
          </w:p>
        </w:tc>
      </w:tr>
      <w:tr w:rsidR="00371363" w:rsidRPr="008E1FA7" w14:paraId="39BE4FC2"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24079882" w14:textId="77777777" w:rsidR="00371363" w:rsidRPr="008E1FA7" w:rsidRDefault="00371363" w:rsidP="00AA2775">
            <w:pPr>
              <w:rPr>
                <w:b/>
              </w:rPr>
            </w:pPr>
            <w:r w:rsidRPr="008E1FA7">
              <w:rPr>
                <w:b/>
              </w:rPr>
              <w:t>2.2.1</w:t>
            </w:r>
          </w:p>
        </w:tc>
        <w:tc>
          <w:tcPr>
            <w:tcW w:w="1719" w:type="dxa"/>
            <w:gridSpan w:val="2"/>
            <w:tcBorders>
              <w:top w:val="nil"/>
              <w:left w:val="nil"/>
              <w:bottom w:val="nil"/>
              <w:right w:val="nil"/>
            </w:tcBorders>
            <w:shd w:val="clear" w:color="auto" w:fill="auto"/>
          </w:tcPr>
          <w:p w14:paraId="52727C81" w14:textId="77777777" w:rsidR="00371363" w:rsidRPr="008E1FA7" w:rsidRDefault="00371363" w:rsidP="00AA2775">
            <w:pPr>
              <w:rPr>
                <w:b/>
                <w:bCs/>
              </w:rPr>
            </w:pPr>
            <w:r w:rsidRPr="008E1FA7">
              <w:rPr>
                <w:b/>
                <w:bCs/>
              </w:rPr>
              <w:t>Toxicité aiguë</w:t>
            </w:r>
          </w:p>
        </w:tc>
        <w:tc>
          <w:tcPr>
            <w:tcW w:w="6958" w:type="dxa"/>
            <w:tcBorders>
              <w:top w:val="nil"/>
              <w:left w:val="nil"/>
              <w:bottom w:val="nil"/>
              <w:right w:val="nil"/>
            </w:tcBorders>
            <w:shd w:val="clear" w:color="auto" w:fill="auto"/>
          </w:tcPr>
          <w:p w14:paraId="0D1F536F" w14:textId="77777777" w:rsidR="00371363" w:rsidRPr="008E1FA7" w:rsidRDefault="00371363" w:rsidP="00851188">
            <w:pPr>
              <w:spacing w:after="120"/>
            </w:pPr>
            <w:r w:rsidRPr="008E1FA7">
              <w:t>Rat, DL</w:t>
            </w:r>
            <w:r w:rsidRPr="008E1FA7">
              <w:rPr>
                <w:vertAlign w:val="subscript"/>
              </w:rPr>
              <w:t>50</w:t>
            </w:r>
            <w:r w:rsidRPr="008E1FA7">
              <w:t>, voie orale : environ 250 mg/kg p.c. (FAO 2004), 140</w:t>
            </w:r>
            <w:r w:rsidRPr="008E1FA7">
              <w:noBreakHyphen/>
              <w:t>615 mg/kg p.c. (APVMA 2012a).</w:t>
            </w:r>
          </w:p>
          <w:p w14:paraId="05D07264" w14:textId="77777777" w:rsidR="00371363" w:rsidRPr="008E1FA7" w:rsidRDefault="00371363" w:rsidP="00851188">
            <w:pPr>
              <w:spacing w:after="120"/>
            </w:pPr>
            <w:r w:rsidRPr="008E1FA7">
              <w:t>Souris, DL</w:t>
            </w:r>
            <w:r w:rsidRPr="008E1FA7">
              <w:rPr>
                <w:vertAlign w:val="subscript"/>
              </w:rPr>
              <w:t>50</w:t>
            </w:r>
            <w:r w:rsidRPr="008E1FA7">
              <w:t>, voie orale : 150</w:t>
            </w:r>
            <w:r w:rsidRPr="008E1FA7">
              <w:noBreakHyphen/>
              <w:t>290 mg/kg p.c. (APVMA 2012a).</w:t>
            </w:r>
          </w:p>
          <w:p w14:paraId="28C1081F" w14:textId="77777777" w:rsidR="00371363" w:rsidRPr="008E1FA7" w:rsidRDefault="00371363" w:rsidP="00851188">
            <w:pPr>
              <w:spacing w:after="120"/>
            </w:pPr>
            <w:r w:rsidRPr="008E1FA7">
              <w:t>Rat, DL</w:t>
            </w:r>
            <w:r w:rsidRPr="008E1FA7">
              <w:rPr>
                <w:vertAlign w:val="subscript"/>
              </w:rPr>
              <w:t>50</w:t>
            </w:r>
            <w:r w:rsidRPr="008E1FA7">
              <w:t>, voie cutanée : environ 586 mg/kg p.c. (mâles) / environ 800 mg/kg p.c. (femelles) (FAO 2004); 325</w:t>
            </w:r>
            <w:r w:rsidRPr="008E1FA7">
              <w:noBreakHyphen/>
              <w:t>&gt; 5 000 mg/kg (APVMA 2012a).</w:t>
            </w:r>
          </w:p>
          <w:p w14:paraId="10616408" w14:textId="77777777" w:rsidR="00371363" w:rsidRPr="008E1FA7" w:rsidRDefault="00371363" w:rsidP="00851188">
            <w:pPr>
              <w:spacing w:after="120"/>
            </w:pPr>
            <w:r w:rsidRPr="008E1FA7">
              <w:t>Souris, DL</w:t>
            </w:r>
            <w:r w:rsidRPr="008E1FA7">
              <w:rPr>
                <w:vertAlign w:val="subscript"/>
              </w:rPr>
              <w:t>50</w:t>
            </w:r>
            <w:r w:rsidRPr="008E1FA7">
              <w:t>, voie cutanée : 500</w:t>
            </w:r>
            <w:r w:rsidRPr="008E1FA7">
              <w:noBreakHyphen/>
              <w:t>2 000 mg/kg p.c. (APVMA 2012a).</w:t>
            </w:r>
          </w:p>
          <w:p w14:paraId="0347476C" w14:textId="77777777" w:rsidR="00371363" w:rsidRPr="008E1FA7" w:rsidRDefault="00371363" w:rsidP="00851188">
            <w:pPr>
              <w:spacing w:after="120"/>
            </w:pPr>
            <w:r w:rsidRPr="008E1FA7">
              <w:t>Rat, CL</w:t>
            </w:r>
            <w:r w:rsidRPr="008E1FA7">
              <w:rPr>
                <w:vertAlign w:val="subscript"/>
              </w:rPr>
              <w:t>50,</w:t>
            </w:r>
            <w:r w:rsidRPr="008E1FA7">
              <w:t xml:space="preserve"> inhalation : environ 507 mg/m</w:t>
            </w:r>
            <w:r w:rsidRPr="008E1FA7">
              <w:rPr>
                <w:vertAlign w:val="superscript"/>
              </w:rPr>
              <w:t>3</w:t>
            </w:r>
            <w:r w:rsidRPr="008E1FA7">
              <w:t xml:space="preserve"> (mâles) / environ 454 mg/m</w:t>
            </w:r>
            <w:r w:rsidRPr="008E1FA7">
              <w:rPr>
                <w:vertAlign w:val="superscript"/>
              </w:rPr>
              <w:t>3</w:t>
            </w:r>
            <w:r w:rsidRPr="008E1FA7">
              <w:t xml:space="preserve"> (femelles) (poudre, exposition pendant 4 h) (FAO 2004).</w:t>
            </w:r>
          </w:p>
          <w:p w14:paraId="608BBCC5" w14:textId="77777777" w:rsidR="00371363" w:rsidRPr="008E1FA7" w:rsidRDefault="00371363" w:rsidP="00851188">
            <w:pPr>
              <w:spacing w:after="120"/>
            </w:pPr>
            <w:r w:rsidRPr="008E1FA7">
              <w:t>Lapin, irritations cutanée et oculaire : non</w:t>
            </w:r>
            <w:r w:rsidRPr="008E1FA7">
              <w:noBreakHyphen/>
              <w:t>irritant (FAO 2004, APVMA 2012a).</w:t>
            </w:r>
          </w:p>
          <w:p w14:paraId="6BD5B6CB" w14:textId="77777777" w:rsidR="00371363" w:rsidRPr="008E1FA7" w:rsidRDefault="00371363" w:rsidP="00851188">
            <w:pPr>
              <w:spacing w:after="120"/>
            </w:pPr>
            <w:r w:rsidRPr="008E1FA7">
              <w:t>Cobaye, sensibilisation cutanée : non</w:t>
            </w:r>
            <w:r w:rsidRPr="008E1FA7">
              <w:noBreakHyphen/>
              <w:t>sensibilisant (FAO 2004, APVMA 2012a).</w:t>
            </w:r>
          </w:p>
          <w:p w14:paraId="00D289CD" w14:textId="2817D73E" w:rsidR="00371363" w:rsidRPr="008E1FA7" w:rsidRDefault="00371363" w:rsidP="00851188">
            <w:pPr>
              <w:spacing w:after="120"/>
            </w:pPr>
            <w:r w:rsidRPr="008E1FA7">
              <w:t>Les toxicités aiguës par voies orale et intrapéritonéale de l</w:t>
            </w:r>
            <w:r w:rsidR="001503DA" w:rsidRPr="008E1FA7">
              <w:t>’</w:t>
            </w:r>
            <w:r w:rsidRPr="008E1FA7">
              <w:t xml:space="preserve">analogue oxygéné du fenthion et de ses dérivés </w:t>
            </w:r>
            <w:proofErr w:type="spellStart"/>
            <w:r w:rsidRPr="008E1FA7">
              <w:t>sulfoxydes</w:t>
            </w:r>
            <w:proofErr w:type="spellEnd"/>
            <w:r w:rsidRPr="008E1FA7">
              <w:t xml:space="preserve"> et sulfones, que l</w:t>
            </w:r>
            <w:r w:rsidR="001503DA" w:rsidRPr="008E1FA7">
              <w:t>’</w:t>
            </w:r>
            <w:r w:rsidRPr="008E1FA7">
              <w:t>on pense être les principaux métabolites actifs, étaient de 5 à 10 fois supérieures à celles du fenthion (APVMA 2012a).</w:t>
            </w:r>
          </w:p>
          <w:p w14:paraId="27FD4149" w14:textId="77777777" w:rsidR="00371363" w:rsidRPr="008E1FA7" w:rsidRDefault="00371363" w:rsidP="00851188">
            <w:pPr>
              <w:spacing w:after="120"/>
            </w:pPr>
            <w:r w:rsidRPr="008E1FA7">
              <w:t xml:space="preserve">Le fenthion potentialisait la toxicité aiguë des malathion, dioxathion et </w:t>
            </w:r>
            <w:proofErr w:type="spellStart"/>
            <w:r w:rsidRPr="008E1FA7">
              <w:t>coumaphos</w:t>
            </w:r>
            <w:proofErr w:type="spellEnd"/>
            <w:r w:rsidRPr="008E1FA7">
              <w:t xml:space="preserve"> chez le rat, et des malathion et </w:t>
            </w:r>
            <w:proofErr w:type="spellStart"/>
            <w:r w:rsidRPr="008E1FA7">
              <w:t>coumaphos</w:t>
            </w:r>
            <w:proofErr w:type="spellEnd"/>
            <w:r w:rsidRPr="008E1FA7">
              <w:t xml:space="preserve"> mais pas du dioxathion chez le chien (APVMA 2012a).</w:t>
            </w:r>
          </w:p>
        </w:tc>
      </w:tr>
      <w:tr w:rsidR="00371363" w:rsidRPr="008E1FA7" w14:paraId="795B90BB"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55069A55" w14:textId="77777777" w:rsidR="00371363" w:rsidRPr="008E1FA7" w:rsidRDefault="00371363" w:rsidP="00371363"/>
        </w:tc>
      </w:tr>
      <w:tr w:rsidR="00371363" w:rsidRPr="008E1FA7" w14:paraId="099C75EC"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48CC5EAD" w14:textId="77777777" w:rsidR="00371363" w:rsidRPr="008E1FA7" w:rsidRDefault="00371363" w:rsidP="00371363">
            <w:pPr>
              <w:rPr>
                <w:b/>
              </w:rPr>
            </w:pPr>
            <w:r w:rsidRPr="008E1FA7">
              <w:rPr>
                <w:b/>
              </w:rPr>
              <w:t>2.2.2</w:t>
            </w:r>
          </w:p>
        </w:tc>
        <w:tc>
          <w:tcPr>
            <w:tcW w:w="1719" w:type="dxa"/>
            <w:gridSpan w:val="2"/>
            <w:tcBorders>
              <w:top w:val="nil"/>
              <w:left w:val="nil"/>
              <w:bottom w:val="nil"/>
              <w:right w:val="nil"/>
            </w:tcBorders>
            <w:shd w:val="clear" w:color="auto" w:fill="auto"/>
          </w:tcPr>
          <w:p w14:paraId="6358FFB7" w14:textId="77777777" w:rsidR="00371363" w:rsidRPr="008E1FA7" w:rsidRDefault="00371363" w:rsidP="00371363">
            <w:pPr>
              <w:rPr>
                <w:b/>
                <w:bCs/>
              </w:rPr>
            </w:pPr>
            <w:r w:rsidRPr="008E1FA7">
              <w:rPr>
                <w:b/>
                <w:bCs/>
              </w:rPr>
              <w:t>Toxicité à court terme</w:t>
            </w:r>
          </w:p>
        </w:tc>
        <w:tc>
          <w:tcPr>
            <w:tcW w:w="6958" w:type="dxa"/>
            <w:tcBorders>
              <w:top w:val="nil"/>
              <w:left w:val="nil"/>
              <w:bottom w:val="nil"/>
              <w:right w:val="nil"/>
            </w:tcBorders>
            <w:shd w:val="clear" w:color="auto" w:fill="auto"/>
          </w:tcPr>
          <w:p w14:paraId="68570CC2" w14:textId="77777777" w:rsidR="00371363" w:rsidRPr="008E1FA7" w:rsidRDefault="00371363" w:rsidP="00371363">
            <w:pPr>
              <w:spacing w:before="20"/>
            </w:pPr>
            <w:r w:rsidRPr="008E1FA7">
              <w:t>Effet critique : effet anticholinestérasique (UE 2002).</w:t>
            </w:r>
          </w:p>
          <w:p w14:paraId="6E91634A" w14:textId="77777777" w:rsidR="00371363" w:rsidRPr="008E1FA7" w:rsidRDefault="00371363" w:rsidP="00371363">
            <w:pPr>
              <w:spacing w:before="20"/>
            </w:pPr>
            <w:r w:rsidRPr="008E1FA7">
              <w:t>Voie orale, DSENO, valeur pertinente la plus faible : 0,1 mg/kg p.c./j, 1 an, chien (UE 2002).</w:t>
            </w:r>
          </w:p>
          <w:p w14:paraId="5A9AEE8A" w14:textId="77777777" w:rsidR="00371363" w:rsidRPr="008E1FA7" w:rsidRDefault="00371363" w:rsidP="00371363">
            <w:pPr>
              <w:spacing w:before="20"/>
            </w:pPr>
            <w:r w:rsidRPr="008E1FA7">
              <w:t>Voie cutanée, DSENO, valeur pertinente la plus faible : 0,1 mg/kg p.c./j, 21 jours, lapin (UE 2002).</w:t>
            </w:r>
          </w:p>
          <w:p w14:paraId="04BE0A44" w14:textId="77777777" w:rsidR="00371363" w:rsidRPr="008E1FA7" w:rsidRDefault="00371363" w:rsidP="00371363">
            <w:pPr>
              <w:spacing w:before="20"/>
            </w:pPr>
            <w:r w:rsidRPr="008E1FA7">
              <w:t>Inhalation, DSENO, valeur pertinente la plus faible : 1 mg/m</w:t>
            </w:r>
            <w:r w:rsidRPr="008E1FA7">
              <w:rPr>
                <w:vertAlign w:val="superscript"/>
              </w:rPr>
              <w:t>3</w:t>
            </w:r>
            <w:r w:rsidRPr="008E1FA7">
              <w:t>/j, 21 jours, rat (UE 2002).</w:t>
            </w:r>
          </w:p>
        </w:tc>
      </w:tr>
      <w:tr w:rsidR="00371363" w:rsidRPr="008E1FA7" w14:paraId="796C1AB7"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5264A072" w14:textId="77777777" w:rsidR="00371363" w:rsidRPr="008E1FA7" w:rsidRDefault="00371363" w:rsidP="00371363"/>
        </w:tc>
      </w:tr>
      <w:tr w:rsidR="00371363" w:rsidRPr="008E1FA7" w14:paraId="49322888"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4349CE80" w14:textId="77777777" w:rsidR="00371363" w:rsidRPr="008E1FA7" w:rsidRDefault="00371363" w:rsidP="00371363">
            <w:pPr>
              <w:rPr>
                <w:b/>
              </w:rPr>
            </w:pPr>
            <w:r w:rsidRPr="008E1FA7">
              <w:rPr>
                <w:b/>
              </w:rPr>
              <w:t>2.2.3</w:t>
            </w:r>
          </w:p>
        </w:tc>
        <w:tc>
          <w:tcPr>
            <w:tcW w:w="1719" w:type="dxa"/>
            <w:gridSpan w:val="2"/>
            <w:tcBorders>
              <w:top w:val="nil"/>
              <w:left w:val="nil"/>
              <w:bottom w:val="nil"/>
              <w:right w:val="nil"/>
            </w:tcBorders>
            <w:shd w:val="clear" w:color="auto" w:fill="auto"/>
          </w:tcPr>
          <w:p w14:paraId="0183CD42" w14:textId="5594C51C" w:rsidR="00371363" w:rsidRPr="008E1FA7" w:rsidRDefault="00371363" w:rsidP="00371363">
            <w:pPr>
              <w:rPr>
                <w:b/>
                <w:bCs/>
              </w:rPr>
            </w:pPr>
            <w:r w:rsidRPr="008E1FA7">
              <w:rPr>
                <w:b/>
                <w:bCs/>
              </w:rPr>
              <w:t>Génotoxicité (y</w:t>
            </w:r>
            <w:r w:rsidR="002402F4" w:rsidRPr="008E1FA7">
              <w:rPr>
                <w:b/>
                <w:bCs/>
              </w:rPr>
              <w:t> </w:t>
            </w:r>
            <w:r w:rsidRPr="008E1FA7">
              <w:rPr>
                <w:b/>
                <w:bCs/>
              </w:rPr>
              <w:t>compris pouvoir mutagène)</w:t>
            </w:r>
          </w:p>
        </w:tc>
        <w:tc>
          <w:tcPr>
            <w:tcW w:w="6958" w:type="dxa"/>
            <w:tcBorders>
              <w:top w:val="nil"/>
              <w:left w:val="nil"/>
              <w:bottom w:val="nil"/>
              <w:right w:val="nil"/>
            </w:tcBorders>
            <w:shd w:val="clear" w:color="auto" w:fill="auto"/>
          </w:tcPr>
          <w:p w14:paraId="38661EC4" w14:textId="37331881" w:rsidR="00371363" w:rsidRPr="008E1FA7" w:rsidRDefault="00371363" w:rsidP="00851188">
            <w:pPr>
              <w:spacing w:before="20"/>
            </w:pPr>
            <w:r w:rsidRPr="008E1FA7">
              <w:t>Des essais chez la souris n</w:t>
            </w:r>
            <w:r w:rsidR="001503DA" w:rsidRPr="008E1FA7">
              <w:t>’</w:t>
            </w:r>
            <w:r w:rsidRPr="008E1FA7">
              <w:t xml:space="preserve">ont montré aucun effet mutagène du fenthion (Extension </w:t>
            </w:r>
            <w:proofErr w:type="spellStart"/>
            <w:r w:rsidRPr="008E1FA7">
              <w:t>Toxicology</w:t>
            </w:r>
            <w:proofErr w:type="spellEnd"/>
            <w:r w:rsidRPr="008E1FA7">
              <w:t xml:space="preserve"> Network 1993, APVMA 2012a).</w:t>
            </w:r>
          </w:p>
          <w:p w14:paraId="40B70B1D" w14:textId="77777777" w:rsidR="00371363" w:rsidRPr="008E1FA7" w:rsidRDefault="00371363" w:rsidP="00851188">
            <w:pPr>
              <w:spacing w:before="20"/>
            </w:pPr>
            <w:r w:rsidRPr="008E1FA7">
              <w:t>Le fenthion présente un potentiel clastogène à des doses induisant une cytotoxicité (UE 2002).</w:t>
            </w:r>
          </w:p>
        </w:tc>
      </w:tr>
      <w:tr w:rsidR="00371363" w:rsidRPr="008E1FA7" w14:paraId="3EDC6227"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2449D0CF" w14:textId="77777777" w:rsidR="00371363" w:rsidRPr="008E1FA7" w:rsidRDefault="00371363" w:rsidP="00371363"/>
        </w:tc>
      </w:tr>
      <w:tr w:rsidR="00371363" w:rsidRPr="008E1FA7" w14:paraId="70EF1AC9"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27AE3A8D" w14:textId="77777777" w:rsidR="00371363" w:rsidRPr="008E1FA7" w:rsidRDefault="00371363" w:rsidP="00371363">
            <w:pPr>
              <w:rPr>
                <w:b/>
              </w:rPr>
            </w:pPr>
            <w:r w:rsidRPr="008E1FA7">
              <w:rPr>
                <w:b/>
              </w:rPr>
              <w:t>2.2.4</w:t>
            </w:r>
          </w:p>
        </w:tc>
        <w:tc>
          <w:tcPr>
            <w:tcW w:w="1719" w:type="dxa"/>
            <w:gridSpan w:val="2"/>
            <w:tcBorders>
              <w:top w:val="nil"/>
              <w:left w:val="nil"/>
              <w:bottom w:val="nil"/>
              <w:right w:val="nil"/>
            </w:tcBorders>
            <w:shd w:val="clear" w:color="auto" w:fill="auto"/>
          </w:tcPr>
          <w:p w14:paraId="6208F888" w14:textId="77777777" w:rsidR="00371363" w:rsidRPr="008E1FA7" w:rsidRDefault="00371363" w:rsidP="00371363">
            <w:pPr>
              <w:rPr>
                <w:b/>
                <w:bCs/>
              </w:rPr>
            </w:pPr>
            <w:r w:rsidRPr="008E1FA7">
              <w:rPr>
                <w:b/>
                <w:bCs/>
              </w:rPr>
              <w:t>Toxicité à long terme et carcinogénicité</w:t>
            </w:r>
          </w:p>
        </w:tc>
        <w:tc>
          <w:tcPr>
            <w:tcW w:w="6958" w:type="dxa"/>
            <w:tcBorders>
              <w:top w:val="nil"/>
              <w:left w:val="nil"/>
              <w:bottom w:val="nil"/>
              <w:right w:val="nil"/>
            </w:tcBorders>
            <w:shd w:val="clear" w:color="auto" w:fill="auto"/>
          </w:tcPr>
          <w:p w14:paraId="0D3353EC" w14:textId="77777777" w:rsidR="00371363" w:rsidRPr="008E1FA7" w:rsidRDefault="00371363" w:rsidP="00371363">
            <w:pPr>
              <w:spacing w:before="20"/>
            </w:pPr>
            <w:r w:rsidRPr="008E1FA7">
              <w:t>Étude chronique, voie orale, 23 mois, singe Rhésus : DSENO égale à 0,2 mg/kg p.c./j (FAO 2004).</w:t>
            </w:r>
          </w:p>
          <w:p w14:paraId="05274866" w14:textId="77777777" w:rsidR="00371363" w:rsidRPr="008E1FA7" w:rsidRDefault="00371363" w:rsidP="00371363">
            <w:pPr>
              <w:spacing w:before="20"/>
            </w:pPr>
            <w:r w:rsidRPr="008E1FA7">
              <w:t>Étude chronique, voie alimentaire, 52 semaines, chien : DSENO égale à 0,05 mg/kg p.c./j (FAO 2004).</w:t>
            </w:r>
          </w:p>
          <w:p w14:paraId="4F11255B" w14:textId="77777777" w:rsidR="00371363" w:rsidRPr="008E1FA7" w:rsidRDefault="00371363" w:rsidP="00371363">
            <w:pPr>
              <w:spacing w:before="20"/>
            </w:pPr>
            <w:r w:rsidRPr="008E1FA7">
              <w:t>Étude chronique, voie alimentaire, 24 mois, rat : DSENO égale à 0,15 mg/kg p.c./j, absence de preuve de carcinogénicité (FAO 2004).</w:t>
            </w:r>
          </w:p>
          <w:p w14:paraId="5FD2E5A7" w14:textId="326E90FD" w:rsidR="00371363" w:rsidRPr="008E1FA7" w:rsidRDefault="00371363" w:rsidP="00371363">
            <w:pPr>
              <w:spacing w:before="20"/>
            </w:pPr>
            <w:r w:rsidRPr="008E1FA7">
              <w:t>Étude d</w:t>
            </w:r>
            <w:r w:rsidR="001503DA" w:rsidRPr="008E1FA7">
              <w:t>’</w:t>
            </w:r>
            <w:r w:rsidRPr="008E1FA7">
              <w:t>oncogénicité, voie alimentaire, 24 mois, souris : DSENO égale à 2 mg/kg p.c./j (5 ppm), absence de preuve de carcinogénicité (FAO 2004).</w:t>
            </w:r>
          </w:p>
          <w:p w14:paraId="38C13074" w14:textId="1D0E8F45" w:rsidR="00371363" w:rsidRPr="008E1FA7" w:rsidRDefault="00371363" w:rsidP="00371363">
            <w:pPr>
              <w:spacing w:before="20"/>
            </w:pPr>
            <w:r w:rsidRPr="008E1FA7">
              <w:t>Le National Cancer Institute a mené des essais de carcinogénicité pour le fenthion, qui indiquent que cet insecticide peut être carcinogène chez la souris mâle. Cependant, on n</w:t>
            </w:r>
            <w:r w:rsidR="001503DA" w:rsidRPr="008E1FA7">
              <w:t>’</w:t>
            </w:r>
            <w:r w:rsidRPr="008E1FA7">
              <w:t>a pas observé d</w:t>
            </w:r>
            <w:r w:rsidR="001503DA" w:rsidRPr="008E1FA7">
              <w:t>’</w:t>
            </w:r>
            <w:r w:rsidRPr="008E1FA7">
              <w:t>effet carcinogène dans d</w:t>
            </w:r>
            <w:r w:rsidR="001503DA" w:rsidRPr="008E1FA7">
              <w:t>’</w:t>
            </w:r>
            <w:r w:rsidRPr="008E1FA7">
              <w:t xml:space="preserve">autres études par voie alimentaire de deux ans réalisées chez le rat et la souris (Extension </w:t>
            </w:r>
            <w:proofErr w:type="spellStart"/>
            <w:r w:rsidRPr="008E1FA7">
              <w:t>Toxicology</w:t>
            </w:r>
            <w:proofErr w:type="spellEnd"/>
            <w:r w:rsidRPr="008E1FA7">
              <w:t xml:space="preserve"> Network 1993).</w:t>
            </w:r>
          </w:p>
          <w:p w14:paraId="666CA47C" w14:textId="21DFB15E" w:rsidR="00371363" w:rsidRPr="008E1FA7" w:rsidRDefault="00371363" w:rsidP="00371363">
            <w:pPr>
              <w:spacing w:before="20"/>
            </w:pPr>
            <w:r w:rsidRPr="008E1FA7">
              <w:t>Des études chroniques par voie alimentaire chez la souris et le rat n</w:t>
            </w:r>
            <w:r w:rsidR="001503DA" w:rsidRPr="008E1FA7">
              <w:t>’</w:t>
            </w:r>
            <w:r w:rsidRPr="008E1FA7">
              <w:t>ont pas apporté de preuve d</w:t>
            </w:r>
            <w:r w:rsidR="001503DA" w:rsidRPr="008E1FA7">
              <w:t>’</w:t>
            </w:r>
            <w:r w:rsidRPr="008E1FA7">
              <w:t>oncogénicité</w:t>
            </w:r>
            <w:r w:rsidR="00EF2F3D" w:rsidRPr="008E1FA7">
              <w:t> ;</w:t>
            </w:r>
            <w:r w:rsidRPr="008E1FA7">
              <w:t xml:space="preserve"> par conséquent, on ne considère pas que le fenthion présente un risque de carcinogénicité chez l</w:t>
            </w:r>
            <w:r w:rsidR="001503DA" w:rsidRPr="008E1FA7">
              <w:t>’</w:t>
            </w:r>
            <w:r w:rsidRPr="008E1FA7">
              <w:t>être humain (APVMA 2012a).</w:t>
            </w:r>
          </w:p>
        </w:tc>
      </w:tr>
      <w:tr w:rsidR="00371363" w:rsidRPr="008E1FA7" w14:paraId="76BA5B4C"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1FE386E2" w14:textId="77777777" w:rsidR="00371363" w:rsidRPr="008E1FA7" w:rsidRDefault="00371363" w:rsidP="00371363"/>
        </w:tc>
      </w:tr>
      <w:tr w:rsidR="00371363" w:rsidRPr="008E1FA7" w14:paraId="5D22119A"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664D7296" w14:textId="77777777" w:rsidR="00371363" w:rsidRPr="008E1FA7" w:rsidRDefault="00371363" w:rsidP="00371363">
            <w:pPr>
              <w:rPr>
                <w:b/>
              </w:rPr>
            </w:pPr>
            <w:r w:rsidRPr="008E1FA7">
              <w:rPr>
                <w:b/>
              </w:rPr>
              <w:t>2.2.5</w:t>
            </w:r>
          </w:p>
        </w:tc>
        <w:tc>
          <w:tcPr>
            <w:tcW w:w="1719" w:type="dxa"/>
            <w:gridSpan w:val="2"/>
            <w:tcBorders>
              <w:top w:val="nil"/>
              <w:left w:val="nil"/>
              <w:bottom w:val="nil"/>
              <w:right w:val="nil"/>
            </w:tcBorders>
            <w:shd w:val="clear" w:color="auto" w:fill="auto"/>
          </w:tcPr>
          <w:p w14:paraId="4431C79F" w14:textId="77777777" w:rsidR="00371363" w:rsidRPr="008E1FA7" w:rsidRDefault="00371363" w:rsidP="00371363">
            <w:pPr>
              <w:rPr>
                <w:b/>
                <w:bCs/>
              </w:rPr>
            </w:pPr>
            <w:r w:rsidRPr="008E1FA7">
              <w:rPr>
                <w:b/>
                <w:bCs/>
              </w:rPr>
              <w:t>Effets sur la reproduction</w:t>
            </w:r>
          </w:p>
        </w:tc>
        <w:tc>
          <w:tcPr>
            <w:tcW w:w="6958" w:type="dxa"/>
            <w:tcBorders>
              <w:top w:val="nil"/>
              <w:left w:val="nil"/>
              <w:bottom w:val="nil"/>
              <w:right w:val="nil"/>
            </w:tcBorders>
            <w:shd w:val="clear" w:color="auto" w:fill="auto"/>
          </w:tcPr>
          <w:p w14:paraId="44C40484" w14:textId="77777777" w:rsidR="00371363" w:rsidRPr="008E1FA7" w:rsidRDefault="00371363" w:rsidP="00573457">
            <w:pPr>
              <w:spacing w:after="120"/>
            </w:pPr>
            <w:r w:rsidRPr="008E1FA7">
              <w:t>Toxicité pour la reproduction sur 2 générations, rat : DSENO égale à 0,16 mg/kg p.c./j (FAO 2004).</w:t>
            </w:r>
          </w:p>
          <w:p w14:paraId="2EEE090E" w14:textId="1C24D3E2" w:rsidR="00371363" w:rsidRPr="008E1FA7" w:rsidRDefault="00371363" w:rsidP="00573457">
            <w:pPr>
              <w:spacing w:after="120"/>
            </w:pPr>
            <w:r w:rsidRPr="008E1FA7">
              <w:t>Toxicité pour le développement, rat : DSENO (pour le développement et pour la</w:t>
            </w:r>
            <w:r w:rsidR="00F40C92" w:rsidRPr="008E1FA7">
              <w:t> </w:t>
            </w:r>
            <w:r w:rsidRPr="008E1FA7">
              <w:t>mère) égale à 4,2 mg/kg p.c./j (FAO 2004).</w:t>
            </w:r>
          </w:p>
          <w:p w14:paraId="7CDE3466" w14:textId="77777777" w:rsidR="00371363" w:rsidRPr="008E1FA7" w:rsidRDefault="00371363" w:rsidP="00573457">
            <w:pPr>
              <w:spacing w:after="120"/>
            </w:pPr>
            <w:r w:rsidRPr="008E1FA7">
              <w:t>Toxicité pour le développement, lapin : DSENO égales à 2,75 mg/kg p.c./j (pour le développement) et 1 mg/kg p.c./j (pour la mère), absence de preuve de tératogénicité (FAO 2004).</w:t>
            </w:r>
          </w:p>
          <w:p w14:paraId="738D36D8" w14:textId="69C7D410" w:rsidR="00371363" w:rsidRPr="008E1FA7" w:rsidRDefault="00371363" w:rsidP="00573457">
            <w:pPr>
              <w:spacing w:after="120"/>
            </w:pPr>
            <w:r w:rsidRPr="008E1FA7">
              <w:t>Effets sur la reproduction : L</w:t>
            </w:r>
            <w:r w:rsidR="001503DA" w:rsidRPr="008E1FA7">
              <w:t>’</w:t>
            </w:r>
            <w:r w:rsidRPr="008E1FA7">
              <w:t>injection de doses uniques de 40 ou 80 mg/kg de fenthion dans la cavité abdominale de souris femelles gravides conduisait à l</w:t>
            </w:r>
            <w:r w:rsidR="001503DA" w:rsidRPr="008E1FA7">
              <w:t>’</w:t>
            </w:r>
            <w:r w:rsidRPr="008E1FA7">
              <w:t>intoxication des fœtus en développement, en particulier si elles étaient administrées du dixième au douzième jour de gestation. On constatait significativement plus d</w:t>
            </w:r>
            <w:r w:rsidR="001503DA" w:rsidRPr="008E1FA7">
              <w:t>’</w:t>
            </w:r>
            <w:r w:rsidRPr="008E1FA7">
              <w:t>anomalies chez la descendance de souris femelles ayant reçu une dose de 40 mg/kg le huitième ou le dixième jour de gestation. Les fœtus étaient lésés principalement par des doses induisant une toxicité chez la mère. On</w:t>
            </w:r>
            <w:r w:rsidR="00EF2F3D" w:rsidRPr="008E1FA7">
              <w:t> </w:t>
            </w:r>
            <w:r w:rsidRPr="008E1FA7">
              <w:t>ne relevait pas d</w:t>
            </w:r>
            <w:r w:rsidR="001503DA" w:rsidRPr="008E1FA7">
              <w:t>’</w:t>
            </w:r>
            <w:r w:rsidRPr="008E1FA7">
              <w:t>influence sur la reproduction dans d</w:t>
            </w:r>
            <w:r w:rsidR="001503DA" w:rsidRPr="008E1FA7">
              <w:t>’</w:t>
            </w:r>
            <w:r w:rsidRPr="008E1FA7">
              <w:t xml:space="preserve">autres études sur trois générations chez la souris. Après administration de 0.5 mg/kg/j pendant 30 jours, on constatait une diminution nette de la fertilité des œufs pondus par les canards colverts ayant survécu. Après être passé dans le sang, le fenthion peut traverser le placenta (Extension </w:t>
            </w:r>
            <w:proofErr w:type="spellStart"/>
            <w:r w:rsidRPr="008E1FA7">
              <w:t>Toxicology</w:t>
            </w:r>
            <w:proofErr w:type="spellEnd"/>
            <w:r w:rsidRPr="008E1FA7">
              <w:t xml:space="preserve"> Network 1993).</w:t>
            </w:r>
          </w:p>
          <w:p w14:paraId="0B7DFE2C" w14:textId="0B62685E" w:rsidR="00371363" w:rsidRPr="008E1FA7" w:rsidRDefault="00371363" w:rsidP="00573457">
            <w:pPr>
              <w:spacing w:after="120"/>
            </w:pPr>
            <w:r w:rsidRPr="008E1FA7">
              <w:rPr>
                <w:bCs/>
              </w:rPr>
              <w:t>Effets tératogènes : On observait une diminution du poids corporel des fœtus</w:t>
            </w:r>
            <w:r w:rsidRPr="008E1FA7">
              <w:t>, mais pas d</w:t>
            </w:r>
            <w:r w:rsidR="001503DA" w:rsidRPr="008E1FA7">
              <w:t>’</w:t>
            </w:r>
            <w:r w:rsidRPr="008E1FA7">
              <w:t>anomalies chez la souris après administration par voie péritonéale de doses allant jusqu</w:t>
            </w:r>
            <w:r w:rsidR="001503DA" w:rsidRPr="008E1FA7">
              <w:t>’</w:t>
            </w:r>
            <w:r w:rsidRPr="008E1FA7">
              <w:t>à 80 mg/kg de fenthion, en un jour ou sur trois jours, pendant la phase de la gestation où les organes se forment. D</w:t>
            </w:r>
            <w:r w:rsidR="001503DA" w:rsidRPr="008E1FA7">
              <w:t>’</w:t>
            </w:r>
            <w:r w:rsidRPr="008E1FA7">
              <w:t>autres essais chez la souris et le rat n</w:t>
            </w:r>
            <w:r w:rsidR="001503DA" w:rsidRPr="008E1FA7">
              <w:t>’</w:t>
            </w:r>
            <w:r w:rsidRPr="008E1FA7">
              <w:t>ont montré aucun effet tératogène lié au fenthion. Aucun effet tératogène n</w:t>
            </w:r>
            <w:r w:rsidR="001503DA" w:rsidRPr="008E1FA7">
              <w:t>’</w:t>
            </w:r>
            <w:r w:rsidRPr="008E1FA7">
              <w:t>a été observé chez cinq générations de souris ayant bu de l</w:t>
            </w:r>
            <w:r w:rsidR="001503DA" w:rsidRPr="008E1FA7">
              <w:t>’</w:t>
            </w:r>
            <w:r w:rsidRPr="008E1FA7">
              <w:t xml:space="preserve">eau contenant 60 ppm de fenthion (Extension </w:t>
            </w:r>
            <w:proofErr w:type="spellStart"/>
            <w:r w:rsidRPr="008E1FA7">
              <w:t>Toxicology</w:t>
            </w:r>
            <w:proofErr w:type="spellEnd"/>
            <w:r w:rsidRPr="008E1FA7">
              <w:t xml:space="preserve"> Network 1993).</w:t>
            </w:r>
          </w:p>
          <w:p w14:paraId="7B8CA1A4" w14:textId="5473208C" w:rsidR="00371363" w:rsidRPr="008E1FA7" w:rsidRDefault="00371363" w:rsidP="00573457">
            <w:pPr>
              <w:spacing w:after="120"/>
            </w:pPr>
            <w:r w:rsidRPr="008E1FA7">
              <w:t>Le fenthion n</w:t>
            </w:r>
            <w:r w:rsidR="001503DA" w:rsidRPr="008E1FA7">
              <w:t>’</w:t>
            </w:r>
            <w:r w:rsidRPr="008E1FA7">
              <w:t>a induit aucune malformation majeure ni aucun effet significatif sur la</w:t>
            </w:r>
            <w:r w:rsidR="00F40C92" w:rsidRPr="008E1FA7">
              <w:t> </w:t>
            </w:r>
            <w:r w:rsidRPr="008E1FA7">
              <w:t>plupart des paramètres de la reproduction chez les animaux du groupe expérimental. La seule étude sur la reproduction menée chez le rat rapportait des</w:t>
            </w:r>
            <w:r w:rsidR="00F40C92" w:rsidRPr="008E1FA7">
              <w:t> </w:t>
            </w:r>
            <w:r w:rsidRPr="008E1FA7">
              <w:t>modifications épididymaires chez les parents mâles et une inhibition des</w:t>
            </w:r>
            <w:r w:rsidR="00F40C92" w:rsidRPr="008E1FA7">
              <w:t> </w:t>
            </w:r>
            <w:r w:rsidRPr="008E1FA7">
              <w:t>cholinestérases érythrocytaire et plasmatique chez les parents des deux sexes à des</w:t>
            </w:r>
            <w:r w:rsidR="00F40C92" w:rsidRPr="008E1FA7">
              <w:t> </w:t>
            </w:r>
            <w:r w:rsidRPr="008E1FA7">
              <w:t>doses élevées. Cependant, l</w:t>
            </w:r>
            <w:r w:rsidR="001503DA" w:rsidRPr="008E1FA7">
              <w:t>’</w:t>
            </w:r>
            <w:r w:rsidRPr="008E1FA7">
              <w:t xml:space="preserve">étude a clairement fait ressortir une DSEO égale à 1.16 mg/kg p.c./j pour les paramètres de la reproduction et la </w:t>
            </w:r>
            <w:proofErr w:type="spellStart"/>
            <w:r w:rsidRPr="008E1FA7">
              <w:t>foetotoxicité</w:t>
            </w:r>
            <w:proofErr w:type="spellEnd"/>
            <w:r w:rsidRPr="008E1FA7">
              <w:t>. Les</w:t>
            </w:r>
            <w:r w:rsidR="00F40C92" w:rsidRPr="008E1FA7">
              <w:t> </w:t>
            </w:r>
            <w:r w:rsidRPr="008E1FA7">
              <w:t>études sur le développement relatives au fenthion menées chez le rat et le lapin n</w:t>
            </w:r>
            <w:r w:rsidR="001503DA" w:rsidRPr="008E1FA7">
              <w:t>’</w:t>
            </w:r>
            <w:r w:rsidRPr="008E1FA7">
              <w:t>ont pas montré d</w:t>
            </w:r>
            <w:r w:rsidR="001503DA" w:rsidRPr="008E1FA7">
              <w:t>’</w:t>
            </w:r>
            <w:r w:rsidRPr="008E1FA7">
              <w:t>effets tératogènes et ont établi l</w:t>
            </w:r>
            <w:r w:rsidR="001503DA" w:rsidRPr="008E1FA7">
              <w:t>’</w:t>
            </w:r>
            <w:r w:rsidRPr="008E1FA7">
              <w:t>existence d</w:t>
            </w:r>
            <w:r w:rsidR="001503DA" w:rsidRPr="008E1FA7">
              <w:t>’</w:t>
            </w:r>
            <w:r w:rsidRPr="008E1FA7">
              <w:t xml:space="preserve">une </w:t>
            </w:r>
            <w:proofErr w:type="spellStart"/>
            <w:r w:rsidRPr="008E1FA7">
              <w:t>foetotoxicité</w:t>
            </w:r>
            <w:proofErr w:type="spellEnd"/>
            <w:r w:rsidRPr="008E1FA7">
              <w:t xml:space="preserve"> seulement à des doses toxiques pour la mère; on constatait une inhibition de l</w:t>
            </w:r>
            <w:r w:rsidR="001503DA" w:rsidRPr="008E1FA7">
              <w:t>’</w:t>
            </w:r>
            <w:r w:rsidRPr="008E1FA7">
              <w:t>activité de la cholinestérase cérébrale chez la mère mais pas chez le fœtus (APVMA 2012a).</w:t>
            </w:r>
          </w:p>
        </w:tc>
      </w:tr>
      <w:tr w:rsidR="00371363" w:rsidRPr="008E1FA7" w14:paraId="463BAE72"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7F0A390D" w14:textId="77777777" w:rsidR="00371363" w:rsidRPr="008E1FA7" w:rsidRDefault="00371363" w:rsidP="00371363"/>
        </w:tc>
      </w:tr>
      <w:tr w:rsidR="00371363" w:rsidRPr="008E1FA7" w14:paraId="05AA7220"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7AA015AA" w14:textId="77777777" w:rsidR="00371363" w:rsidRPr="008E1FA7" w:rsidRDefault="00371363" w:rsidP="00371363">
            <w:pPr>
              <w:rPr>
                <w:b/>
              </w:rPr>
            </w:pPr>
            <w:r w:rsidRPr="008E1FA7">
              <w:rPr>
                <w:b/>
              </w:rPr>
              <w:t>2.2.6</w:t>
            </w:r>
          </w:p>
        </w:tc>
        <w:tc>
          <w:tcPr>
            <w:tcW w:w="1719" w:type="dxa"/>
            <w:gridSpan w:val="2"/>
            <w:tcBorders>
              <w:top w:val="nil"/>
              <w:left w:val="nil"/>
              <w:bottom w:val="nil"/>
              <w:right w:val="nil"/>
            </w:tcBorders>
            <w:shd w:val="clear" w:color="auto" w:fill="auto"/>
          </w:tcPr>
          <w:p w14:paraId="6A6C1B2F" w14:textId="77777777" w:rsidR="00371363" w:rsidRPr="008E1FA7" w:rsidRDefault="00371363" w:rsidP="00371363">
            <w:pPr>
              <w:rPr>
                <w:b/>
                <w:bCs/>
              </w:rPr>
            </w:pPr>
            <w:r w:rsidRPr="008E1FA7">
              <w:rPr>
                <w:b/>
                <w:bCs/>
              </w:rPr>
              <w:t>Neurotoxicité/ neurotoxicité retardée, études spéciales le cas échéant</w:t>
            </w:r>
          </w:p>
        </w:tc>
        <w:tc>
          <w:tcPr>
            <w:tcW w:w="6958" w:type="dxa"/>
            <w:tcBorders>
              <w:top w:val="nil"/>
              <w:left w:val="nil"/>
              <w:bottom w:val="nil"/>
              <w:right w:val="nil"/>
            </w:tcBorders>
            <w:shd w:val="clear" w:color="auto" w:fill="auto"/>
          </w:tcPr>
          <w:p w14:paraId="505BC0CD" w14:textId="77777777" w:rsidR="00371363" w:rsidRPr="008E1FA7" w:rsidRDefault="00371363" w:rsidP="00573457">
            <w:pPr>
              <w:spacing w:after="120"/>
            </w:pPr>
            <w:r w:rsidRPr="008E1FA7">
              <w:t xml:space="preserve">Neurotoxicité </w:t>
            </w:r>
            <w:proofErr w:type="spellStart"/>
            <w:r w:rsidRPr="008E1FA7">
              <w:t>sub</w:t>
            </w:r>
            <w:proofErr w:type="spellEnd"/>
            <w:r w:rsidRPr="008E1FA7">
              <w:noBreakHyphen/>
              <w:t>chronique retardée (poule, 3 mois) : absence de preuve de neuropathie retardée induite par un composé organophosphoré (FAO 2004).</w:t>
            </w:r>
          </w:p>
          <w:p w14:paraId="6B00536F" w14:textId="6F0C938E" w:rsidR="00371363" w:rsidRPr="008E1FA7" w:rsidRDefault="00371363" w:rsidP="00573457">
            <w:pPr>
              <w:spacing w:after="120"/>
            </w:pPr>
            <w:r w:rsidRPr="008E1FA7">
              <w:t>Le fenthion ne devrait pas poser de risque de neurotoxicité retardée pour l</w:t>
            </w:r>
            <w:r w:rsidR="001503DA" w:rsidRPr="008E1FA7">
              <w:t>’</w:t>
            </w:r>
            <w:r w:rsidRPr="008E1FA7">
              <w:t>être humain (UE 2005).</w:t>
            </w:r>
          </w:p>
          <w:p w14:paraId="068DB6CC" w14:textId="2C718039" w:rsidR="00371363" w:rsidRPr="008E1FA7" w:rsidRDefault="00371363" w:rsidP="00573457">
            <w:pPr>
              <w:spacing w:after="120"/>
            </w:pPr>
            <w:r w:rsidRPr="008E1FA7">
              <w:t>Les études menées en administrant par voie orale ou cutanée des doses uniques supérieures ou égales à la DL</w:t>
            </w:r>
            <w:r w:rsidRPr="008E1FA7">
              <w:rPr>
                <w:vertAlign w:val="subscript"/>
              </w:rPr>
              <w:t>50</w:t>
            </w:r>
            <w:r w:rsidRPr="008E1FA7">
              <w:t xml:space="preserve"> ne fournissent pas de preuve que le fenthion induirait une neuropathie retardée ou une inhibition significative de l</w:t>
            </w:r>
            <w:r w:rsidR="001503DA" w:rsidRPr="008E1FA7">
              <w:t>’</w:t>
            </w:r>
            <w:r w:rsidRPr="008E1FA7">
              <w:t>estérase caractéristique d</w:t>
            </w:r>
            <w:r w:rsidR="001503DA" w:rsidRPr="008E1FA7">
              <w:t>’</w:t>
            </w:r>
            <w:r w:rsidRPr="008E1FA7">
              <w:t>une neurotoxicité. Comme prévu, on observait une inhibition de l</w:t>
            </w:r>
            <w:r w:rsidR="001503DA" w:rsidRPr="008E1FA7">
              <w:t>’</w:t>
            </w:r>
            <w:r w:rsidRPr="008E1FA7">
              <w:t xml:space="preserve">activité </w:t>
            </w:r>
            <w:proofErr w:type="spellStart"/>
            <w:r w:rsidRPr="008E1FA7">
              <w:t>cholinestérasique</w:t>
            </w:r>
            <w:proofErr w:type="spellEnd"/>
            <w:r w:rsidRPr="008E1FA7">
              <w:t>, fonction de la dose et réversible, mais cet effet ne s</w:t>
            </w:r>
            <w:r w:rsidR="001503DA" w:rsidRPr="008E1FA7">
              <w:t>’</w:t>
            </w:r>
            <w:r w:rsidRPr="008E1FA7">
              <w:t>accompagnait d</w:t>
            </w:r>
            <w:r w:rsidR="001503DA" w:rsidRPr="008E1FA7">
              <w:t>’</w:t>
            </w:r>
            <w:r w:rsidRPr="008E1FA7">
              <w:t>aucune modification microscopique des tissus nerveux, y compris chez les</w:t>
            </w:r>
            <w:r w:rsidR="00F40C92" w:rsidRPr="008E1FA7">
              <w:t> </w:t>
            </w:r>
            <w:r w:rsidRPr="008E1FA7">
              <w:t>animaux présentant des signes cliniques manifestes. Des troubles de l</w:t>
            </w:r>
            <w:r w:rsidR="001503DA" w:rsidRPr="008E1FA7">
              <w:t>’</w:t>
            </w:r>
            <w:r w:rsidRPr="008E1FA7">
              <w:t>activité motrice ont parfois été rapportés aux doses plus élevées, mais cet effet était transitoire et réversible (APVMA 2012a).</w:t>
            </w:r>
          </w:p>
        </w:tc>
      </w:tr>
      <w:tr w:rsidR="00371363" w:rsidRPr="008E1FA7" w14:paraId="6068BA6F"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76E8EA12" w14:textId="77777777" w:rsidR="00371363" w:rsidRPr="008E1FA7" w:rsidRDefault="00371363" w:rsidP="00371363"/>
        </w:tc>
      </w:tr>
      <w:tr w:rsidR="00371363" w:rsidRPr="008E1FA7" w14:paraId="1F27852A"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2CC524F1" w14:textId="77777777" w:rsidR="00371363" w:rsidRPr="008E1FA7" w:rsidRDefault="00371363" w:rsidP="00371363">
            <w:pPr>
              <w:spacing w:after="60"/>
              <w:rPr>
                <w:b/>
                <w:bCs/>
              </w:rPr>
            </w:pPr>
            <w:r w:rsidRPr="008E1FA7">
              <w:rPr>
                <w:b/>
                <w:bCs/>
              </w:rPr>
              <w:t>2.2.7</w:t>
            </w:r>
          </w:p>
        </w:tc>
        <w:tc>
          <w:tcPr>
            <w:tcW w:w="1719" w:type="dxa"/>
            <w:gridSpan w:val="2"/>
            <w:tcBorders>
              <w:top w:val="nil"/>
              <w:left w:val="nil"/>
              <w:bottom w:val="nil"/>
              <w:right w:val="nil"/>
            </w:tcBorders>
            <w:shd w:val="clear" w:color="auto" w:fill="auto"/>
          </w:tcPr>
          <w:p w14:paraId="22270B9E" w14:textId="47075A70" w:rsidR="00371363" w:rsidRPr="008E1FA7" w:rsidRDefault="00371363" w:rsidP="00371363">
            <w:pPr>
              <w:spacing w:after="60"/>
              <w:rPr>
                <w:b/>
                <w:bCs/>
              </w:rPr>
            </w:pPr>
            <w:r w:rsidRPr="008E1FA7">
              <w:rPr>
                <w:b/>
                <w:bCs/>
              </w:rPr>
              <w:t>Résumé de la</w:t>
            </w:r>
            <w:r w:rsidR="001C7324" w:rsidRPr="008E1FA7">
              <w:rPr>
                <w:b/>
                <w:bCs/>
              </w:rPr>
              <w:t> </w:t>
            </w:r>
            <w:r w:rsidRPr="008E1FA7">
              <w:rPr>
                <w:b/>
                <w:bCs/>
              </w:rPr>
              <w:t>toxicité pour les mammifères et évaluation globale</w:t>
            </w:r>
          </w:p>
        </w:tc>
        <w:tc>
          <w:tcPr>
            <w:tcW w:w="6958" w:type="dxa"/>
            <w:tcBorders>
              <w:top w:val="nil"/>
              <w:left w:val="nil"/>
              <w:bottom w:val="nil"/>
              <w:right w:val="nil"/>
            </w:tcBorders>
            <w:shd w:val="clear" w:color="auto" w:fill="auto"/>
          </w:tcPr>
          <w:p w14:paraId="4EF56C9D" w14:textId="46D1406F" w:rsidR="00371363" w:rsidRPr="008E1FA7" w:rsidRDefault="00371363" w:rsidP="00573457">
            <w:pPr>
              <w:spacing w:after="120"/>
              <w:rPr>
                <w:iCs/>
                <w:snapToGrid w:val="0"/>
              </w:rPr>
            </w:pPr>
            <w:r w:rsidRPr="008E1FA7">
              <w:t>Le fenthion est modérément toxique par ingestion, inhalation ou absorption à travers la peau. Il touche le système nerveux central, le système cardiovasculaire et le</w:t>
            </w:r>
            <w:r w:rsidR="00F40C92" w:rsidRPr="008E1FA7">
              <w:t> </w:t>
            </w:r>
            <w:r w:rsidRPr="008E1FA7">
              <w:t>système respiratoire et peut provoquer une irritation des yeux et des muqueuses. À</w:t>
            </w:r>
            <w:r w:rsidR="00F40C92" w:rsidRPr="008E1FA7">
              <w:t> </w:t>
            </w:r>
            <w:r w:rsidRPr="008E1FA7">
              <w:t>l</w:t>
            </w:r>
            <w:r w:rsidR="001503DA" w:rsidRPr="008E1FA7">
              <w:t>’</w:t>
            </w:r>
            <w:r w:rsidRPr="008E1FA7">
              <w:t>instar de tous les composés organophosphorés, le fenthion est aisément absorbé par contact avec la peau. Les pesticides organophosphorés sont des anticholinestérasiques et hautement toxiques par toutes les voies d</w:t>
            </w:r>
            <w:r w:rsidR="001503DA" w:rsidRPr="008E1FA7">
              <w:t>’</w:t>
            </w:r>
            <w:r w:rsidRPr="008E1FA7">
              <w:t xml:space="preserve">exposition. </w:t>
            </w:r>
            <w:r w:rsidRPr="008E1FA7">
              <w:rPr>
                <w:iCs/>
                <w:snapToGrid w:val="0"/>
              </w:rPr>
              <w:t>(</w:t>
            </w:r>
            <w:r w:rsidRPr="008E1FA7">
              <w:t xml:space="preserve">Extension </w:t>
            </w:r>
            <w:proofErr w:type="spellStart"/>
            <w:r w:rsidRPr="008E1FA7">
              <w:t>Toxicology</w:t>
            </w:r>
            <w:proofErr w:type="spellEnd"/>
            <w:r w:rsidRPr="008E1FA7">
              <w:t xml:space="preserve"> Network 1993</w:t>
            </w:r>
            <w:r w:rsidRPr="008E1FA7">
              <w:rPr>
                <w:iCs/>
                <w:snapToGrid w:val="0"/>
              </w:rPr>
              <w:t xml:space="preserve">). </w:t>
            </w:r>
          </w:p>
          <w:p w14:paraId="38549010" w14:textId="77777777" w:rsidR="00371363" w:rsidRPr="008E1FA7" w:rsidRDefault="00371363" w:rsidP="00573457">
            <w:pPr>
              <w:spacing w:after="120"/>
            </w:pPr>
            <w:r w:rsidRPr="008E1FA7">
              <w:rPr>
                <w:iCs/>
                <w:snapToGrid w:val="0"/>
              </w:rPr>
              <w:t>Le potentiel de génotoxicité, tératogénicité/toxicité pour la reproduction et carcinogénicité est faible.</w:t>
            </w:r>
          </w:p>
        </w:tc>
      </w:tr>
      <w:tr w:rsidR="00371363" w:rsidRPr="008E1FA7" w14:paraId="2309B94E"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4A2C5D72" w14:textId="77777777" w:rsidR="00371363" w:rsidRPr="008E1FA7" w:rsidRDefault="00371363" w:rsidP="00371363"/>
        </w:tc>
      </w:tr>
      <w:tr w:rsidR="00371363" w:rsidRPr="008E1FA7" w14:paraId="350FFFB6"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jc w:val="right"/>
        </w:trPr>
        <w:tc>
          <w:tcPr>
            <w:tcW w:w="716" w:type="dxa"/>
            <w:gridSpan w:val="2"/>
            <w:tcBorders>
              <w:top w:val="nil"/>
              <w:left w:val="nil"/>
              <w:bottom w:val="single" w:sz="4" w:space="0" w:color="auto"/>
              <w:right w:val="nil"/>
            </w:tcBorders>
            <w:shd w:val="clear" w:color="auto" w:fill="auto"/>
          </w:tcPr>
          <w:p w14:paraId="4716A579" w14:textId="77777777" w:rsidR="00371363" w:rsidRPr="008E1FA7" w:rsidRDefault="00371363" w:rsidP="00371363">
            <w:pPr>
              <w:keepNext/>
              <w:widowControl w:val="0"/>
              <w:spacing w:before="120" w:after="120"/>
              <w:rPr>
                <w:b/>
                <w:szCs w:val="24"/>
              </w:rPr>
            </w:pPr>
            <w:r w:rsidRPr="008E1FA7">
              <w:rPr>
                <w:b/>
                <w:szCs w:val="24"/>
              </w:rPr>
              <w:t>3</w:t>
            </w:r>
          </w:p>
        </w:tc>
        <w:tc>
          <w:tcPr>
            <w:tcW w:w="8677" w:type="dxa"/>
            <w:gridSpan w:val="3"/>
            <w:tcBorders>
              <w:top w:val="nil"/>
              <w:left w:val="nil"/>
              <w:bottom w:val="single" w:sz="4" w:space="0" w:color="auto"/>
              <w:right w:val="nil"/>
            </w:tcBorders>
            <w:shd w:val="clear" w:color="auto" w:fill="auto"/>
          </w:tcPr>
          <w:p w14:paraId="4AD6FF61" w14:textId="77777777" w:rsidR="00371363" w:rsidRPr="008E1FA7" w:rsidRDefault="00371363" w:rsidP="00371363">
            <w:pPr>
              <w:widowControl w:val="0"/>
              <w:spacing w:before="120" w:after="120"/>
              <w:rPr>
                <w:b/>
                <w:szCs w:val="24"/>
              </w:rPr>
            </w:pPr>
            <w:r w:rsidRPr="008E1FA7">
              <w:rPr>
                <w:b/>
                <w:szCs w:val="24"/>
              </w:rPr>
              <w:t>Exposition humaine/évaluation des risques</w:t>
            </w:r>
          </w:p>
        </w:tc>
      </w:tr>
      <w:tr w:rsidR="00371363" w:rsidRPr="008E1FA7" w14:paraId="19D41313"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single" w:sz="4" w:space="0" w:color="auto"/>
              <w:left w:val="nil"/>
              <w:bottom w:val="nil"/>
              <w:right w:val="nil"/>
            </w:tcBorders>
            <w:shd w:val="clear" w:color="auto" w:fill="auto"/>
          </w:tcPr>
          <w:p w14:paraId="41D1A9EE" w14:textId="77777777" w:rsidR="00371363" w:rsidRPr="008E1FA7" w:rsidRDefault="00371363" w:rsidP="00371363">
            <w:pPr>
              <w:spacing w:after="60"/>
              <w:rPr>
                <w:b/>
                <w:bCs/>
              </w:rPr>
            </w:pPr>
            <w:r w:rsidRPr="008E1FA7">
              <w:rPr>
                <w:b/>
                <w:bCs/>
              </w:rPr>
              <w:t>3.1</w:t>
            </w:r>
          </w:p>
        </w:tc>
        <w:tc>
          <w:tcPr>
            <w:tcW w:w="1719" w:type="dxa"/>
            <w:gridSpan w:val="2"/>
            <w:tcBorders>
              <w:top w:val="single" w:sz="4" w:space="0" w:color="auto"/>
              <w:left w:val="nil"/>
              <w:bottom w:val="nil"/>
              <w:right w:val="nil"/>
            </w:tcBorders>
            <w:shd w:val="clear" w:color="auto" w:fill="auto"/>
          </w:tcPr>
          <w:p w14:paraId="2370EDDF" w14:textId="77777777" w:rsidR="00371363" w:rsidRPr="008E1FA7" w:rsidRDefault="00371363" w:rsidP="00371363">
            <w:pPr>
              <w:spacing w:before="20" w:after="20"/>
              <w:outlineLvl w:val="2"/>
              <w:rPr>
                <w:b/>
                <w:bCs/>
              </w:rPr>
            </w:pPr>
            <w:r w:rsidRPr="008E1FA7">
              <w:rPr>
                <w:b/>
                <w:bCs/>
              </w:rPr>
              <w:t>Alimentation</w:t>
            </w:r>
          </w:p>
        </w:tc>
        <w:tc>
          <w:tcPr>
            <w:tcW w:w="6958" w:type="dxa"/>
            <w:tcBorders>
              <w:top w:val="single" w:sz="4" w:space="0" w:color="auto"/>
              <w:left w:val="nil"/>
              <w:bottom w:val="nil"/>
              <w:right w:val="nil"/>
            </w:tcBorders>
            <w:shd w:val="clear" w:color="auto" w:fill="auto"/>
          </w:tcPr>
          <w:p w14:paraId="3E6258C2" w14:textId="4B3398E2" w:rsidR="00371363" w:rsidRPr="008E1FA7" w:rsidRDefault="00371363" w:rsidP="00573457">
            <w:pPr>
              <w:spacing w:after="120"/>
            </w:pPr>
            <w:r w:rsidRPr="008E1FA7">
              <w:t>La vingtième enquête australienne sur l</w:t>
            </w:r>
            <w:r w:rsidR="001503DA" w:rsidRPr="008E1FA7">
              <w:t>’</w:t>
            </w:r>
            <w:r w:rsidRPr="008E1FA7">
              <w:t>alimentation totale (</w:t>
            </w:r>
            <w:proofErr w:type="spellStart"/>
            <w:r w:rsidRPr="008E1FA7">
              <w:t>Australian</w:t>
            </w:r>
            <w:proofErr w:type="spellEnd"/>
            <w:r w:rsidRPr="008E1FA7">
              <w:t xml:space="preserve"> Total Diet Survey, ATDS) (2003) menée sous l</w:t>
            </w:r>
            <w:r w:rsidR="001503DA" w:rsidRPr="008E1FA7">
              <w:t>’</w:t>
            </w:r>
            <w:r w:rsidRPr="008E1FA7">
              <w:t xml:space="preserve">égide de Food Standards Australia New </w:t>
            </w:r>
            <w:proofErr w:type="spellStart"/>
            <w:r w:rsidRPr="008E1FA7">
              <w:t>Zealand</w:t>
            </w:r>
            <w:proofErr w:type="spellEnd"/>
            <w:r w:rsidRPr="008E1FA7">
              <w:t xml:space="preserve"> (FSANZ) évaluait la quantité médiane de résidus de fenthion ingérée par le</w:t>
            </w:r>
            <w:r w:rsidR="00F40C92" w:rsidRPr="008E1FA7">
              <w:t> </w:t>
            </w:r>
            <w:r w:rsidRPr="008E1FA7">
              <w:t>biais de l</w:t>
            </w:r>
            <w:r w:rsidR="001503DA" w:rsidRPr="008E1FA7">
              <w:t>’</w:t>
            </w:r>
            <w:r w:rsidRPr="008E1FA7">
              <w:t>alimentation à 0,0022 µg/kg p.c./j chez les adultes des deux sexes, 0,0025 µg/kg p.c./j chez les garçons, 0,0023 µg/kg p.c./j chez les filles, 0,0033 µg/kg p.c./j chez les enfants en bas âge et 0,0025 µg/kg p.c./j chez les</w:t>
            </w:r>
            <w:r w:rsidR="00F40C92" w:rsidRPr="008E1FA7">
              <w:t> </w:t>
            </w:r>
            <w:r w:rsidRPr="008E1FA7">
              <w:t>nourrissons (APVMA 2012a).</w:t>
            </w:r>
          </w:p>
          <w:p w14:paraId="5DF3CEA9" w14:textId="66E80379" w:rsidR="00371363" w:rsidRPr="008E1FA7" w:rsidRDefault="00371363" w:rsidP="00573457">
            <w:pPr>
              <w:autoSpaceDE w:val="0"/>
              <w:autoSpaceDN w:val="0"/>
              <w:adjustRightInd w:val="0"/>
              <w:spacing w:after="120"/>
            </w:pPr>
            <w:r w:rsidRPr="008E1FA7">
              <w:t>En général, si le risque alimentaire estimé reste inférieure à 100 % de la dose aiguë ou chronique ajustée à la population, il n</w:t>
            </w:r>
            <w:r w:rsidR="001503DA" w:rsidRPr="008E1FA7">
              <w:t>’</w:t>
            </w:r>
            <w:r w:rsidRPr="008E1FA7">
              <w:t>est pas jugé préoccupant selon les critères de l</w:t>
            </w:r>
            <w:r w:rsidR="001503DA" w:rsidRPr="008E1FA7">
              <w:t>’</w:t>
            </w:r>
            <w:r w:rsidRPr="008E1FA7">
              <w:t>Agence américaine pour la protection de l</w:t>
            </w:r>
            <w:r w:rsidR="001503DA" w:rsidRPr="008E1FA7">
              <w:t>’</w:t>
            </w:r>
            <w:r w:rsidRPr="008E1FA7">
              <w:t>environnement (US EPA). Les</w:t>
            </w:r>
            <w:r w:rsidR="00F40C92" w:rsidRPr="008E1FA7">
              <w:t> </w:t>
            </w:r>
            <w:r w:rsidRPr="008E1FA7">
              <w:t>risques alimentaires aigu et chronique associés au fenthion dépassent le seuil de risque préoccupant de l</w:t>
            </w:r>
            <w:r w:rsidR="001503DA" w:rsidRPr="008E1FA7">
              <w:t>’</w:t>
            </w:r>
            <w:r w:rsidRPr="008E1FA7">
              <w:t>US EPA pour la population générale des États</w:t>
            </w:r>
            <w:r w:rsidRPr="008E1FA7">
              <w:noBreakHyphen/>
              <w:t>Unis et pour divers sous</w:t>
            </w:r>
            <w:r w:rsidRPr="008E1FA7">
              <w:noBreakHyphen/>
              <w:t>groupes, notamment les nourrissons et les enfants. Les sous</w:t>
            </w:r>
            <w:r w:rsidRPr="008E1FA7">
              <w:noBreakHyphen/>
              <w:t>groupes les</w:t>
            </w:r>
            <w:r w:rsidR="00F40C92" w:rsidRPr="008E1FA7">
              <w:t> </w:t>
            </w:r>
            <w:r w:rsidRPr="008E1FA7">
              <w:t>plus hautement exposés sont les enfants âgés de 1</w:t>
            </w:r>
            <w:r w:rsidRPr="008E1FA7">
              <w:noBreakHyphen/>
              <w:t>6 ans, qui ingèrent environ 800 % de la dose aiguë ajustée à la population (au 99,9</w:t>
            </w:r>
            <w:r w:rsidRPr="008E1FA7">
              <w:rPr>
                <w:vertAlign w:val="superscript"/>
              </w:rPr>
              <w:t>e</w:t>
            </w:r>
            <w:r w:rsidRPr="008E1FA7">
              <w:t> centile d</w:t>
            </w:r>
            <w:r w:rsidR="001503DA" w:rsidRPr="008E1FA7">
              <w:t>’</w:t>
            </w:r>
            <w:r w:rsidRPr="008E1FA7">
              <w:t>exposition) et 270 % de la dose chronique ajustée à la population.</w:t>
            </w:r>
          </w:p>
          <w:p w14:paraId="6D4C0E78" w14:textId="78107D32" w:rsidR="00371363" w:rsidRPr="008E1FA7" w:rsidRDefault="00371363" w:rsidP="00573457">
            <w:pPr>
              <w:spacing w:after="120"/>
            </w:pPr>
            <w:r w:rsidRPr="008E1FA7">
              <w:t>Dans l</w:t>
            </w:r>
            <w:r w:rsidR="001503DA" w:rsidRPr="008E1FA7">
              <w:t>’</w:t>
            </w:r>
            <w:r w:rsidRPr="008E1FA7">
              <w:t>étude chronique, à environ 60 % de la dose chronique ajustée à la population, les nourrissons constituaient le seul sous</w:t>
            </w:r>
            <w:r w:rsidRPr="008E1FA7">
              <w:noBreakHyphen/>
              <w:t>groupe pour lequel le risque alimentaire chronique restait inférieur au seuil de risque préoccupant. L</w:t>
            </w:r>
            <w:r w:rsidR="001503DA" w:rsidRPr="008E1FA7">
              <w:t>’</w:t>
            </w:r>
            <w:r w:rsidRPr="008E1FA7">
              <w:t>étude aiguë relative au ratio d</w:t>
            </w:r>
            <w:r w:rsidR="001503DA" w:rsidRPr="008E1FA7">
              <w:t>’</w:t>
            </w:r>
            <w:r w:rsidRPr="008E1FA7">
              <w:t>exposition critique et l</w:t>
            </w:r>
            <w:r w:rsidR="001503DA" w:rsidRPr="008E1FA7">
              <w:t>’</w:t>
            </w:r>
            <w:r w:rsidRPr="008E1FA7">
              <w:t>étude chronique sur les produits alimentaires critiques démontrent que le risque alimentaire estimé est largement dû aux résidus potentiels dans la viande de bœuf et que le lait reste un contributeur mineur aux risques alimentaires aigu et chronique (US EPA 2001).</w:t>
            </w:r>
          </w:p>
        </w:tc>
      </w:tr>
      <w:tr w:rsidR="00371363" w:rsidRPr="008E1FA7" w14:paraId="445B2A30"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77EC6E94" w14:textId="77777777" w:rsidR="00371363" w:rsidRPr="008E1FA7" w:rsidRDefault="00371363" w:rsidP="00371363"/>
        </w:tc>
      </w:tr>
      <w:tr w:rsidR="00371363" w:rsidRPr="008E1FA7" w14:paraId="01F9A7F2"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786E482E" w14:textId="77777777" w:rsidR="00371363" w:rsidRPr="008E1FA7" w:rsidRDefault="00371363" w:rsidP="00371363">
            <w:pPr>
              <w:spacing w:after="60"/>
              <w:rPr>
                <w:b/>
                <w:bCs/>
              </w:rPr>
            </w:pPr>
            <w:r w:rsidRPr="008E1FA7">
              <w:rPr>
                <w:b/>
                <w:bCs/>
              </w:rPr>
              <w:t>3.2</w:t>
            </w:r>
          </w:p>
        </w:tc>
        <w:tc>
          <w:tcPr>
            <w:tcW w:w="1719" w:type="dxa"/>
            <w:gridSpan w:val="2"/>
            <w:tcBorders>
              <w:top w:val="nil"/>
              <w:left w:val="nil"/>
              <w:bottom w:val="nil"/>
              <w:right w:val="nil"/>
            </w:tcBorders>
            <w:shd w:val="clear" w:color="auto" w:fill="auto"/>
          </w:tcPr>
          <w:p w14:paraId="39D3F742" w14:textId="77777777" w:rsidR="00371363" w:rsidRPr="008E1FA7" w:rsidRDefault="00371363" w:rsidP="00371363">
            <w:pPr>
              <w:spacing w:before="20" w:after="20"/>
              <w:ind w:right="-108"/>
              <w:outlineLvl w:val="2"/>
              <w:rPr>
                <w:b/>
                <w:bCs/>
              </w:rPr>
            </w:pPr>
            <w:r w:rsidRPr="008E1FA7">
              <w:rPr>
                <w:b/>
                <w:bCs/>
              </w:rPr>
              <w:t>Air</w:t>
            </w:r>
          </w:p>
        </w:tc>
        <w:tc>
          <w:tcPr>
            <w:tcW w:w="6958" w:type="dxa"/>
            <w:tcBorders>
              <w:top w:val="nil"/>
              <w:left w:val="nil"/>
              <w:bottom w:val="nil"/>
              <w:right w:val="nil"/>
            </w:tcBorders>
            <w:shd w:val="clear" w:color="auto" w:fill="auto"/>
          </w:tcPr>
          <w:p w14:paraId="13C18435" w14:textId="77777777" w:rsidR="00371363" w:rsidRPr="008E1FA7" w:rsidRDefault="00371363" w:rsidP="00371363">
            <w:pPr>
              <w:spacing w:after="40"/>
            </w:pPr>
            <w:r w:rsidRPr="008E1FA7">
              <w:t>-</w:t>
            </w:r>
          </w:p>
        </w:tc>
      </w:tr>
      <w:tr w:rsidR="00371363" w:rsidRPr="008E1FA7" w14:paraId="34EA7E82"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61AC955A" w14:textId="77777777" w:rsidR="00371363" w:rsidRPr="008E1FA7" w:rsidRDefault="00371363" w:rsidP="00371363"/>
        </w:tc>
      </w:tr>
      <w:tr w:rsidR="00371363" w:rsidRPr="008E1FA7" w14:paraId="10D4B462"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2303FF6B" w14:textId="77777777" w:rsidR="00371363" w:rsidRPr="008E1FA7" w:rsidRDefault="00371363" w:rsidP="00371363">
            <w:pPr>
              <w:spacing w:after="60"/>
              <w:rPr>
                <w:b/>
                <w:bCs/>
              </w:rPr>
            </w:pPr>
            <w:r w:rsidRPr="008E1FA7">
              <w:rPr>
                <w:b/>
                <w:bCs/>
              </w:rPr>
              <w:t>3.3</w:t>
            </w:r>
          </w:p>
        </w:tc>
        <w:tc>
          <w:tcPr>
            <w:tcW w:w="1719" w:type="dxa"/>
            <w:gridSpan w:val="2"/>
            <w:tcBorders>
              <w:top w:val="nil"/>
              <w:left w:val="nil"/>
              <w:bottom w:val="nil"/>
              <w:right w:val="nil"/>
            </w:tcBorders>
            <w:shd w:val="clear" w:color="auto" w:fill="auto"/>
          </w:tcPr>
          <w:p w14:paraId="6B6A7C91" w14:textId="77777777" w:rsidR="00371363" w:rsidRPr="008E1FA7" w:rsidRDefault="00371363" w:rsidP="00371363">
            <w:pPr>
              <w:spacing w:before="20" w:after="20"/>
              <w:ind w:right="-108"/>
              <w:outlineLvl w:val="2"/>
              <w:rPr>
                <w:b/>
                <w:bCs/>
              </w:rPr>
            </w:pPr>
            <w:r w:rsidRPr="008E1FA7">
              <w:rPr>
                <w:b/>
                <w:bCs/>
              </w:rPr>
              <w:t>Eau</w:t>
            </w:r>
          </w:p>
        </w:tc>
        <w:tc>
          <w:tcPr>
            <w:tcW w:w="6958" w:type="dxa"/>
            <w:tcBorders>
              <w:top w:val="nil"/>
              <w:left w:val="nil"/>
              <w:bottom w:val="nil"/>
              <w:right w:val="nil"/>
            </w:tcBorders>
            <w:shd w:val="clear" w:color="auto" w:fill="auto"/>
          </w:tcPr>
          <w:p w14:paraId="6F39B890" w14:textId="42DD343E" w:rsidR="00371363" w:rsidRPr="008E1FA7" w:rsidRDefault="00371363" w:rsidP="00573457">
            <w:pPr>
              <w:spacing w:after="120"/>
            </w:pPr>
            <w:r w:rsidRPr="008E1FA7">
              <w:t>Compte tenu des utilisations actuelles du fenthion, l</w:t>
            </w:r>
            <w:r w:rsidR="001503DA" w:rsidRPr="008E1FA7">
              <w:t>’</w:t>
            </w:r>
            <w:r w:rsidRPr="008E1FA7">
              <w:t>exposition de la population générale à ses résidus par le biais de l</w:t>
            </w:r>
            <w:r w:rsidR="001503DA" w:rsidRPr="008E1FA7">
              <w:t>’</w:t>
            </w:r>
            <w:r w:rsidRPr="008E1FA7">
              <w:t>eau de boisson est jugée négligeable en Australie (APVMA 2012a).</w:t>
            </w:r>
          </w:p>
          <w:p w14:paraId="525BCF7E" w14:textId="35AEA238" w:rsidR="00371363" w:rsidRPr="008E1FA7" w:rsidRDefault="00371363" w:rsidP="00573457">
            <w:pPr>
              <w:autoSpaceDE w:val="0"/>
              <w:autoSpaceDN w:val="0"/>
              <w:adjustRightInd w:val="0"/>
              <w:spacing w:after="120"/>
            </w:pPr>
            <w:r w:rsidRPr="008E1FA7">
              <w:t>La base de données sur le devenir du fenthion dans l</w:t>
            </w:r>
            <w:r w:rsidR="001503DA" w:rsidRPr="008E1FA7">
              <w:t>’</w:t>
            </w:r>
            <w:r w:rsidRPr="008E1FA7">
              <w:t>environnement est incomplète. Cependant, on rapporte que le fenthion est dégradé par le métabolisme microbien aérobie, avec une demi</w:t>
            </w:r>
            <w:r w:rsidRPr="008E1FA7">
              <w:noBreakHyphen/>
              <w:t>vie inférieure à un jour dans les sols aérobies et égale à 11 jours dans les conditions aquatiques anaérobies. On ne dispose pas de valeurs de la vitesse de dégradation, mais il est probable que le fenthion est aussi dégradé par photolyse dans l</w:t>
            </w:r>
            <w:r w:rsidR="001503DA" w:rsidRPr="008E1FA7">
              <w:t>’</w:t>
            </w:r>
            <w:r w:rsidRPr="008E1FA7">
              <w:t>eau. Aucune étude sur la mobilité du fenthion initial n</w:t>
            </w:r>
            <w:r w:rsidR="001503DA" w:rsidRPr="008E1FA7">
              <w:t>’</w:t>
            </w:r>
            <w:r w:rsidRPr="008E1FA7">
              <w:t>a été communiquée</w:t>
            </w:r>
            <w:r w:rsidR="00573457" w:rsidRPr="008E1FA7">
              <w:t> ;</w:t>
            </w:r>
            <w:r w:rsidRPr="008E1FA7">
              <w:t xml:space="preserve"> cependant, cette substance étant rapidement dégradée et les</w:t>
            </w:r>
            <w:r w:rsidR="00F40C92" w:rsidRPr="008E1FA7">
              <w:t> </w:t>
            </w:r>
            <w:r w:rsidRPr="008E1FA7">
              <w:t xml:space="preserve">utilisations terrestres du fenthion se limitant aux préparations pour </w:t>
            </w:r>
            <w:proofErr w:type="spellStart"/>
            <w:r w:rsidRPr="008E1FA7">
              <w:t>thermonébulisation</w:t>
            </w:r>
            <w:proofErr w:type="spellEnd"/>
            <w:r w:rsidRPr="008E1FA7">
              <w:t xml:space="preserve"> ou à ultra bas volume, il n</w:t>
            </w:r>
            <w:r w:rsidR="001503DA" w:rsidRPr="008E1FA7">
              <w:t>’</w:t>
            </w:r>
            <w:r w:rsidRPr="008E1FA7">
              <w:t>y aurait probablement pas de contamination grave des eaux souterraines associée au composé parent.</w:t>
            </w:r>
          </w:p>
          <w:p w14:paraId="2733EF24" w14:textId="4D318A6A" w:rsidR="00371363" w:rsidRPr="008E1FA7" w:rsidRDefault="00371363" w:rsidP="00573457">
            <w:pPr>
              <w:autoSpaceDE w:val="0"/>
              <w:autoSpaceDN w:val="0"/>
              <w:adjustRightInd w:val="0"/>
              <w:spacing w:after="120"/>
            </w:pPr>
            <w:r w:rsidRPr="008E1FA7">
              <w:t>S</w:t>
            </w:r>
            <w:r w:rsidR="001503DA" w:rsidRPr="008E1FA7">
              <w:t>’</w:t>
            </w:r>
            <w:r w:rsidRPr="008E1FA7">
              <w:t>agissant des emplois sur le bétail, comme le fenthion est soit incorporé dans les</w:t>
            </w:r>
            <w:r w:rsidR="00F40C92" w:rsidRPr="008E1FA7">
              <w:t> </w:t>
            </w:r>
            <w:r w:rsidRPr="008E1FA7">
              <w:t>marques d</w:t>
            </w:r>
            <w:r w:rsidR="001503DA" w:rsidRPr="008E1FA7">
              <w:t>’</w:t>
            </w:r>
            <w:r w:rsidRPr="008E1FA7">
              <w:t>oreille soit appliqué en traitement local sur l</w:t>
            </w:r>
            <w:r w:rsidR="001503DA" w:rsidRPr="008E1FA7">
              <w:t>’</w:t>
            </w:r>
            <w:r w:rsidRPr="008E1FA7">
              <w:t>animal, ces utilisations ne devraient pas conduire à une exposition significative des sources d</w:t>
            </w:r>
            <w:r w:rsidR="001503DA" w:rsidRPr="008E1FA7">
              <w:t>’</w:t>
            </w:r>
            <w:r w:rsidRPr="008E1FA7">
              <w:t>eau potable. Cependant, l</w:t>
            </w:r>
            <w:r w:rsidR="001503DA" w:rsidRPr="008E1FA7">
              <w:t>’</w:t>
            </w:r>
            <w:r w:rsidRPr="008E1FA7">
              <w:t>emploi du fenthion comme adulticide dans le cadre de la lutte anti</w:t>
            </w:r>
            <w:r w:rsidRPr="008E1FA7">
              <w:noBreakHyphen/>
              <w:t>moustiques requiert que l</w:t>
            </w:r>
            <w:r w:rsidR="001503DA" w:rsidRPr="008E1FA7">
              <w:t>’</w:t>
            </w:r>
            <w:r w:rsidRPr="008E1FA7">
              <w:t>ingrédient actif reste en suspension dans l</w:t>
            </w:r>
            <w:r w:rsidR="001503DA" w:rsidRPr="008E1FA7">
              <w:t>’</w:t>
            </w:r>
            <w:r w:rsidRPr="008E1FA7">
              <w:t>air pendant un certain temps, au lieu de se déposer rapidement sur le sol. La technique d</w:t>
            </w:r>
            <w:r w:rsidR="001503DA" w:rsidRPr="008E1FA7">
              <w:t>’</w:t>
            </w:r>
            <w:r w:rsidRPr="008E1FA7">
              <w:t>application permet de favoriser la dérive, de limiter le dépôt et d</w:t>
            </w:r>
            <w:r w:rsidR="001503DA" w:rsidRPr="008E1FA7">
              <w:t>’</w:t>
            </w:r>
            <w:r w:rsidRPr="008E1FA7">
              <w:t>étendre la zone traitée. Par conséquent, cette utilisation peut être à l</w:t>
            </w:r>
            <w:r w:rsidR="001503DA" w:rsidRPr="008E1FA7">
              <w:t>’</w:t>
            </w:r>
            <w:r w:rsidRPr="008E1FA7">
              <w:t>origine d</w:t>
            </w:r>
            <w:r w:rsidR="001503DA" w:rsidRPr="008E1FA7">
              <w:t>’</w:t>
            </w:r>
            <w:r w:rsidRPr="008E1FA7">
              <w:t>une exposition des</w:t>
            </w:r>
            <w:r w:rsidR="00F40C92" w:rsidRPr="008E1FA7">
              <w:t> </w:t>
            </w:r>
            <w:r w:rsidRPr="008E1FA7">
              <w:t>eaux de surface liée à la pulvérisation en dérive.</w:t>
            </w:r>
          </w:p>
          <w:p w14:paraId="0E69EDCE" w14:textId="4065410D" w:rsidR="00371363" w:rsidRPr="008E1FA7" w:rsidRDefault="00371363" w:rsidP="00573457">
            <w:pPr>
              <w:spacing w:after="120"/>
            </w:pPr>
            <w:r w:rsidRPr="008E1FA7">
              <w:t>Les données de surveillance des eaux souterraines pour le fenthion sont rares mais leur utilité reste limitée, car seul le composé parent a été étudié</w:t>
            </w:r>
            <w:r w:rsidR="00573457" w:rsidRPr="008E1FA7">
              <w:t xml:space="preserve"> ; </w:t>
            </w:r>
            <w:r w:rsidRPr="008E1FA7">
              <w:t>le fenthion n</w:t>
            </w:r>
            <w:r w:rsidR="001503DA" w:rsidRPr="008E1FA7">
              <w:t>’</w:t>
            </w:r>
            <w:r w:rsidRPr="008E1FA7">
              <w:t>est pas aussi persistant que les cinq métabolites réglementés et préoccupants d</w:t>
            </w:r>
            <w:r w:rsidR="001503DA" w:rsidRPr="008E1FA7">
              <w:t>’</w:t>
            </w:r>
            <w:r w:rsidRPr="008E1FA7">
              <w:t>un point de vue toxicologique (US EPA 2001).</w:t>
            </w:r>
          </w:p>
        </w:tc>
      </w:tr>
      <w:tr w:rsidR="00371363" w:rsidRPr="008E1FA7" w14:paraId="0F412B76"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4B18BE16" w14:textId="77777777" w:rsidR="00371363" w:rsidRPr="008E1FA7" w:rsidRDefault="00371363" w:rsidP="00371363"/>
        </w:tc>
      </w:tr>
      <w:tr w:rsidR="00371363" w:rsidRPr="008E1FA7" w14:paraId="4E93354D"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522CFCB2" w14:textId="77777777" w:rsidR="00371363" w:rsidRPr="008E1FA7" w:rsidRDefault="00371363" w:rsidP="00371363">
            <w:pPr>
              <w:spacing w:after="60"/>
              <w:jc w:val="both"/>
              <w:rPr>
                <w:b/>
                <w:bCs/>
              </w:rPr>
            </w:pPr>
            <w:r w:rsidRPr="008E1FA7">
              <w:rPr>
                <w:b/>
                <w:bCs/>
              </w:rPr>
              <w:t>3.4</w:t>
            </w:r>
          </w:p>
        </w:tc>
        <w:tc>
          <w:tcPr>
            <w:tcW w:w="1719" w:type="dxa"/>
            <w:gridSpan w:val="2"/>
            <w:tcBorders>
              <w:top w:val="nil"/>
              <w:left w:val="nil"/>
              <w:bottom w:val="nil"/>
              <w:right w:val="nil"/>
            </w:tcBorders>
            <w:shd w:val="clear" w:color="auto" w:fill="auto"/>
          </w:tcPr>
          <w:p w14:paraId="22E726A9" w14:textId="54CEA1D5" w:rsidR="00371363" w:rsidRPr="008E1FA7" w:rsidRDefault="00371363" w:rsidP="00371363">
            <w:pPr>
              <w:jc w:val="both"/>
              <w:rPr>
                <w:b/>
                <w:bCs/>
              </w:rPr>
            </w:pPr>
            <w:r w:rsidRPr="008E1FA7">
              <w:rPr>
                <w:b/>
                <w:bCs/>
              </w:rPr>
              <w:t>Expositions professionnelle et</w:t>
            </w:r>
            <w:r w:rsidR="00846B2E" w:rsidRPr="008E1FA7">
              <w:rPr>
                <w:b/>
                <w:bCs/>
              </w:rPr>
              <w:t> </w:t>
            </w:r>
            <w:r w:rsidRPr="008E1FA7">
              <w:rPr>
                <w:b/>
                <w:bCs/>
              </w:rPr>
              <w:t>alimentaire</w:t>
            </w:r>
          </w:p>
        </w:tc>
        <w:tc>
          <w:tcPr>
            <w:tcW w:w="6958" w:type="dxa"/>
            <w:tcBorders>
              <w:top w:val="nil"/>
              <w:left w:val="nil"/>
              <w:bottom w:val="nil"/>
              <w:right w:val="nil"/>
            </w:tcBorders>
            <w:shd w:val="clear" w:color="auto" w:fill="auto"/>
          </w:tcPr>
          <w:p w14:paraId="18C2EDC0" w14:textId="5F6D04D9" w:rsidR="00371363" w:rsidRPr="008E1FA7" w:rsidRDefault="00371363" w:rsidP="00371363">
            <w:pPr>
              <w:autoSpaceDE w:val="0"/>
              <w:autoSpaceDN w:val="0"/>
              <w:adjustRightInd w:val="0"/>
              <w:spacing w:before="20"/>
            </w:pPr>
            <w:r w:rsidRPr="008E1FA7">
              <w:t>Les travailleurs peuvent être exposés à un pesticide dans le cadre professionnel lors du mélange, du remplissage et/ou de l</w:t>
            </w:r>
            <w:r w:rsidR="001503DA" w:rsidRPr="008E1FA7">
              <w:t>’</w:t>
            </w:r>
            <w:r w:rsidRPr="008E1FA7">
              <w:t>application ou de la réentrée sur des sites traités. Dans le cadre domestique, les résidents ou les propriétaires peuvent être exposés au fenthion en pénétrant ou en se livrant à d</w:t>
            </w:r>
            <w:r w:rsidR="001503DA" w:rsidRPr="008E1FA7">
              <w:t>’</w:t>
            </w:r>
            <w:r w:rsidRPr="008E1FA7">
              <w:t>autres activités dans des zones traitées. Les travailleurs manipulant le fenthion dans le cadre professionnel sont notamment les opérateurs de mélange/remplissage, de pulvérisation et de signalisation dans le cadre de la lutte anti</w:t>
            </w:r>
            <w:r w:rsidRPr="008E1FA7">
              <w:noBreakHyphen/>
              <w:t>moustiques ou d</w:t>
            </w:r>
            <w:r w:rsidR="001503DA" w:rsidRPr="008E1FA7">
              <w:t>’</w:t>
            </w:r>
            <w:r w:rsidRPr="008E1FA7">
              <w:t>application sur le bétail et en aquaculture. Aux États</w:t>
            </w:r>
            <w:r w:rsidRPr="008E1FA7">
              <w:noBreakHyphen/>
              <w:t>Unis, les propriétaires n</w:t>
            </w:r>
            <w:r w:rsidR="001503DA" w:rsidRPr="008E1FA7">
              <w:t>’</w:t>
            </w:r>
            <w:r w:rsidRPr="008E1FA7">
              <w:t>utilisent pas le fenthion dans les</w:t>
            </w:r>
            <w:r w:rsidR="00F40C92" w:rsidRPr="008E1FA7">
              <w:t> </w:t>
            </w:r>
            <w:r w:rsidRPr="008E1FA7">
              <w:t>habitations, mais les adultes et les enfants peuvent être exposés au produit dans le</w:t>
            </w:r>
            <w:r w:rsidR="00F40C92" w:rsidRPr="008E1FA7">
              <w:t> </w:t>
            </w:r>
            <w:r w:rsidRPr="008E1FA7">
              <w:t>cadre résidentiel en raison de son emploi à grande échelle comme adulticide pour la lutte anti</w:t>
            </w:r>
            <w:r w:rsidRPr="008E1FA7">
              <w:noBreakHyphen/>
              <w:t xml:space="preserve">moustiques. </w:t>
            </w:r>
          </w:p>
          <w:p w14:paraId="092795C0" w14:textId="1D0D6C0B" w:rsidR="00371363" w:rsidRPr="008E1FA7" w:rsidRDefault="00371363" w:rsidP="00371363">
            <w:pPr>
              <w:spacing w:before="120"/>
            </w:pPr>
            <w:r w:rsidRPr="008E1FA7">
              <w:t>On mesure le risque pour toutes les populations potentiellement exposées en fonction d</w:t>
            </w:r>
            <w:r w:rsidR="001503DA" w:rsidRPr="008E1FA7">
              <w:t>’</w:t>
            </w:r>
            <w:r w:rsidRPr="008E1FA7">
              <w:t>une marge d</w:t>
            </w:r>
            <w:r w:rsidR="001503DA" w:rsidRPr="008E1FA7">
              <w:t>’</w:t>
            </w:r>
            <w:r w:rsidRPr="008E1FA7">
              <w:t>exposition, qui détermine si l</w:t>
            </w:r>
            <w:r w:rsidR="001503DA" w:rsidRPr="008E1FA7">
              <w:t>’</w:t>
            </w:r>
            <w:r w:rsidRPr="008E1FA7">
              <w:t>exposition professionnelle et résidentielle est proche ou non d</w:t>
            </w:r>
            <w:r w:rsidR="001503DA" w:rsidRPr="008E1FA7">
              <w:t>’</w:t>
            </w:r>
            <w:r w:rsidRPr="008E1FA7">
              <w:t>une dose sans effet nocif observé (DSENO). En</w:t>
            </w:r>
            <w:r w:rsidR="00F40C92" w:rsidRPr="008E1FA7">
              <w:t> </w:t>
            </w:r>
            <w:r w:rsidRPr="008E1FA7">
              <w:t>général, des marges d</w:t>
            </w:r>
            <w:r w:rsidR="001503DA" w:rsidRPr="008E1FA7">
              <w:t>’</w:t>
            </w:r>
            <w:r w:rsidRPr="008E1FA7">
              <w:t>exposition supérieures à 100 restent inférieures au seuil de risque préoccupant de l</w:t>
            </w:r>
            <w:r w:rsidR="001503DA" w:rsidRPr="008E1FA7">
              <w:t>’</w:t>
            </w:r>
            <w:r w:rsidRPr="008E1FA7">
              <w:t>US EPA. Cependant, dans le cas du fenthion, la valeur cible de marge d</w:t>
            </w:r>
            <w:r w:rsidR="001503DA" w:rsidRPr="008E1FA7">
              <w:t>’</w:t>
            </w:r>
            <w:r w:rsidRPr="008E1FA7">
              <w:t>exposition pour une exposition intermédiaire se situe à 300, car l</w:t>
            </w:r>
            <w:r w:rsidR="001503DA" w:rsidRPr="008E1FA7">
              <w:t>’</w:t>
            </w:r>
            <w:r w:rsidRPr="008E1FA7">
              <w:t>étude de 2 ans par voie orale menée chez le singe n</w:t>
            </w:r>
            <w:r w:rsidR="001503DA" w:rsidRPr="008E1FA7">
              <w:t>’</w:t>
            </w:r>
            <w:r w:rsidRPr="008E1FA7">
              <w:t>a pas permis d</w:t>
            </w:r>
            <w:r w:rsidR="001503DA" w:rsidRPr="008E1FA7">
              <w:t>’</w:t>
            </w:r>
            <w:r w:rsidRPr="008E1FA7">
              <w:t>établir une valeur de DSENO définitive (US EPA 2001).</w:t>
            </w:r>
          </w:p>
          <w:p w14:paraId="4EA8A6AA" w14:textId="77777777" w:rsidR="00371363" w:rsidRPr="008E1FA7" w:rsidRDefault="00371363" w:rsidP="00371363">
            <w:pPr>
              <w:spacing w:before="120" w:after="120"/>
            </w:pPr>
            <w:r w:rsidRPr="008E1FA7">
              <w:t>NEAO : 0,001 mg/kg p.c./j (voie orale), 0,2 mg/kg p.c./j (voie cutanée), 0,02 mg/kg p.c./j (par inhalation) (UE 2005).</w:t>
            </w:r>
          </w:p>
          <w:p w14:paraId="370E9F46" w14:textId="0E349179" w:rsidR="00371363" w:rsidRPr="008E1FA7" w:rsidRDefault="00371363" w:rsidP="00371363">
            <w:pPr>
              <w:spacing w:before="120" w:after="120"/>
            </w:pPr>
            <w:r w:rsidRPr="008E1FA7">
              <w:t>DJA : 0,007 mg/kg p.c./j (coefficient d</w:t>
            </w:r>
            <w:r w:rsidR="001503DA" w:rsidRPr="008E1FA7">
              <w:t>’</w:t>
            </w:r>
            <w:r w:rsidRPr="008E1FA7">
              <w:t>incertitude de 10) (UE 2005).</w:t>
            </w:r>
          </w:p>
          <w:p w14:paraId="47012043" w14:textId="2951A12A" w:rsidR="00371363" w:rsidRPr="008E1FA7" w:rsidRDefault="00371363" w:rsidP="00371363">
            <w:pPr>
              <w:spacing w:before="120" w:after="120"/>
            </w:pPr>
            <w:r w:rsidRPr="008E1FA7">
              <w:t>Une DJA de 0,0003 mg/kg p.c./j a été fixée en 1996, en Australie, en se fondant sur la valeur de DSEO pour l</w:t>
            </w:r>
            <w:r w:rsidR="001503DA" w:rsidRPr="008E1FA7">
              <w:t>’</w:t>
            </w:r>
            <w:r w:rsidRPr="008E1FA7">
              <w:t>effet anticholinestérasique plasmatique issue d</w:t>
            </w:r>
            <w:r w:rsidR="001503DA" w:rsidRPr="008E1FA7">
              <w:t>’</w:t>
            </w:r>
            <w:r w:rsidRPr="008E1FA7">
              <w:t>une étude chronique chez la souris et en appliquant un coefficient de sécurité de 100. Cette valeur a été modifiée par l</w:t>
            </w:r>
            <w:r w:rsidR="001503DA" w:rsidRPr="008E1FA7">
              <w:t>’</w:t>
            </w:r>
            <w:r w:rsidRPr="008E1FA7">
              <w:t xml:space="preserve">Advisory </w:t>
            </w:r>
            <w:proofErr w:type="spellStart"/>
            <w:r w:rsidRPr="008E1FA7">
              <w:t>Committee</w:t>
            </w:r>
            <w:proofErr w:type="spellEnd"/>
            <w:r w:rsidRPr="008E1FA7">
              <w:t xml:space="preserve"> on Pesticides and </w:t>
            </w:r>
            <w:proofErr w:type="spellStart"/>
            <w:r w:rsidRPr="008E1FA7">
              <w:t>Health</w:t>
            </w:r>
            <w:proofErr w:type="spellEnd"/>
            <w:r w:rsidRPr="008E1FA7">
              <w:t xml:space="preserve"> (ACPH) en 1997, qui a recommandé de retenir une DJA de 0,002 mg/kg p.c./j et un coefficient de sécurité de 10, en s</w:t>
            </w:r>
            <w:r w:rsidR="001503DA" w:rsidRPr="008E1FA7">
              <w:t>’</w:t>
            </w:r>
            <w:r w:rsidRPr="008E1FA7">
              <w:t>appuyant sur une DSEO égale à 0,02 mg/kg p.c./j, correspondant à l</w:t>
            </w:r>
            <w:r w:rsidR="001503DA" w:rsidRPr="008E1FA7">
              <w:t>’</w:t>
            </w:r>
            <w:r w:rsidRPr="008E1FA7">
              <w:t>inhibition de la cholinestérase plasmatique observée à 0,07 mg/kg p.c./j dans une étude de 4 semaines chez l</w:t>
            </w:r>
            <w:r w:rsidR="001503DA" w:rsidRPr="008E1FA7">
              <w:t>’</w:t>
            </w:r>
            <w:r w:rsidRPr="008E1FA7">
              <w:t>être humain réalisée en 1979 (APVMA 2012a).</w:t>
            </w:r>
          </w:p>
          <w:p w14:paraId="113F9065" w14:textId="60632B80" w:rsidR="00371363" w:rsidRPr="008E1FA7" w:rsidRDefault="00371363" w:rsidP="00371363">
            <w:proofErr w:type="spellStart"/>
            <w:r w:rsidRPr="008E1FA7">
              <w:t>DRf</w:t>
            </w:r>
            <w:proofErr w:type="spellEnd"/>
            <w:r w:rsidRPr="008E1FA7">
              <w:t xml:space="preserve"> : 0,01 mg/kg p.c./j (UE 2005); </w:t>
            </w:r>
            <w:proofErr w:type="spellStart"/>
            <w:r w:rsidRPr="008E1FA7">
              <w:t>DRf</w:t>
            </w:r>
            <w:proofErr w:type="spellEnd"/>
            <w:r w:rsidRPr="008E1FA7">
              <w:t xml:space="preserve"> égale à 0,007 mg/kg p.c. en se fondant sur la</w:t>
            </w:r>
            <w:r w:rsidR="00F40C92" w:rsidRPr="008E1FA7">
              <w:t> </w:t>
            </w:r>
            <w:r w:rsidRPr="008E1FA7">
              <w:t>valeur de DSEO pour l</w:t>
            </w:r>
            <w:r w:rsidR="001503DA" w:rsidRPr="008E1FA7">
              <w:t>’</w:t>
            </w:r>
            <w:r w:rsidRPr="008E1FA7">
              <w:t>inhibition de la cholinestérase érythrocytaire (0,07 mg/kg p.c.) et en appliquant un coefficient de sécurité de 10 (APVMA 2012a).</w:t>
            </w:r>
          </w:p>
        </w:tc>
      </w:tr>
      <w:tr w:rsidR="00371363" w:rsidRPr="008E1FA7" w14:paraId="7F2FD18C"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0070B72C" w14:textId="77777777" w:rsidR="00371363" w:rsidRPr="008E1FA7" w:rsidRDefault="00371363" w:rsidP="00371363">
            <w:pPr>
              <w:jc w:val="both"/>
            </w:pPr>
          </w:p>
        </w:tc>
      </w:tr>
      <w:tr w:rsidR="00371363" w:rsidRPr="008E1FA7" w14:paraId="744704CE"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6886DB66" w14:textId="77777777" w:rsidR="00371363" w:rsidRPr="008E1FA7" w:rsidRDefault="00371363" w:rsidP="00371363">
            <w:pPr>
              <w:spacing w:after="60"/>
              <w:jc w:val="both"/>
              <w:rPr>
                <w:b/>
                <w:bCs/>
              </w:rPr>
            </w:pPr>
            <w:r w:rsidRPr="008E1FA7">
              <w:rPr>
                <w:b/>
                <w:bCs/>
              </w:rPr>
              <w:t xml:space="preserve">3.5 </w:t>
            </w:r>
          </w:p>
        </w:tc>
        <w:tc>
          <w:tcPr>
            <w:tcW w:w="1719" w:type="dxa"/>
            <w:gridSpan w:val="2"/>
            <w:tcBorders>
              <w:top w:val="nil"/>
              <w:left w:val="nil"/>
              <w:bottom w:val="nil"/>
              <w:right w:val="nil"/>
            </w:tcBorders>
            <w:shd w:val="clear" w:color="auto" w:fill="auto"/>
          </w:tcPr>
          <w:p w14:paraId="189BC0E2" w14:textId="6BCB0885" w:rsidR="00371363" w:rsidRPr="008E1FA7" w:rsidRDefault="00371363" w:rsidP="00371363">
            <w:pPr>
              <w:spacing w:before="20" w:after="20"/>
              <w:outlineLvl w:val="2"/>
              <w:rPr>
                <w:b/>
                <w:bCs/>
              </w:rPr>
            </w:pPr>
            <w:r w:rsidRPr="008E1FA7">
              <w:rPr>
                <w:b/>
                <w:bCs/>
              </w:rPr>
              <w:t>Données médicales contribuant à</w:t>
            </w:r>
            <w:r w:rsidR="00F16C57" w:rsidRPr="008E1FA7">
              <w:rPr>
                <w:b/>
                <w:bCs/>
              </w:rPr>
              <w:t> </w:t>
            </w:r>
            <w:r w:rsidRPr="008E1FA7">
              <w:rPr>
                <w:b/>
                <w:bCs/>
              </w:rPr>
              <w:t>la</w:t>
            </w:r>
            <w:r w:rsidR="00F16C57" w:rsidRPr="008E1FA7">
              <w:rPr>
                <w:b/>
                <w:bCs/>
              </w:rPr>
              <w:t> </w:t>
            </w:r>
            <w:r w:rsidRPr="008E1FA7">
              <w:rPr>
                <w:b/>
                <w:bCs/>
              </w:rPr>
              <w:t>décision réglementaire</w:t>
            </w:r>
          </w:p>
        </w:tc>
        <w:tc>
          <w:tcPr>
            <w:tcW w:w="6958" w:type="dxa"/>
            <w:tcBorders>
              <w:top w:val="nil"/>
              <w:left w:val="nil"/>
              <w:bottom w:val="nil"/>
              <w:right w:val="nil"/>
            </w:tcBorders>
            <w:shd w:val="clear" w:color="auto" w:fill="auto"/>
          </w:tcPr>
          <w:p w14:paraId="2A435600" w14:textId="77777777" w:rsidR="00371363" w:rsidRPr="008E1FA7" w:rsidRDefault="00371363" w:rsidP="00371363">
            <w:pPr>
              <w:spacing w:before="120" w:after="120"/>
              <w:jc w:val="both"/>
            </w:pPr>
            <w:r w:rsidRPr="008E1FA7">
              <w:t>-</w:t>
            </w:r>
          </w:p>
        </w:tc>
      </w:tr>
      <w:tr w:rsidR="00371363" w:rsidRPr="008E1FA7" w14:paraId="30CBEF75"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639045A0" w14:textId="77777777" w:rsidR="00371363" w:rsidRPr="008E1FA7" w:rsidRDefault="00371363" w:rsidP="00371363"/>
        </w:tc>
      </w:tr>
      <w:tr w:rsidR="00371363" w:rsidRPr="008E1FA7" w14:paraId="623F6502"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1AAE174D" w14:textId="77777777" w:rsidR="00371363" w:rsidRPr="008E1FA7" w:rsidRDefault="00371363" w:rsidP="00371363">
            <w:pPr>
              <w:spacing w:after="60"/>
              <w:jc w:val="both"/>
              <w:rPr>
                <w:b/>
                <w:bCs/>
              </w:rPr>
            </w:pPr>
            <w:r w:rsidRPr="008E1FA7">
              <w:rPr>
                <w:b/>
                <w:bCs/>
              </w:rPr>
              <w:t>3.6</w:t>
            </w:r>
          </w:p>
        </w:tc>
        <w:tc>
          <w:tcPr>
            <w:tcW w:w="1719" w:type="dxa"/>
            <w:gridSpan w:val="2"/>
            <w:tcBorders>
              <w:top w:val="nil"/>
              <w:left w:val="nil"/>
              <w:bottom w:val="nil"/>
              <w:right w:val="nil"/>
            </w:tcBorders>
            <w:shd w:val="clear" w:color="auto" w:fill="auto"/>
          </w:tcPr>
          <w:p w14:paraId="23C09681" w14:textId="540DD411" w:rsidR="00371363" w:rsidRPr="008E1FA7" w:rsidRDefault="00371363" w:rsidP="00371363">
            <w:pPr>
              <w:spacing w:before="20" w:after="20"/>
              <w:outlineLvl w:val="2"/>
              <w:rPr>
                <w:b/>
                <w:bCs/>
              </w:rPr>
            </w:pPr>
            <w:r w:rsidRPr="008E1FA7">
              <w:rPr>
                <w:b/>
                <w:bCs/>
              </w:rPr>
              <w:t>Exposition du</w:t>
            </w:r>
            <w:r w:rsidR="00F16C57" w:rsidRPr="008E1FA7">
              <w:rPr>
                <w:b/>
                <w:bCs/>
              </w:rPr>
              <w:t> </w:t>
            </w:r>
            <w:r w:rsidRPr="008E1FA7">
              <w:rPr>
                <w:b/>
                <w:bCs/>
              </w:rPr>
              <w:t>public</w:t>
            </w:r>
          </w:p>
        </w:tc>
        <w:tc>
          <w:tcPr>
            <w:tcW w:w="6958" w:type="dxa"/>
            <w:tcBorders>
              <w:top w:val="nil"/>
              <w:left w:val="nil"/>
              <w:bottom w:val="nil"/>
              <w:right w:val="nil"/>
            </w:tcBorders>
            <w:shd w:val="clear" w:color="auto" w:fill="auto"/>
          </w:tcPr>
          <w:p w14:paraId="2E5A88D0" w14:textId="77777777" w:rsidR="00371363" w:rsidRPr="008E1FA7" w:rsidRDefault="00371363" w:rsidP="00371363">
            <w:pPr>
              <w:jc w:val="both"/>
            </w:pPr>
            <w:r w:rsidRPr="008E1FA7">
              <w:t>-</w:t>
            </w:r>
          </w:p>
        </w:tc>
      </w:tr>
      <w:tr w:rsidR="00371363" w:rsidRPr="008E1FA7" w14:paraId="317129FE"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3512E893" w14:textId="77777777" w:rsidR="00371363" w:rsidRPr="008E1FA7" w:rsidRDefault="00371363" w:rsidP="00371363"/>
        </w:tc>
      </w:tr>
      <w:tr w:rsidR="00371363" w:rsidRPr="008E1FA7" w14:paraId="57910835"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16" w:type="dxa"/>
            <w:gridSpan w:val="2"/>
            <w:tcBorders>
              <w:top w:val="nil"/>
              <w:left w:val="nil"/>
              <w:bottom w:val="nil"/>
              <w:right w:val="nil"/>
            </w:tcBorders>
            <w:shd w:val="clear" w:color="auto" w:fill="auto"/>
          </w:tcPr>
          <w:p w14:paraId="5D64BFE7" w14:textId="77777777" w:rsidR="00371363" w:rsidRPr="008E1FA7" w:rsidRDefault="00371363" w:rsidP="00371363">
            <w:pPr>
              <w:spacing w:after="60"/>
              <w:jc w:val="both"/>
              <w:rPr>
                <w:b/>
                <w:bCs/>
              </w:rPr>
            </w:pPr>
            <w:r w:rsidRPr="008E1FA7">
              <w:rPr>
                <w:b/>
                <w:bCs/>
              </w:rPr>
              <w:t>3.7</w:t>
            </w:r>
          </w:p>
        </w:tc>
        <w:tc>
          <w:tcPr>
            <w:tcW w:w="1719" w:type="dxa"/>
            <w:gridSpan w:val="2"/>
            <w:tcBorders>
              <w:top w:val="nil"/>
              <w:left w:val="nil"/>
              <w:bottom w:val="nil"/>
              <w:right w:val="nil"/>
            </w:tcBorders>
            <w:shd w:val="clear" w:color="auto" w:fill="auto"/>
          </w:tcPr>
          <w:p w14:paraId="7D22D775" w14:textId="6363B07D" w:rsidR="00371363" w:rsidRPr="008E1FA7" w:rsidRDefault="00371363" w:rsidP="00371363">
            <w:pPr>
              <w:spacing w:before="20" w:after="20"/>
              <w:outlineLvl w:val="2"/>
              <w:rPr>
                <w:b/>
                <w:bCs/>
              </w:rPr>
            </w:pPr>
            <w:r w:rsidRPr="008E1FA7">
              <w:rPr>
                <w:b/>
                <w:bCs/>
              </w:rPr>
              <w:t>Résumé – Évaluation globale des</w:t>
            </w:r>
            <w:r w:rsidR="008845FB" w:rsidRPr="008E1FA7">
              <w:rPr>
                <w:b/>
                <w:bCs/>
              </w:rPr>
              <w:t> </w:t>
            </w:r>
            <w:r w:rsidRPr="008E1FA7">
              <w:rPr>
                <w:b/>
                <w:bCs/>
              </w:rPr>
              <w:t>risques</w:t>
            </w:r>
          </w:p>
        </w:tc>
        <w:tc>
          <w:tcPr>
            <w:tcW w:w="6958" w:type="dxa"/>
            <w:tcBorders>
              <w:top w:val="nil"/>
              <w:left w:val="nil"/>
              <w:bottom w:val="nil"/>
              <w:right w:val="nil"/>
            </w:tcBorders>
            <w:shd w:val="clear" w:color="auto" w:fill="auto"/>
          </w:tcPr>
          <w:p w14:paraId="3CB09BD7" w14:textId="720DFD7F" w:rsidR="00371363" w:rsidRPr="008E1FA7" w:rsidRDefault="00371363" w:rsidP="00664495">
            <w:pPr>
              <w:spacing w:after="120"/>
            </w:pPr>
            <w:r w:rsidRPr="008E1FA7">
              <w:t xml:space="preserve">UE : </w:t>
            </w:r>
            <w:r w:rsidRPr="008E1FA7">
              <w:br/>
              <w:t>Dans son évaluation relative à l</w:t>
            </w:r>
            <w:r w:rsidR="001503DA" w:rsidRPr="008E1FA7">
              <w:t>’</w:t>
            </w:r>
            <w:r w:rsidRPr="008E1FA7">
              <w:t>emploi de fenthion dans des appâts, le Comité scientifique des plantes a jugé qu</w:t>
            </w:r>
            <w:r w:rsidR="001503DA" w:rsidRPr="008E1FA7">
              <w:t>’</w:t>
            </w:r>
            <w:r w:rsidRPr="008E1FA7">
              <w:t>il n</w:t>
            </w:r>
            <w:r w:rsidR="001503DA" w:rsidRPr="008E1FA7">
              <w:t>’</w:t>
            </w:r>
            <w:r w:rsidRPr="008E1FA7">
              <w:t>était pas possible de mener à bien une évaluation complète faute de données montrant l</w:t>
            </w:r>
            <w:r w:rsidR="001503DA" w:rsidRPr="008E1FA7">
              <w:t>’</w:t>
            </w:r>
            <w:r w:rsidRPr="008E1FA7">
              <w:t>innocuité de cette utilisation limitée pour la santé humaine. Après examen d</w:t>
            </w:r>
            <w:r w:rsidR="001503DA" w:rsidRPr="008E1FA7">
              <w:t>’</w:t>
            </w:r>
            <w:r w:rsidRPr="008E1FA7">
              <w:t>informations supplémentaires, il a toutefois conclu que le risque pour l</w:t>
            </w:r>
            <w:r w:rsidR="001503DA" w:rsidRPr="008E1FA7">
              <w:t>’</w:t>
            </w:r>
            <w:r w:rsidRPr="008E1FA7">
              <w:t>opérateur était élevé lors de l</w:t>
            </w:r>
            <w:r w:rsidR="001503DA" w:rsidRPr="008E1FA7">
              <w:t>’</w:t>
            </w:r>
            <w:r w:rsidRPr="008E1FA7">
              <w:t>application de fenthion, mais pouvait être réduit à un niveau acceptable par le port d</w:t>
            </w:r>
            <w:r w:rsidR="001503DA" w:rsidRPr="008E1FA7">
              <w:t>’</w:t>
            </w:r>
            <w:r w:rsidRPr="008E1FA7">
              <w:t>équipements de protection individuelle.</w:t>
            </w:r>
          </w:p>
          <w:p w14:paraId="5E575627" w14:textId="074C10F8" w:rsidR="00371363" w:rsidRPr="008E1FA7" w:rsidRDefault="00371363" w:rsidP="00664495">
            <w:pPr>
              <w:spacing w:after="120"/>
            </w:pPr>
            <w:r w:rsidRPr="008E1FA7">
              <w:t>États</w:t>
            </w:r>
            <w:r w:rsidRPr="008E1FA7">
              <w:noBreakHyphen/>
              <w:t>Unis :</w:t>
            </w:r>
            <w:r w:rsidRPr="008E1FA7">
              <w:br/>
              <w:t>Le fenthion n</w:t>
            </w:r>
            <w:r w:rsidR="001503DA" w:rsidRPr="008E1FA7">
              <w:t>’</w:t>
            </w:r>
            <w:r w:rsidRPr="008E1FA7">
              <w:t>est plus homologué aux États</w:t>
            </w:r>
            <w:r w:rsidRPr="008E1FA7">
              <w:noBreakHyphen/>
              <w:t>Unis</w:t>
            </w:r>
            <w:r w:rsidR="00664495" w:rsidRPr="008E1FA7">
              <w:t> ;</w:t>
            </w:r>
            <w:r w:rsidRPr="008E1FA7">
              <w:t xml:space="preserve"> le résumé des risques ci</w:t>
            </w:r>
            <w:r w:rsidRPr="008E1FA7">
              <w:noBreakHyphen/>
              <w:t xml:space="preserve">dessous reflète les dernières évaluations des risques réalisées avant cela. </w:t>
            </w:r>
            <w:bookmarkStart w:id="288" w:name="30"/>
            <w:bookmarkEnd w:id="288"/>
            <w:r w:rsidRPr="008E1FA7">
              <w:t>L</w:t>
            </w:r>
            <w:r w:rsidR="001503DA" w:rsidRPr="008E1FA7">
              <w:t>’</w:t>
            </w:r>
            <w:r w:rsidRPr="008E1FA7">
              <w:t>Agence américaine pour la protection de l</w:t>
            </w:r>
            <w:r w:rsidR="001503DA" w:rsidRPr="008E1FA7">
              <w:t>’</w:t>
            </w:r>
            <w:r w:rsidRPr="008E1FA7">
              <w:t>environnement (US EPA) a publié des évaluations préliminaires des risques liés au fenthion en août 1998 et révisé des évaluations des</w:t>
            </w:r>
            <w:r w:rsidR="00F40C92" w:rsidRPr="008E1FA7">
              <w:t> </w:t>
            </w:r>
            <w:r w:rsidRPr="008E1FA7">
              <w:t>risques liés aux effets du fenthion sur la santé humaine et l</w:t>
            </w:r>
            <w:r w:rsidR="001503DA" w:rsidRPr="008E1FA7">
              <w:t>’</w:t>
            </w:r>
            <w:r w:rsidRPr="008E1FA7">
              <w:t>environnement en octobre 1999. En s</w:t>
            </w:r>
            <w:r w:rsidR="001503DA" w:rsidRPr="008E1FA7">
              <w:t>’</w:t>
            </w:r>
            <w:r w:rsidRPr="008E1FA7">
              <w:t>appuyant sur les observations reçues, et les données supplémentaires communiquées par le déclarant, l</w:t>
            </w:r>
            <w:r w:rsidR="001503DA" w:rsidRPr="008E1FA7">
              <w:t>’</w:t>
            </w:r>
            <w:r w:rsidRPr="008E1FA7">
              <w:t>US EPA a achevé son examen et émis une décision provisoire concernant l</w:t>
            </w:r>
            <w:r w:rsidR="001503DA" w:rsidRPr="008E1FA7">
              <w:t>’</w:t>
            </w:r>
            <w:r w:rsidRPr="008E1FA7">
              <w:t>éligibilité au renouvellement de l</w:t>
            </w:r>
            <w:r w:rsidR="001503DA" w:rsidRPr="008E1FA7">
              <w:t>’</w:t>
            </w:r>
            <w:r w:rsidRPr="008E1FA7">
              <w:t>homologation du fenthion en janvier 2001. Dans cette décision, l</w:t>
            </w:r>
            <w:r w:rsidR="001503DA" w:rsidRPr="008E1FA7">
              <w:t>’</w:t>
            </w:r>
            <w:r w:rsidRPr="008E1FA7">
              <w:t>US EPA indiquait que l</w:t>
            </w:r>
            <w:r w:rsidR="001503DA" w:rsidRPr="008E1FA7">
              <w:t>’</w:t>
            </w:r>
            <w:r w:rsidRPr="008E1FA7">
              <w:t>utilisation actuelle du fenthion avait des effets nocifs déraisonnables sur la santé humaine et sur l</w:t>
            </w:r>
            <w:r w:rsidR="001503DA" w:rsidRPr="008E1FA7">
              <w:t>’</w:t>
            </w:r>
            <w:r w:rsidRPr="008E1FA7">
              <w:t>environnement et que ce produit chimique ne devrait pas être homologué à moins que des mesures soient prises pour atténuer ces risques. Elle recensait des risques pour les opérateurs de mélange, de remplissage ou de pulvérisation de fenthion dans le cadre de la lutte anti</w:t>
            </w:r>
            <w:r w:rsidRPr="008E1FA7">
              <w:noBreakHyphen/>
              <w:t>moustiques et des emplois sur le bétail et en aquaculture. Dans son évaluation en milieu professionnel, l</w:t>
            </w:r>
            <w:r w:rsidR="001503DA" w:rsidRPr="008E1FA7">
              <w:t>’</w:t>
            </w:r>
            <w:r w:rsidRPr="008E1FA7">
              <w:t>US EPA signalait l</w:t>
            </w:r>
            <w:r w:rsidR="001503DA" w:rsidRPr="008E1FA7">
              <w:t>’</w:t>
            </w:r>
            <w:r w:rsidRPr="008E1FA7">
              <w:t>absence de données relatives à l</w:t>
            </w:r>
            <w:r w:rsidR="001503DA" w:rsidRPr="008E1FA7">
              <w:t>’</w:t>
            </w:r>
            <w:r w:rsidRPr="008E1FA7">
              <w:t>exposition des travailleurs pulvérisant ce</w:t>
            </w:r>
            <w:r w:rsidR="00F40C92" w:rsidRPr="008E1FA7">
              <w:t> </w:t>
            </w:r>
            <w:r w:rsidRPr="008E1FA7">
              <w:t>pesticide contre les moustiques et demandait ces informations pour tous les</w:t>
            </w:r>
            <w:r w:rsidR="00F40C92" w:rsidRPr="008E1FA7">
              <w:t> </w:t>
            </w:r>
            <w:r w:rsidRPr="008E1FA7">
              <w:t>opérateurs de mélange, de remplissage ou de pulvérisation de pesticides anti</w:t>
            </w:r>
            <w:r w:rsidRPr="008E1FA7">
              <w:noBreakHyphen/>
              <w:t>moustiques. Dans l</w:t>
            </w:r>
            <w:r w:rsidR="001503DA" w:rsidRPr="008E1FA7">
              <w:t>’</w:t>
            </w:r>
            <w:r w:rsidRPr="008E1FA7">
              <w:t>intervalle, elle proposait les mesures d</w:t>
            </w:r>
            <w:r w:rsidR="001503DA" w:rsidRPr="008E1FA7">
              <w:t>’</w:t>
            </w:r>
            <w:r w:rsidRPr="008E1FA7">
              <w:t>atténuation des</w:t>
            </w:r>
            <w:r w:rsidR="00F40C92" w:rsidRPr="008E1FA7">
              <w:t> </w:t>
            </w:r>
            <w:r w:rsidRPr="008E1FA7">
              <w:t>risques suivantes : emploi de systèmes fermés pour tous les types d</w:t>
            </w:r>
            <w:r w:rsidR="001503DA" w:rsidRPr="008E1FA7">
              <w:t>’</w:t>
            </w:r>
            <w:r w:rsidRPr="008E1FA7">
              <w:t>applications dans le cadre de la lutte anti</w:t>
            </w:r>
            <w:r w:rsidRPr="008E1FA7">
              <w:noBreakHyphen/>
              <w:t>moustiques, interdiction de recourir à des signaleurs, restriction de l</w:t>
            </w:r>
            <w:r w:rsidR="001503DA" w:rsidRPr="008E1FA7">
              <w:t>’</w:t>
            </w:r>
            <w:r w:rsidRPr="008E1FA7">
              <w:t>usage des doses les plus élevées aux opérations de santé publique, utilisation de pulvérisateurs à main et non à dos en aquaculture.</w:t>
            </w:r>
          </w:p>
        </w:tc>
      </w:tr>
      <w:tr w:rsidR="00371363" w:rsidRPr="008E1FA7" w14:paraId="56281321"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71F4C4A0" w14:textId="77777777" w:rsidR="00371363" w:rsidRPr="008E1FA7" w:rsidRDefault="00371363" w:rsidP="00371363">
            <w:pPr>
              <w:jc w:val="both"/>
            </w:pPr>
          </w:p>
        </w:tc>
      </w:tr>
      <w:tr w:rsidR="00371363" w:rsidRPr="008E1FA7" w14:paraId="5B2E09A3" w14:textId="77777777" w:rsidTr="009C493C">
        <w:tblPrEx>
          <w:jc w:val="right"/>
          <w:tblBorders>
            <w:top w:val="single" w:sz="6" w:space="0" w:color="C0C0C0"/>
            <w:left w:val="single" w:sz="6" w:space="0" w:color="C0C0C0"/>
            <w:bottom w:val="single" w:sz="6" w:space="0" w:color="C0C0C0"/>
            <w:right w:val="single" w:sz="6" w:space="0" w:color="C0C0C0"/>
          </w:tblBorders>
        </w:tblPrEx>
        <w:trPr>
          <w:jc w:val="right"/>
        </w:trPr>
        <w:tc>
          <w:tcPr>
            <w:tcW w:w="716" w:type="dxa"/>
            <w:gridSpan w:val="2"/>
            <w:tcBorders>
              <w:top w:val="nil"/>
              <w:left w:val="nil"/>
              <w:bottom w:val="single" w:sz="4" w:space="0" w:color="auto"/>
              <w:right w:val="nil"/>
            </w:tcBorders>
            <w:shd w:val="clear" w:color="auto" w:fill="auto"/>
          </w:tcPr>
          <w:p w14:paraId="5A72AD22" w14:textId="77777777" w:rsidR="00371363" w:rsidRPr="008E1FA7" w:rsidRDefault="00371363" w:rsidP="00AA2775">
            <w:pPr>
              <w:keepNext/>
              <w:keepLines/>
              <w:spacing w:before="40" w:after="60"/>
              <w:jc w:val="both"/>
              <w:outlineLvl w:val="0"/>
              <w:rPr>
                <w:b/>
                <w:bCs/>
                <w:kern w:val="28"/>
              </w:rPr>
            </w:pPr>
            <w:r w:rsidRPr="008E1FA7">
              <w:rPr>
                <w:b/>
                <w:bCs/>
                <w:kern w:val="28"/>
              </w:rPr>
              <w:t>4</w:t>
            </w:r>
          </w:p>
        </w:tc>
        <w:tc>
          <w:tcPr>
            <w:tcW w:w="8677" w:type="dxa"/>
            <w:gridSpan w:val="3"/>
            <w:tcBorders>
              <w:top w:val="nil"/>
              <w:left w:val="nil"/>
              <w:bottom w:val="single" w:sz="4" w:space="0" w:color="auto"/>
              <w:right w:val="nil"/>
            </w:tcBorders>
            <w:shd w:val="clear" w:color="auto" w:fill="auto"/>
          </w:tcPr>
          <w:p w14:paraId="7C68CA83" w14:textId="77777777" w:rsidR="00371363" w:rsidRPr="008E1FA7" w:rsidRDefault="00371363" w:rsidP="00AA2775">
            <w:pPr>
              <w:keepNext/>
              <w:keepLines/>
              <w:spacing w:before="40" w:after="60"/>
              <w:jc w:val="both"/>
              <w:outlineLvl w:val="0"/>
              <w:rPr>
                <w:bCs/>
                <w:i/>
                <w:kern w:val="28"/>
              </w:rPr>
            </w:pPr>
            <w:r w:rsidRPr="008E1FA7">
              <w:rPr>
                <w:b/>
                <w:bCs/>
                <w:kern w:val="28"/>
              </w:rPr>
              <w:t>Devenir et effets écologiques</w:t>
            </w:r>
          </w:p>
        </w:tc>
      </w:tr>
      <w:tr w:rsidR="00371363" w:rsidRPr="008E1FA7" w14:paraId="039A036B" w14:textId="77777777" w:rsidTr="009C493C">
        <w:tblPrEx>
          <w:jc w:val="right"/>
        </w:tblPrEx>
        <w:trPr>
          <w:jc w:val="right"/>
        </w:trPr>
        <w:tc>
          <w:tcPr>
            <w:tcW w:w="716" w:type="dxa"/>
            <w:gridSpan w:val="2"/>
            <w:tcBorders>
              <w:top w:val="single" w:sz="4" w:space="0" w:color="auto"/>
            </w:tcBorders>
            <w:shd w:val="clear" w:color="auto" w:fill="auto"/>
          </w:tcPr>
          <w:p w14:paraId="10348A69" w14:textId="77777777" w:rsidR="00371363" w:rsidRPr="008E1FA7" w:rsidRDefault="00371363" w:rsidP="00371363">
            <w:pPr>
              <w:keepLines/>
              <w:jc w:val="both"/>
              <w:rPr>
                <w:b/>
              </w:rPr>
            </w:pPr>
            <w:r w:rsidRPr="008E1FA7">
              <w:rPr>
                <w:b/>
              </w:rPr>
              <w:t>4.1</w:t>
            </w:r>
          </w:p>
        </w:tc>
        <w:tc>
          <w:tcPr>
            <w:tcW w:w="1719" w:type="dxa"/>
            <w:gridSpan w:val="2"/>
            <w:tcBorders>
              <w:top w:val="single" w:sz="4" w:space="0" w:color="auto"/>
            </w:tcBorders>
            <w:shd w:val="clear" w:color="auto" w:fill="auto"/>
          </w:tcPr>
          <w:p w14:paraId="4AAE899A" w14:textId="77777777" w:rsidR="00371363" w:rsidRPr="008E1FA7" w:rsidRDefault="00371363" w:rsidP="00371363">
            <w:pPr>
              <w:spacing w:before="20" w:after="20"/>
              <w:jc w:val="both"/>
              <w:outlineLvl w:val="2"/>
              <w:rPr>
                <w:b/>
                <w:bCs/>
              </w:rPr>
            </w:pPr>
            <w:r w:rsidRPr="008E1FA7">
              <w:rPr>
                <w:b/>
                <w:bCs/>
              </w:rPr>
              <w:t xml:space="preserve">Devenir </w:t>
            </w:r>
          </w:p>
        </w:tc>
        <w:tc>
          <w:tcPr>
            <w:tcW w:w="6958" w:type="dxa"/>
            <w:tcBorders>
              <w:top w:val="single" w:sz="4" w:space="0" w:color="auto"/>
            </w:tcBorders>
            <w:shd w:val="clear" w:color="auto" w:fill="auto"/>
          </w:tcPr>
          <w:p w14:paraId="24E1C046" w14:textId="77777777" w:rsidR="00371363" w:rsidRPr="008E1FA7" w:rsidRDefault="00371363" w:rsidP="00371363">
            <w:pPr>
              <w:jc w:val="both"/>
              <w:rPr>
                <w:i/>
                <w:iCs/>
                <w:snapToGrid w:val="0"/>
              </w:rPr>
            </w:pPr>
          </w:p>
        </w:tc>
      </w:tr>
      <w:tr w:rsidR="00371363" w:rsidRPr="008E1FA7" w14:paraId="7B962605" w14:textId="77777777" w:rsidTr="009C493C">
        <w:tblPrEx>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93" w:type="dxa"/>
            <w:gridSpan w:val="5"/>
            <w:tcBorders>
              <w:top w:val="nil"/>
              <w:left w:val="nil"/>
              <w:bottom w:val="nil"/>
              <w:right w:val="nil"/>
            </w:tcBorders>
            <w:shd w:val="clear" w:color="auto" w:fill="auto"/>
          </w:tcPr>
          <w:p w14:paraId="4681C602" w14:textId="77777777" w:rsidR="00371363" w:rsidRPr="008E1FA7" w:rsidRDefault="00371363" w:rsidP="00371363">
            <w:pPr>
              <w:jc w:val="both"/>
            </w:pPr>
          </w:p>
        </w:tc>
      </w:tr>
      <w:tr w:rsidR="00371363" w:rsidRPr="008E1FA7" w14:paraId="760995C3" w14:textId="77777777" w:rsidTr="009C493C">
        <w:tblPrEx>
          <w:jc w:val="right"/>
        </w:tblPrEx>
        <w:trPr>
          <w:jc w:val="right"/>
        </w:trPr>
        <w:tc>
          <w:tcPr>
            <w:tcW w:w="716" w:type="dxa"/>
            <w:gridSpan w:val="2"/>
            <w:shd w:val="clear" w:color="auto" w:fill="auto"/>
          </w:tcPr>
          <w:p w14:paraId="4A3D9237" w14:textId="77777777" w:rsidR="00371363" w:rsidRPr="008E1FA7" w:rsidRDefault="00371363" w:rsidP="00371363">
            <w:pPr>
              <w:keepLines/>
              <w:jc w:val="both"/>
              <w:rPr>
                <w:b/>
              </w:rPr>
            </w:pPr>
            <w:r w:rsidRPr="008E1FA7">
              <w:rPr>
                <w:b/>
              </w:rPr>
              <w:t>4.1.1</w:t>
            </w:r>
          </w:p>
        </w:tc>
        <w:tc>
          <w:tcPr>
            <w:tcW w:w="1719" w:type="dxa"/>
            <w:gridSpan w:val="2"/>
            <w:shd w:val="clear" w:color="auto" w:fill="auto"/>
          </w:tcPr>
          <w:p w14:paraId="371F2052" w14:textId="77777777" w:rsidR="00371363" w:rsidRPr="008E1FA7" w:rsidRDefault="00371363" w:rsidP="00371363">
            <w:pPr>
              <w:spacing w:before="20" w:after="20"/>
              <w:jc w:val="both"/>
              <w:outlineLvl w:val="2"/>
              <w:rPr>
                <w:b/>
                <w:bCs/>
              </w:rPr>
            </w:pPr>
            <w:r w:rsidRPr="008E1FA7">
              <w:rPr>
                <w:b/>
                <w:bCs/>
              </w:rPr>
              <w:t>Sol</w:t>
            </w:r>
          </w:p>
        </w:tc>
        <w:tc>
          <w:tcPr>
            <w:tcW w:w="6958" w:type="dxa"/>
            <w:shd w:val="clear" w:color="auto" w:fill="auto"/>
          </w:tcPr>
          <w:p w14:paraId="4027C98C" w14:textId="0AB4B150" w:rsidR="00371363" w:rsidRPr="008E1FA7" w:rsidRDefault="00371363" w:rsidP="00664495">
            <w:pPr>
              <w:spacing w:after="120"/>
              <w:rPr>
                <w:iCs/>
                <w:snapToGrid w:val="0"/>
              </w:rPr>
            </w:pPr>
            <w:r w:rsidRPr="008E1FA7">
              <w:rPr>
                <w:bCs/>
                <w:iCs/>
                <w:snapToGrid w:val="0"/>
              </w:rPr>
              <w:t>Dégradation dans la nature : La p</w:t>
            </w:r>
            <w:r w:rsidRPr="008E1FA7">
              <w:rPr>
                <w:iCs/>
                <w:snapToGrid w:val="0"/>
              </w:rPr>
              <w:t>hotodégradation et la biodégradation constituent les mécanismes courants de dégradation du fenthion dans l</w:t>
            </w:r>
            <w:r w:rsidR="001503DA" w:rsidRPr="008E1FA7">
              <w:rPr>
                <w:iCs/>
                <w:snapToGrid w:val="0"/>
              </w:rPr>
              <w:t>’</w:t>
            </w:r>
            <w:r w:rsidRPr="008E1FA7">
              <w:rPr>
                <w:iCs/>
                <w:snapToGrid w:val="0"/>
              </w:rPr>
              <w:t>environnement (</w:t>
            </w:r>
            <w:r w:rsidRPr="008E1FA7">
              <w:t xml:space="preserve">Extension </w:t>
            </w:r>
            <w:proofErr w:type="spellStart"/>
            <w:r w:rsidRPr="008E1FA7">
              <w:t>Toxicology</w:t>
            </w:r>
            <w:proofErr w:type="spellEnd"/>
            <w:r w:rsidRPr="008E1FA7">
              <w:t xml:space="preserve"> Network 1993</w:t>
            </w:r>
            <w:r w:rsidRPr="008E1FA7">
              <w:rPr>
                <w:iCs/>
                <w:snapToGrid w:val="0"/>
              </w:rPr>
              <w:t>).</w:t>
            </w:r>
          </w:p>
          <w:p w14:paraId="516BDEF1" w14:textId="7A1BD06F" w:rsidR="00371363" w:rsidRPr="008E1FA7" w:rsidRDefault="00371363" w:rsidP="00664495">
            <w:pPr>
              <w:spacing w:after="120"/>
              <w:rPr>
                <w:iCs/>
                <w:snapToGrid w:val="0"/>
              </w:rPr>
            </w:pPr>
            <w:r w:rsidRPr="008E1FA7">
              <w:rPr>
                <w:iCs/>
                <w:snapToGrid w:val="0"/>
              </w:rPr>
              <w:t>La dégradation aérobie du fenthion est rapide et indépendante de la concentration utilisée. La demi</w:t>
            </w:r>
            <w:r w:rsidRPr="008E1FA7">
              <w:rPr>
                <w:iCs/>
                <w:snapToGrid w:val="0"/>
              </w:rPr>
              <w:noBreakHyphen/>
              <w:t>vie du produit dans le sol dans les conditions aérobies en laboratoire est faible (inférieure à 2 jours à 22 °C) et les temps de dégradation DT</w:t>
            </w:r>
            <w:r w:rsidRPr="008E1FA7">
              <w:rPr>
                <w:iCs/>
                <w:snapToGrid w:val="0"/>
                <w:vertAlign w:val="subscript"/>
              </w:rPr>
              <w:t>90</w:t>
            </w:r>
            <w:r w:rsidRPr="008E1FA7">
              <w:rPr>
                <w:iCs/>
                <w:snapToGrid w:val="0"/>
              </w:rPr>
              <w:t xml:space="preserve"> restent inférieurs à 10 jours dans ces conditions. Par conséquent, le fenthion ne persiste pas et ne s</w:t>
            </w:r>
            <w:r w:rsidR="001503DA" w:rsidRPr="008E1FA7">
              <w:rPr>
                <w:iCs/>
                <w:snapToGrid w:val="0"/>
              </w:rPr>
              <w:t>’</w:t>
            </w:r>
            <w:r w:rsidRPr="008E1FA7">
              <w:rPr>
                <w:iCs/>
                <w:snapToGrid w:val="0"/>
              </w:rPr>
              <w:t>accumule pas dans le sol (</w:t>
            </w:r>
            <w:r w:rsidRPr="008E1FA7">
              <w:t>UE 2005</w:t>
            </w:r>
            <w:r w:rsidRPr="008E1FA7">
              <w:rPr>
                <w:iCs/>
                <w:snapToGrid w:val="0"/>
              </w:rPr>
              <w:t>).</w:t>
            </w:r>
          </w:p>
          <w:p w14:paraId="3254B0A6" w14:textId="094F200F" w:rsidR="00371363" w:rsidRPr="008E1FA7" w:rsidRDefault="00371363" w:rsidP="00664495">
            <w:pPr>
              <w:spacing w:after="120"/>
              <w:rPr>
                <w:iCs/>
                <w:snapToGrid w:val="0"/>
              </w:rPr>
            </w:pPr>
            <w:r w:rsidRPr="008E1FA7">
              <w:rPr>
                <w:iCs/>
                <w:snapToGrid w:val="0"/>
              </w:rPr>
              <w:t>Dans le sol, le fenthion est dégradé en 4 à 6 semaines par photodégradation ainsi que sous l</w:t>
            </w:r>
            <w:r w:rsidR="001503DA" w:rsidRPr="008E1FA7">
              <w:rPr>
                <w:iCs/>
                <w:snapToGrid w:val="0"/>
              </w:rPr>
              <w:t>’</w:t>
            </w:r>
            <w:r w:rsidRPr="008E1FA7">
              <w:rPr>
                <w:iCs/>
                <w:snapToGrid w:val="0"/>
              </w:rPr>
              <w:t>action d</w:t>
            </w:r>
            <w:r w:rsidR="001503DA" w:rsidRPr="008E1FA7">
              <w:rPr>
                <w:iCs/>
                <w:snapToGrid w:val="0"/>
              </w:rPr>
              <w:t>’</w:t>
            </w:r>
            <w:r w:rsidRPr="008E1FA7">
              <w:rPr>
                <w:iCs/>
                <w:snapToGrid w:val="0"/>
              </w:rPr>
              <w:t>organismes anaérobies ou non </w:t>
            </w:r>
            <w:proofErr w:type="spellStart"/>
            <w:r w:rsidRPr="008E1FA7">
              <w:rPr>
                <w:iCs/>
                <w:snapToGrid w:val="0"/>
              </w:rPr>
              <w:t>photolytiques</w:t>
            </w:r>
            <w:proofErr w:type="spellEnd"/>
            <w:r w:rsidRPr="008E1FA7">
              <w:rPr>
                <w:iCs/>
                <w:snapToGrid w:val="0"/>
              </w:rPr>
              <w:t>. Cependant, les particules du sol adsorbant fortement le fenthion, il est donc moins susceptible de s</w:t>
            </w:r>
            <w:r w:rsidR="001503DA" w:rsidRPr="008E1FA7">
              <w:rPr>
                <w:iCs/>
                <w:snapToGrid w:val="0"/>
              </w:rPr>
              <w:t>’</w:t>
            </w:r>
            <w:r w:rsidRPr="008E1FA7">
              <w:rPr>
                <w:iCs/>
                <w:snapToGrid w:val="0"/>
              </w:rPr>
              <w:t>infiltrer avec l</w:t>
            </w:r>
            <w:r w:rsidR="001503DA" w:rsidRPr="008E1FA7">
              <w:rPr>
                <w:iCs/>
                <w:snapToGrid w:val="0"/>
              </w:rPr>
              <w:t>’</w:t>
            </w:r>
            <w:r w:rsidRPr="008E1FA7">
              <w:rPr>
                <w:iCs/>
                <w:snapToGrid w:val="0"/>
              </w:rPr>
              <w:t>eau dans les sols (</w:t>
            </w:r>
            <w:r w:rsidRPr="008E1FA7">
              <w:t xml:space="preserve">Extension </w:t>
            </w:r>
            <w:proofErr w:type="spellStart"/>
            <w:r w:rsidRPr="008E1FA7">
              <w:t>Toxicology</w:t>
            </w:r>
            <w:proofErr w:type="spellEnd"/>
            <w:r w:rsidRPr="008E1FA7">
              <w:t xml:space="preserve"> Network 1993</w:t>
            </w:r>
            <w:r w:rsidRPr="008E1FA7">
              <w:rPr>
                <w:iCs/>
                <w:snapToGrid w:val="0"/>
              </w:rPr>
              <w:t>).</w:t>
            </w:r>
          </w:p>
        </w:tc>
      </w:tr>
      <w:tr w:rsidR="00371363" w:rsidRPr="008E1FA7" w14:paraId="25D2F2D1" w14:textId="77777777" w:rsidTr="009C493C">
        <w:tblPrEx>
          <w:jc w:val="right"/>
        </w:tblPrEx>
        <w:trPr>
          <w:jc w:val="right"/>
        </w:trPr>
        <w:tc>
          <w:tcPr>
            <w:tcW w:w="9393" w:type="dxa"/>
            <w:gridSpan w:val="5"/>
            <w:shd w:val="clear" w:color="auto" w:fill="auto"/>
          </w:tcPr>
          <w:p w14:paraId="68C3424A" w14:textId="77777777" w:rsidR="00371363" w:rsidRPr="008E1FA7" w:rsidRDefault="00371363" w:rsidP="00422E25">
            <w:pPr>
              <w:autoSpaceDE w:val="0"/>
              <w:autoSpaceDN w:val="0"/>
              <w:adjustRightInd w:val="0"/>
              <w:rPr>
                <w:iCs/>
                <w:snapToGrid w:val="0"/>
              </w:rPr>
            </w:pPr>
          </w:p>
        </w:tc>
      </w:tr>
      <w:tr w:rsidR="00371363" w:rsidRPr="008E1FA7" w14:paraId="53E16F2C" w14:textId="77777777" w:rsidTr="009C493C">
        <w:tblPrEx>
          <w:jc w:val="right"/>
        </w:tblPrEx>
        <w:trPr>
          <w:jc w:val="right"/>
        </w:trPr>
        <w:tc>
          <w:tcPr>
            <w:tcW w:w="716" w:type="dxa"/>
            <w:gridSpan w:val="2"/>
            <w:shd w:val="clear" w:color="auto" w:fill="auto"/>
          </w:tcPr>
          <w:p w14:paraId="28B9FEEA" w14:textId="77777777" w:rsidR="00371363" w:rsidRPr="008E1FA7" w:rsidRDefault="00371363" w:rsidP="00371363">
            <w:pPr>
              <w:keepLines/>
              <w:rPr>
                <w:b/>
              </w:rPr>
            </w:pPr>
            <w:r w:rsidRPr="008E1FA7">
              <w:rPr>
                <w:b/>
              </w:rPr>
              <w:t>4.1.2</w:t>
            </w:r>
          </w:p>
        </w:tc>
        <w:tc>
          <w:tcPr>
            <w:tcW w:w="1719" w:type="dxa"/>
            <w:gridSpan w:val="2"/>
            <w:shd w:val="clear" w:color="auto" w:fill="auto"/>
          </w:tcPr>
          <w:p w14:paraId="02751953" w14:textId="77777777" w:rsidR="00371363" w:rsidRPr="008E1FA7" w:rsidRDefault="00371363" w:rsidP="00371363">
            <w:pPr>
              <w:spacing w:before="20" w:after="20"/>
              <w:outlineLvl w:val="2"/>
              <w:rPr>
                <w:b/>
                <w:bCs/>
              </w:rPr>
            </w:pPr>
            <w:r w:rsidRPr="008E1FA7">
              <w:rPr>
                <w:b/>
                <w:bCs/>
              </w:rPr>
              <w:t>Eau</w:t>
            </w:r>
          </w:p>
        </w:tc>
        <w:tc>
          <w:tcPr>
            <w:tcW w:w="6958" w:type="dxa"/>
            <w:shd w:val="clear" w:color="auto" w:fill="auto"/>
          </w:tcPr>
          <w:p w14:paraId="61592F1C" w14:textId="65129C8C" w:rsidR="00371363" w:rsidRPr="008E1FA7" w:rsidRDefault="00371363" w:rsidP="00664495">
            <w:pPr>
              <w:spacing w:after="120"/>
              <w:rPr>
                <w:iCs/>
                <w:snapToGrid w:val="0"/>
              </w:rPr>
            </w:pPr>
            <w:r w:rsidRPr="008E1FA7">
              <w:rPr>
                <w:iCs/>
                <w:snapToGrid w:val="0"/>
              </w:rPr>
              <w:t>La demi</w:t>
            </w:r>
            <w:r w:rsidRPr="008E1FA7">
              <w:rPr>
                <w:iCs/>
                <w:snapToGrid w:val="0"/>
              </w:rPr>
              <w:noBreakHyphen/>
              <w:t>vie du fenthion dans l</w:t>
            </w:r>
            <w:r w:rsidR="001503DA" w:rsidRPr="008E1FA7">
              <w:rPr>
                <w:iCs/>
                <w:snapToGrid w:val="0"/>
              </w:rPr>
              <w:t>’</w:t>
            </w:r>
            <w:r w:rsidRPr="008E1FA7">
              <w:rPr>
                <w:iCs/>
                <w:snapToGrid w:val="0"/>
              </w:rPr>
              <w:t>eau d</w:t>
            </w:r>
            <w:r w:rsidR="001503DA" w:rsidRPr="008E1FA7">
              <w:rPr>
                <w:iCs/>
                <w:snapToGrid w:val="0"/>
              </w:rPr>
              <w:t>’</w:t>
            </w:r>
            <w:r w:rsidRPr="008E1FA7">
              <w:rPr>
                <w:iCs/>
                <w:snapToGrid w:val="0"/>
              </w:rPr>
              <w:t>un étang naturel se situait dans une fourchette de 1 à 1.5 jours. Le temps de dégradation DT</w:t>
            </w:r>
            <w:r w:rsidRPr="008E1FA7">
              <w:rPr>
                <w:iCs/>
                <w:snapToGrid w:val="0"/>
                <w:vertAlign w:val="subscript"/>
              </w:rPr>
              <w:t>50</w:t>
            </w:r>
            <w:r w:rsidRPr="008E1FA7">
              <w:rPr>
                <w:iCs/>
                <w:snapToGrid w:val="0"/>
              </w:rPr>
              <w:t xml:space="preserve"> dans l</w:t>
            </w:r>
            <w:r w:rsidR="001503DA" w:rsidRPr="008E1FA7">
              <w:rPr>
                <w:iCs/>
                <w:snapToGrid w:val="0"/>
              </w:rPr>
              <w:t>’</w:t>
            </w:r>
            <w:r w:rsidRPr="008E1FA7">
              <w:rPr>
                <w:iCs/>
                <w:snapToGrid w:val="0"/>
              </w:rPr>
              <w:t>eau d</w:t>
            </w:r>
            <w:r w:rsidR="001503DA" w:rsidRPr="008E1FA7">
              <w:rPr>
                <w:iCs/>
                <w:snapToGrid w:val="0"/>
              </w:rPr>
              <w:t>’</w:t>
            </w:r>
            <w:r w:rsidRPr="008E1FA7">
              <w:rPr>
                <w:iCs/>
                <w:snapToGrid w:val="0"/>
              </w:rPr>
              <w:t>une rivière s</w:t>
            </w:r>
            <w:r w:rsidR="001503DA" w:rsidRPr="008E1FA7">
              <w:rPr>
                <w:iCs/>
                <w:snapToGrid w:val="0"/>
              </w:rPr>
              <w:t>’</w:t>
            </w:r>
            <w:r w:rsidRPr="008E1FA7">
              <w:rPr>
                <w:iCs/>
                <w:snapToGrid w:val="0"/>
              </w:rPr>
              <w:t>élevait à environ 7 jours et le DT</w:t>
            </w:r>
            <w:r w:rsidRPr="008E1FA7">
              <w:rPr>
                <w:iCs/>
                <w:snapToGrid w:val="0"/>
                <w:vertAlign w:val="subscript"/>
              </w:rPr>
              <w:t>90</w:t>
            </w:r>
            <w:r w:rsidRPr="008E1FA7">
              <w:rPr>
                <w:iCs/>
                <w:snapToGrid w:val="0"/>
              </w:rPr>
              <w:t xml:space="preserve"> à 14 jours. Cependant, on ne dispose d</w:t>
            </w:r>
            <w:r w:rsidR="001503DA" w:rsidRPr="008E1FA7">
              <w:rPr>
                <w:iCs/>
                <w:snapToGrid w:val="0"/>
              </w:rPr>
              <w:t>’</w:t>
            </w:r>
            <w:r w:rsidRPr="008E1FA7">
              <w:rPr>
                <w:iCs/>
                <w:snapToGrid w:val="0"/>
              </w:rPr>
              <w:t>aucune donnée sur le devenir des métabolites. Le temps de dégradation DT</w:t>
            </w:r>
            <w:r w:rsidRPr="008E1FA7">
              <w:rPr>
                <w:iCs/>
                <w:snapToGrid w:val="0"/>
                <w:vertAlign w:val="subscript"/>
              </w:rPr>
              <w:t>50</w:t>
            </w:r>
            <w:r w:rsidRPr="008E1FA7">
              <w:rPr>
                <w:iCs/>
                <w:snapToGrid w:val="0"/>
              </w:rPr>
              <w:t xml:space="preserve"> du fenthion dans les systèmes eau/sédiments était inférieur à 7 jours (UE 2005).</w:t>
            </w:r>
          </w:p>
          <w:p w14:paraId="35713A96" w14:textId="41AB6A95" w:rsidR="00371363" w:rsidRPr="008E1FA7" w:rsidRDefault="00371363" w:rsidP="00664495">
            <w:pPr>
              <w:spacing w:after="120"/>
              <w:rPr>
                <w:iCs/>
                <w:snapToGrid w:val="0"/>
              </w:rPr>
            </w:pPr>
            <w:r w:rsidRPr="008E1FA7">
              <w:rPr>
                <w:iCs/>
                <w:snapToGrid w:val="0"/>
              </w:rPr>
              <w:t>Dans un milieu aquatique normal, la demi</w:t>
            </w:r>
            <w:r w:rsidRPr="008E1FA7">
              <w:rPr>
                <w:iCs/>
                <w:snapToGrid w:val="0"/>
              </w:rPr>
              <w:noBreakHyphen/>
              <w:t xml:space="preserve">vie du fenthion se situe entre 3 et 21 jours. Il peut être dégradé par des mécanismes </w:t>
            </w:r>
            <w:proofErr w:type="spellStart"/>
            <w:r w:rsidRPr="008E1FA7">
              <w:rPr>
                <w:iCs/>
                <w:snapToGrid w:val="0"/>
              </w:rPr>
              <w:t>photodynamiques</w:t>
            </w:r>
            <w:proofErr w:type="spellEnd"/>
            <w:r w:rsidRPr="008E1FA7">
              <w:rPr>
                <w:iCs/>
                <w:snapToGrid w:val="0"/>
              </w:rPr>
              <w:t>, chimiques ou biologiques, notamment par hydrolyse, oxydation et/ou alkylation</w:t>
            </w:r>
            <w:r w:rsidRPr="008E1FA7">
              <w:rPr>
                <w:iCs/>
                <w:snapToGrid w:val="0"/>
              </w:rPr>
              <w:noBreakHyphen/>
            </w:r>
            <w:proofErr w:type="spellStart"/>
            <w:r w:rsidRPr="008E1FA7">
              <w:rPr>
                <w:iCs/>
                <w:snapToGrid w:val="0"/>
              </w:rPr>
              <w:t>désalkylation</w:t>
            </w:r>
            <w:proofErr w:type="spellEnd"/>
            <w:r w:rsidRPr="008E1FA7">
              <w:rPr>
                <w:iCs/>
                <w:snapToGrid w:val="0"/>
              </w:rPr>
              <w:t>, qui dépendent de la présence de lumière, de la température, de l</w:t>
            </w:r>
            <w:r w:rsidR="001503DA" w:rsidRPr="008E1FA7">
              <w:rPr>
                <w:iCs/>
                <w:snapToGrid w:val="0"/>
              </w:rPr>
              <w:t>’</w:t>
            </w:r>
            <w:r w:rsidRPr="008E1FA7">
              <w:rPr>
                <w:iCs/>
                <w:snapToGrid w:val="0"/>
              </w:rPr>
              <w:t>alcalinité ou de l</w:t>
            </w:r>
            <w:r w:rsidR="001503DA" w:rsidRPr="008E1FA7">
              <w:rPr>
                <w:iCs/>
                <w:snapToGrid w:val="0"/>
              </w:rPr>
              <w:t>’</w:t>
            </w:r>
            <w:r w:rsidRPr="008E1FA7">
              <w:rPr>
                <w:iCs/>
                <w:snapToGrid w:val="0"/>
              </w:rPr>
              <w:t>activité enzymatique (</w:t>
            </w:r>
            <w:r w:rsidRPr="008E1FA7">
              <w:t xml:space="preserve">Extension </w:t>
            </w:r>
            <w:proofErr w:type="spellStart"/>
            <w:r w:rsidRPr="008E1FA7">
              <w:t>Toxicology</w:t>
            </w:r>
            <w:proofErr w:type="spellEnd"/>
            <w:r w:rsidRPr="008E1FA7">
              <w:t xml:space="preserve"> Network 1993</w:t>
            </w:r>
            <w:r w:rsidRPr="008E1FA7">
              <w:rPr>
                <w:iCs/>
                <w:snapToGrid w:val="0"/>
              </w:rPr>
              <w:t>).</w:t>
            </w:r>
          </w:p>
        </w:tc>
      </w:tr>
      <w:tr w:rsidR="00371363" w:rsidRPr="008E1FA7" w14:paraId="713A75B5" w14:textId="77777777" w:rsidTr="009C493C">
        <w:tblPrEx>
          <w:jc w:val="right"/>
        </w:tblPrEx>
        <w:trPr>
          <w:jc w:val="right"/>
        </w:trPr>
        <w:tc>
          <w:tcPr>
            <w:tcW w:w="9393" w:type="dxa"/>
            <w:gridSpan w:val="5"/>
            <w:shd w:val="clear" w:color="auto" w:fill="auto"/>
          </w:tcPr>
          <w:p w14:paraId="0A72CD4B" w14:textId="77777777" w:rsidR="00371363" w:rsidRPr="008E1FA7" w:rsidRDefault="00371363" w:rsidP="00371363">
            <w:pPr>
              <w:keepNext/>
              <w:outlineLvl w:val="8"/>
              <w:rPr>
                <w:iCs/>
                <w:snapToGrid w:val="0"/>
              </w:rPr>
            </w:pPr>
          </w:p>
        </w:tc>
      </w:tr>
      <w:tr w:rsidR="00371363" w:rsidRPr="008E1FA7" w14:paraId="7E417C8D" w14:textId="77777777" w:rsidTr="009C493C">
        <w:tblPrEx>
          <w:jc w:val="right"/>
        </w:tblPrEx>
        <w:trPr>
          <w:jc w:val="right"/>
        </w:trPr>
        <w:tc>
          <w:tcPr>
            <w:tcW w:w="716" w:type="dxa"/>
            <w:gridSpan w:val="2"/>
            <w:shd w:val="clear" w:color="auto" w:fill="auto"/>
          </w:tcPr>
          <w:p w14:paraId="6AC29B2F" w14:textId="77777777" w:rsidR="00371363" w:rsidRPr="008E1FA7" w:rsidRDefault="00371363" w:rsidP="00371363">
            <w:pPr>
              <w:keepLines/>
              <w:jc w:val="both"/>
              <w:rPr>
                <w:b/>
              </w:rPr>
            </w:pPr>
            <w:r w:rsidRPr="008E1FA7">
              <w:rPr>
                <w:b/>
              </w:rPr>
              <w:t>4.1.3</w:t>
            </w:r>
          </w:p>
        </w:tc>
        <w:tc>
          <w:tcPr>
            <w:tcW w:w="1719" w:type="dxa"/>
            <w:gridSpan w:val="2"/>
            <w:shd w:val="clear" w:color="auto" w:fill="auto"/>
          </w:tcPr>
          <w:p w14:paraId="46C852C9" w14:textId="77777777" w:rsidR="00371363" w:rsidRPr="008E1FA7" w:rsidRDefault="00371363" w:rsidP="00371363">
            <w:pPr>
              <w:spacing w:before="20" w:after="20"/>
              <w:jc w:val="both"/>
              <w:outlineLvl w:val="2"/>
              <w:rPr>
                <w:b/>
                <w:bCs/>
              </w:rPr>
            </w:pPr>
            <w:r w:rsidRPr="008E1FA7">
              <w:rPr>
                <w:b/>
                <w:bCs/>
              </w:rPr>
              <w:t>Air</w:t>
            </w:r>
          </w:p>
        </w:tc>
        <w:tc>
          <w:tcPr>
            <w:tcW w:w="6958" w:type="dxa"/>
            <w:shd w:val="clear" w:color="auto" w:fill="auto"/>
          </w:tcPr>
          <w:p w14:paraId="0E1CB467" w14:textId="1EBABC9E" w:rsidR="00371363" w:rsidRPr="008E1FA7" w:rsidRDefault="00371363" w:rsidP="00371363">
            <w:pPr>
              <w:keepNext/>
              <w:spacing w:before="20"/>
              <w:outlineLvl w:val="8"/>
              <w:rPr>
                <w:iCs/>
                <w:snapToGrid w:val="0"/>
              </w:rPr>
            </w:pPr>
            <w:r w:rsidRPr="008E1FA7">
              <w:rPr>
                <w:iCs/>
                <w:snapToGrid w:val="0"/>
              </w:rPr>
              <w:t>Dans l</w:t>
            </w:r>
            <w:r w:rsidR="001503DA" w:rsidRPr="008E1FA7">
              <w:rPr>
                <w:iCs/>
                <w:snapToGrid w:val="0"/>
              </w:rPr>
              <w:t>’</w:t>
            </w:r>
            <w:r w:rsidRPr="008E1FA7">
              <w:rPr>
                <w:iCs/>
                <w:snapToGrid w:val="0"/>
              </w:rPr>
              <w:t>atmosphère, le fenthion en phase gazeuse réagit rapidement avec les radicaux hydroxyles formés par réaction photochimique et sa demi</w:t>
            </w:r>
            <w:r w:rsidRPr="008E1FA7">
              <w:rPr>
                <w:iCs/>
                <w:snapToGrid w:val="0"/>
              </w:rPr>
              <w:noBreakHyphen/>
              <w:t>vie est d</w:t>
            </w:r>
            <w:r w:rsidR="001503DA" w:rsidRPr="008E1FA7">
              <w:rPr>
                <w:iCs/>
                <w:snapToGrid w:val="0"/>
              </w:rPr>
              <w:t>’</w:t>
            </w:r>
            <w:r w:rsidRPr="008E1FA7">
              <w:rPr>
                <w:iCs/>
                <w:snapToGrid w:val="0"/>
              </w:rPr>
              <w:t>environ 5 heures (</w:t>
            </w:r>
            <w:r w:rsidRPr="008E1FA7">
              <w:t xml:space="preserve">Extension </w:t>
            </w:r>
            <w:proofErr w:type="spellStart"/>
            <w:r w:rsidRPr="008E1FA7">
              <w:t>Toxicology</w:t>
            </w:r>
            <w:proofErr w:type="spellEnd"/>
            <w:r w:rsidRPr="008E1FA7">
              <w:t xml:space="preserve"> Network 1993</w:t>
            </w:r>
            <w:r w:rsidRPr="008E1FA7">
              <w:rPr>
                <w:iCs/>
                <w:snapToGrid w:val="0"/>
              </w:rPr>
              <w:t>). La DT</w:t>
            </w:r>
            <w:r w:rsidRPr="008E1FA7">
              <w:rPr>
                <w:iCs/>
                <w:snapToGrid w:val="0"/>
                <w:vertAlign w:val="subscript"/>
              </w:rPr>
              <w:t>50</w:t>
            </w:r>
            <w:r w:rsidRPr="008E1FA7">
              <w:rPr>
                <w:iCs/>
                <w:snapToGrid w:val="0"/>
              </w:rPr>
              <w:t xml:space="preserve"> s</w:t>
            </w:r>
            <w:r w:rsidR="001503DA" w:rsidRPr="008E1FA7">
              <w:rPr>
                <w:iCs/>
                <w:snapToGrid w:val="0"/>
              </w:rPr>
              <w:t>’</w:t>
            </w:r>
            <w:r w:rsidRPr="008E1FA7">
              <w:rPr>
                <w:iCs/>
                <w:snapToGrid w:val="0"/>
              </w:rPr>
              <w:t>élève à 2</w:t>
            </w:r>
            <w:r w:rsidRPr="008E1FA7">
              <w:rPr>
                <w:iCs/>
                <w:snapToGrid w:val="0"/>
              </w:rPr>
              <w:noBreakHyphen/>
              <w:t>4 heures pour la dégradation par oxydation photochimique dans l</w:t>
            </w:r>
            <w:r w:rsidR="001503DA" w:rsidRPr="008E1FA7">
              <w:rPr>
                <w:iCs/>
                <w:snapToGrid w:val="0"/>
              </w:rPr>
              <w:t>’</w:t>
            </w:r>
            <w:r w:rsidRPr="008E1FA7">
              <w:rPr>
                <w:iCs/>
                <w:snapToGrid w:val="0"/>
              </w:rPr>
              <w:t>air (UE 2002).</w:t>
            </w:r>
          </w:p>
        </w:tc>
      </w:tr>
      <w:tr w:rsidR="00371363" w:rsidRPr="008E1FA7" w14:paraId="03C472C4" w14:textId="77777777" w:rsidTr="009C493C">
        <w:tblPrEx>
          <w:jc w:val="right"/>
        </w:tblPrEx>
        <w:trPr>
          <w:jc w:val="right"/>
        </w:trPr>
        <w:tc>
          <w:tcPr>
            <w:tcW w:w="9393" w:type="dxa"/>
            <w:gridSpan w:val="5"/>
            <w:shd w:val="clear" w:color="auto" w:fill="auto"/>
          </w:tcPr>
          <w:p w14:paraId="315422B6" w14:textId="77777777" w:rsidR="00371363" w:rsidRPr="008E1FA7" w:rsidRDefault="00371363" w:rsidP="00371363">
            <w:pPr>
              <w:spacing w:before="20"/>
              <w:rPr>
                <w:snapToGrid w:val="0"/>
              </w:rPr>
            </w:pPr>
          </w:p>
        </w:tc>
      </w:tr>
      <w:tr w:rsidR="00371363" w:rsidRPr="008E1FA7" w14:paraId="16FDB1CE" w14:textId="77777777" w:rsidTr="009C493C">
        <w:tblPrEx>
          <w:jc w:val="right"/>
        </w:tblPrEx>
        <w:trPr>
          <w:jc w:val="right"/>
        </w:trPr>
        <w:tc>
          <w:tcPr>
            <w:tcW w:w="716" w:type="dxa"/>
            <w:gridSpan w:val="2"/>
            <w:shd w:val="clear" w:color="auto" w:fill="auto"/>
          </w:tcPr>
          <w:p w14:paraId="22738A18" w14:textId="77777777" w:rsidR="00371363" w:rsidRPr="008E1FA7" w:rsidRDefault="00371363" w:rsidP="00371363">
            <w:pPr>
              <w:keepLines/>
              <w:jc w:val="both"/>
              <w:rPr>
                <w:b/>
              </w:rPr>
            </w:pPr>
            <w:r w:rsidRPr="008E1FA7">
              <w:rPr>
                <w:b/>
              </w:rPr>
              <w:t>4.1.4</w:t>
            </w:r>
          </w:p>
        </w:tc>
        <w:tc>
          <w:tcPr>
            <w:tcW w:w="1719" w:type="dxa"/>
            <w:gridSpan w:val="2"/>
            <w:shd w:val="clear" w:color="auto" w:fill="auto"/>
          </w:tcPr>
          <w:p w14:paraId="458579BC" w14:textId="77777777" w:rsidR="00371363" w:rsidRPr="008E1FA7" w:rsidRDefault="00371363" w:rsidP="00371363">
            <w:pPr>
              <w:spacing w:before="20" w:after="20"/>
              <w:jc w:val="both"/>
              <w:outlineLvl w:val="2"/>
              <w:rPr>
                <w:b/>
                <w:bCs/>
              </w:rPr>
            </w:pPr>
            <w:r w:rsidRPr="008E1FA7">
              <w:rPr>
                <w:b/>
                <w:bCs/>
              </w:rPr>
              <w:t>Bioconcentration</w:t>
            </w:r>
          </w:p>
        </w:tc>
        <w:tc>
          <w:tcPr>
            <w:tcW w:w="6958" w:type="dxa"/>
            <w:shd w:val="clear" w:color="auto" w:fill="auto"/>
          </w:tcPr>
          <w:p w14:paraId="2C9BF1EC" w14:textId="77777777" w:rsidR="00371363" w:rsidRPr="008E1FA7" w:rsidRDefault="00371363" w:rsidP="00371363">
            <w:pPr>
              <w:spacing w:before="20"/>
              <w:rPr>
                <w:iCs/>
                <w:snapToGrid w:val="0"/>
              </w:rPr>
            </w:pPr>
            <w:r w:rsidRPr="008E1FA7">
              <w:rPr>
                <w:snapToGrid w:val="0"/>
              </w:rPr>
              <w:t>Log P</w:t>
            </w:r>
            <w:r w:rsidRPr="008E1FA7">
              <w:rPr>
                <w:snapToGrid w:val="0"/>
                <w:vertAlign w:val="subscript"/>
              </w:rPr>
              <w:t>oe </w:t>
            </w:r>
            <w:r w:rsidRPr="008E1FA7">
              <w:rPr>
                <w:snapToGrid w:val="0"/>
              </w:rPr>
              <w:t xml:space="preserve">: 4.84 </w:t>
            </w:r>
            <w:r w:rsidRPr="008E1FA7">
              <w:rPr>
                <w:iCs/>
                <w:snapToGrid w:val="0"/>
              </w:rPr>
              <w:t>(UE 2002).</w:t>
            </w:r>
          </w:p>
          <w:p w14:paraId="759CAF4A" w14:textId="77777777" w:rsidR="00371363" w:rsidRPr="008E1FA7" w:rsidRDefault="00371363" w:rsidP="00371363">
            <w:pPr>
              <w:spacing w:before="20"/>
              <w:rPr>
                <w:snapToGrid w:val="0"/>
              </w:rPr>
            </w:pPr>
            <w:r w:rsidRPr="008E1FA7">
              <w:rPr>
                <w:iCs/>
                <w:snapToGrid w:val="0"/>
              </w:rPr>
              <w:t>Facteur de bioconcentration (FBC, poisson) : 33 (UE 2002).</w:t>
            </w:r>
          </w:p>
        </w:tc>
      </w:tr>
      <w:tr w:rsidR="00371363" w:rsidRPr="008E1FA7" w14:paraId="5C55B0A0" w14:textId="77777777" w:rsidTr="009C493C">
        <w:tblPrEx>
          <w:jc w:val="right"/>
        </w:tblPrEx>
        <w:trPr>
          <w:jc w:val="right"/>
        </w:trPr>
        <w:tc>
          <w:tcPr>
            <w:tcW w:w="9393" w:type="dxa"/>
            <w:gridSpan w:val="5"/>
            <w:shd w:val="clear" w:color="auto" w:fill="auto"/>
          </w:tcPr>
          <w:p w14:paraId="1D9AF27F" w14:textId="77777777" w:rsidR="00371363" w:rsidRPr="008E1FA7" w:rsidRDefault="00371363" w:rsidP="00371363">
            <w:pPr>
              <w:spacing w:before="20"/>
              <w:rPr>
                <w:snapToGrid w:val="0"/>
              </w:rPr>
            </w:pPr>
          </w:p>
        </w:tc>
      </w:tr>
      <w:tr w:rsidR="00371363" w:rsidRPr="008E1FA7" w14:paraId="005E5A1F" w14:textId="77777777" w:rsidTr="009C493C">
        <w:tblPrEx>
          <w:jc w:val="right"/>
        </w:tblPrEx>
        <w:trPr>
          <w:jc w:val="right"/>
        </w:trPr>
        <w:tc>
          <w:tcPr>
            <w:tcW w:w="716" w:type="dxa"/>
            <w:gridSpan w:val="2"/>
            <w:shd w:val="clear" w:color="auto" w:fill="auto"/>
          </w:tcPr>
          <w:p w14:paraId="5E65D6B2" w14:textId="77777777" w:rsidR="00371363" w:rsidRPr="008E1FA7" w:rsidRDefault="00371363" w:rsidP="00371363">
            <w:pPr>
              <w:keepLines/>
              <w:jc w:val="both"/>
              <w:rPr>
                <w:b/>
              </w:rPr>
            </w:pPr>
            <w:r w:rsidRPr="008E1FA7">
              <w:rPr>
                <w:b/>
              </w:rPr>
              <w:t>4.1.5</w:t>
            </w:r>
          </w:p>
        </w:tc>
        <w:tc>
          <w:tcPr>
            <w:tcW w:w="1719" w:type="dxa"/>
            <w:gridSpan w:val="2"/>
            <w:shd w:val="clear" w:color="auto" w:fill="auto"/>
          </w:tcPr>
          <w:p w14:paraId="03EA4C13" w14:textId="77777777" w:rsidR="00371363" w:rsidRPr="008E1FA7" w:rsidRDefault="00371363" w:rsidP="00371363">
            <w:pPr>
              <w:spacing w:before="20" w:after="20"/>
              <w:jc w:val="both"/>
              <w:outlineLvl w:val="2"/>
              <w:rPr>
                <w:b/>
                <w:bCs/>
              </w:rPr>
            </w:pPr>
            <w:r w:rsidRPr="008E1FA7">
              <w:rPr>
                <w:b/>
                <w:bCs/>
              </w:rPr>
              <w:t>Persistance</w:t>
            </w:r>
          </w:p>
        </w:tc>
        <w:tc>
          <w:tcPr>
            <w:tcW w:w="6958" w:type="dxa"/>
            <w:shd w:val="clear" w:color="auto" w:fill="auto"/>
          </w:tcPr>
          <w:p w14:paraId="4E752D79" w14:textId="77777777" w:rsidR="00371363" w:rsidRPr="008E1FA7" w:rsidRDefault="00371363" w:rsidP="00371363">
            <w:pPr>
              <w:spacing w:before="20"/>
              <w:rPr>
                <w:snapToGrid w:val="0"/>
              </w:rPr>
            </w:pPr>
            <w:r w:rsidRPr="008E1FA7">
              <w:rPr>
                <w:snapToGrid w:val="0"/>
              </w:rPr>
              <w:t>Sol, DT</w:t>
            </w:r>
            <w:r w:rsidRPr="008E1FA7">
              <w:rPr>
                <w:snapToGrid w:val="0"/>
                <w:vertAlign w:val="subscript"/>
              </w:rPr>
              <w:t xml:space="preserve">50 </w:t>
            </w:r>
            <w:r w:rsidRPr="008E1FA7">
              <w:rPr>
                <w:snapToGrid w:val="0"/>
              </w:rPr>
              <w:t>(en laboratoire, aérobie) : 7 à &lt; 2 jours; non persistant (UE 2002).</w:t>
            </w:r>
          </w:p>
        </w:tc>
      </w:tr>
      <w:tr w:rsidR="00371363" w:rsidRPr="008E1FA7" w14:paraId="59B93F9D" w14:textId="77777777" w:rsidTr="009C493C">
        <w:tblPrEx>
          <w:jc w:val="right"/>
        </w:tblPrEx>
        <w:trPr>
          <w:jc w:val="right"/>
        </w:trPr>
        <w:tc>
          <w:tcPr>
            <w:tcW w:w="716" w:type="dxa"/>
            <w:gridSpan w:val="2"/>
            <w:shd w:val="clear" w:color="auto" w:fill="auto"/>
          </w:tcPr>
          <w:p w14:paraId="3EB3FE99" w14:textId="77777777" w:rsidR="00371363" w:rsidRPr="008E1FA7" w:rsidRDefault="00371363" w:rsidP="00371363">
            <w:pPr>
              <w:keepLines/>
              <w:jc w:val="both"/>
              <w:rPr>
                <w:b/>
              </w:rPr>
            </w:pPr>
            <w:r w:rsidRPr="008E1FA7">
              <w:rPr>
                <w:b/>
              </w:rPr>
              <w:t>4.2</w:t>
            </w:r>
          </w:p>
        </w:tc>
        <w:tc>
          <w:tcPr>
            <w:tcW w:w="1719" w:type="dxa"/>
            <w:gridSpan w:val="2"/>
            <w:shd w:val="clear" w:color="auto" w:fill="auto"/>
          </w:tcPr>
          <w:p w14:paraId="1A3B1B49" w14:textId="1B144720" w:rsidR="00371363" w:rsidRPr="008E1FA7" w:rsidRDefault="00371363" w:rsidP="00371363">
            <w:pPr>
              <w:spacing w:before="20" w:after="20"/>
              <w:outlineLvl w:val="2"/>
              <w:rPr>
                <w:b/>
                <w:bCs/>
              </w:rPr>
            </w:pPr>
            <w:r w:rsidRPr="008E1FA7">
              <w:rPr>
                <w:b/>
                <w:bCs/>
              </w:rPr>
              <w:t>Effets sur les</w:t>
            </w:r>
            <w:r w:rsidR="00CC1D44" w:rsidRPr="008E1FA7">
              <w:rPr>
                <w:b/>
                <w:bCs/>
              </w:rPr>
              <w:t> </w:t>
            </w:r>
            <w:r w:rsidRPr="008E1FA7">
              <w:rPr>
                <w:b/>
                <w:bCs/>
              </w:rPr>
              <w:t>organismes non visés</w:t>
            </w:r>
          </w:p>
        </w:tc>
        <w:tc>
          <w:tcPr>
            <w:tcW w:w="6958" w:type="dxa"/>
            <w:shd w:val="clear" w:color="auto" w:fill="auto"/>
          </w:tcPr>
          <w:p w14:paraId="6892905D" w14:textId="51BDFA36" w:rsidR="00371363" w:rsidRPr="008E1FA7" w:rsidRDefault="00371363" w:rsidP="00371363">
            <w:pPr>
              <w:spacing w:before="20"/>
              <w:rPr>
                <w:snapToGrid w:val="0"/>
              </w:rPr>
            </w:pPr>
            <w:r w:rsidRPr="008E1FA7">
              <w:rPr>
                <w:rFonts w:eastAsia="Batang"/>
              </w:rPr>
              <w:t>Malgré une demi</w:t>
            </w:r>
            <w:r w:rsidRPr="008E1FA7">
              <w:rPr>
                <w:rFonts w:eastAsia="Batang"/>
              </w:rPr>
              <w:noBreakHyphen/>
              <w:t>vie courte dans l</w:t>
            </w:r>
            <w:r w:rsidR="001503DA" w:rsidRPr="008E1FA7">
              <w:rPr>
                <w:rFonts w:eastAsia="Batang"/>
              </w:rPr>
              <w:t>’</w:t>
            </w:r>
            <w:r w:rsidRPr="008E1FA7">
              <w:rPr>
                <w:rFonts w:eastAsia="Batang"/>
              </w:rPr>
              <w:t>environnement, le fenthion présente une toxicité très significative pour les oiseaux et les invertébrés estuariens/marins. Le fenthion est utilisé dans certaines parties du monde dans le cadre de la lutte contre les oiseaux ravageurs, comme les tisserins, mais nombre d</w:t>
            </w:r>
            <w:r w:rsidR="001503DA" w:rsidRPr="008E1FA7">
              <w:rPr>
                <w:rFonts w:eastAsia="Batang"/>
              </w:rPr>
              <w:t>’</w:t>
            </w:r>
            <w:r w:rsidRPr="008E1FA7">
              <w:rPr>
                <w:rFonts w:eastAsia="Batang"/>
              </w:rPr>
              <w:t>oiseaux sauvages non visés sont victimes d</w:t>
            </w:r>
            <w:r w:rsidR="001503DA" w:rsidRPr="008E1FA7">
              <w:rPr>
                <w:rFonts w:eastAsia="Batang"/>
              </w:rPr>
              <w:t>’</w:t>
            </w:r>
            <w:r w:rsidRPr="008E1FA7">
              <w:rPr>
                <w:rFonts w:eastAsia="Batang"/>
              </w:rPr>
              <w:t>intoxication au fenthion. Les symptômes aigus d</w:t>
            </w:r>
            <w:r w:rsidR="001503DA" w:rsidRPr="008E1FA7">
              <w:rPr>
                <w:rFonts w:eastAsia="Batang"/>
              </w:rPr>
              <w:t>’</w:t>
            </w:r>
            <w:r w:rsidRPr="008E1FA7">
              <w:rPr>
                <w:rFonts w:eastAsia="Batang"/>
              </w:rPr>
              <w:t>intoxication au fenthion chez les oiseaux sont notamment les suivants : larmoiement, salivation spumeuse, absence de mouvement, tremblements, congestion de la trachée, manque de coordination de la marche et respiration anormalement rapide ou laborieuse. Le fenthion est toxique pour les poissons et les autres espèces aquatiques. Les abeilles sont aussi très touchées par la contamination liée au fenthion</w:t>
            </w:r>
            <w:r w:rsidRPr="008E1FA7">
              <w:t xml:space="preserve"> (</w:t>
            </w:r>
            <w:r w:rsidRPr="008E1FA7">
              <w:rPr>
                <w:bCs/>
                <w:lang w:eastAsia="en-GB"/>
              </w:rPr>
              <w:t xml:space="preserve">UNEP/FAO/RC/CRC.9/4/Add.2, </w:t>
            </w:r>
            <w:r w:rsidRPr="008E1FA7">
              <w:t>p. 90).</w:t>
            </w:r>
          </w:p>
        </w:tc>
      </w:tr>
      <w:tr w:rsidR="00371363" w:rsidRPr="008E1FA7" w14:paraId="13E88211" w14:textId="77777777" w:rsidTr="009C493C">
        <w:tblPrEx>
          <w:jc w:val="right"/>
        </w:tblPrEx>
        <w:trPr>
          <w:jc w:val="right"/>
        </w:trPr>
        <w:tc>
          <w:tcPr>
            <w:tcW w:w="9393" w:type="dxa"/>
            <w:gridSpan w:val="5"/>
            <w:shd w:val="clear" w:color="auto" w:fill="auto"/>
          </w:tcPr>
          <w:p w14:paraId="32CA3F3B" w14:textId="77777777" w:rsidR="00371363" w:rsidRPr="008E1FA7" w:rsidRDefault="00371363" w:rsidP="00371363">
            <w:pPr>
              <w:rPr>
                <w:snapToGrid w:val="0"/>
              </w:rPr>
            </w:pPr>
          </w:p>
        </w:tc>
      </w:tr>
      <w:tr w:rsidR="00371363" w:rsidRPr="008E1FA7" w14:paraId="16408B4E" w14:textId="77777777" w:rsidTr="009C493C">
        <w:tblPrEx>
          <w:jc w:val="right"/>
        </w:tblPrEx>
        <w:trPr>
          <w:jc w:val="right"/>
        </w:trPr>
        <w:tc>
          <w:tcPr>
            <w:tcW w:w="716" w:type="dxa"/>
            <w:gridSpan w:val="2"/>
            <w:shd w:val="clear" w:color="auto" w:fill="auto"/>
          </w:tcPr>
          <w:p w14:paraId="59D29287" w14:textId="77777777" w:rsidR="00371363" w:rsidRPr="008E1FA7" w:rsidRDefault="00371363" w:rsidP="00664495">
            <w:pPr>
              <w:keepNext/>
              <w:keepLines/>
              <w:jc w:val="both"/>
              <w:rPr>
                <w:b/>
              </w:rPr>
            </w:pPr>
            <w:r w:rsidRPr="008E1FA7">
              <w:rPr>
                <w:b/>
              </w:rPr>
              <w:t>4.2.1</w:t>
            </w:r>
          </w:p>
        </w:tc>
        <w:tc>
          <w:tcPr>
            <w:tcW w:w="1719" w:type="dxa"/>
            <w:gridSpan w:val="2"/>
            <w:shd w:val="clear" w:color="auto" w:fill="auto"/>
          </w:tcPr>
          <w:p w14:paraId="7E4C2266" w14:textId="77777777" w:rsidR="00371363" w:rsidRPr="008E1FA7" w:rsidRDefault="00371363" w:rsidP="00664495">
            <w:pPr>
              <w:keepNext/>
              <w:keepLines/>
              <w:spacing w:before="20" w:after="20"/>
              <w:jc w:val="both"/>
              <w:outlineLvl w:val="2"/>
              <w:rPr>
                <w:b/>
                <w:bCs/>
              </w:rPr>
            </w:pPr>
            <w:r w:rsidRPr="008E1FA7">
              <w:rPr>
                <w:b/>
                <w:bCs/>
              </w:rPr>
              <w:t>Vertébrés terrestres</w:t>
            </w:r>
          </w:p>
        </w:tc>
        <w:tc>
          <w:tcPr>
            <w:tcW w:w="6958" w:type="dxa"/>
            <w:shd w:val="clear" w:color="auto" w:fill="auto"/>
          </w:tcPr>
          <w:p w14:paraId="49D0AFB2" w14:textId="77777777" w:rsidR="00371363" w:rsidRPr="008E1FA7" w:rsidRDefault="00371363" w:rsidP="00664495">
            <w:pPr>
              <w:keepNext/>
              <w:keepLines/>
              <w:spacing w:after="120"/>
              <w:rPr>
                <w:snapToGrid w:val="0"/>
              </w:rPr>
            </w:pPr>
            <w:r w:rsidRPr="008E1FA7">
              <w:rPr>
                <w:snapToGrid w:val="0"/>
              </w:rPr>
              <w:t>Toxicité chez les mammifères : voir point 2.</w:t>
            </w:r>
          </w:p>
          <w:p w14:paraId="65F11741" w14:textId="77777777" w:rsidR="00371363" w:rsidRPr="008E1FA7" w:rsidRDefault="00371363" w:rsidP="00664495">
            <w:pPr>
              <w:keepNext/>
              <w:keepLines/>
              <w:spacing w:after="120"/>
              <w:rPr>
                <w:snapToGrid w:val="0"/>
              </w:rPr>
            </w:pPr>
            <w:r w:rsidRPr="008E1FA7">
              <w:rPr>
                <w:snapToGrid w:val="0"/>
              </w:rPr>
              <w:t>Toxicité aiguë chez le colin de Virginie : DL</w:t>
            </w:r>
            <w:r w:rsidRPr="008E1FA7">
              <w:rPr>
                <w:snapToGrid w:val="0"/>
                <w:vertAlign w:val="subscript"/>
              </w:rPr>
              <w:t>50</w:t>
            </w:r>
            <w:r w:rsidRPr="008E1FA7">
              <w:rPr>
                <w:snapToGrid w:val="0"/>
              </w:rPr>
              <w:t xml:space="preserve"> égale à 7,2 mg/kg p.c. (FAO 2004, UE 2002).</w:t>
            </w:r>
          </w:p>
          <w:p w14:paraId="6D15FF6A" w14:textId="06434E43" w:rsidR="00371363" w:rsidRPr="008E1FA7" w:rsidRDefault="00371363" w:rsidP="00664495">
            <w:pPr>
              <w:keepNext/>
              <w:keepLines/>
              <w:spacing w:after="120"/>
              <w:rPr>
                <w:snapToGrid w:val="0"/>
              </w:rPr>
            </w:pPr>
            <w:r w:rsidRPr="008E1FA7">
              <w:rPr>
                <w:snapToGrid w:val="0"/>
              </w:rPr>
              <w:t>Toxicité alimentaire (subaiguë) chez le colin de Virginie : CL</w:t>
            </w:r>
            <w:r w:rsidRPr="008E1FA7">
              <w:rPr>
                <w:snapToGrid w:val="0"/>
                <w:vertAlign w:val="subscript"/>
              </w:rPr>
              <w:t>50</w:t>
            </w:r>
            <w:r w:rsidRPr="008E1FA7">
              <w:rPr>
                <w:snapToGrid w:val="0"/>
              </w:rPr>
              <w:t xml:space="preserve"> égale à 60 ppm d</w:t>
            </w:r>
            <w:r w:rsidR="001503DA" w:rsidRPr="008E1FA7">
              <w:rPr>
                <w:snapToGrid w:val="0"/>
              </w:rPr>
              <w:t>’</w:t>
            </w:r>
            <w:r w:rsidRPr="008E1FA7">
              <w:rPr>
                <w:snapToGrid w:val="0"/>
              </w:rPr>
              <w:t>aliments (FAO 2004, UE 2002).</w:t>
            </w:r>
          </w:p>
          <w:p w14:paraId="7FF4676F" w14:textId="1FD41A02" w:rsidR="00371363" w:rsidRPr="008E1FA7" w:rsidRDefault="00371363" w:rsidP="00664495">
            <w:pPr>
              <w:keepNext/>
              <w:keepLines/>
              <w:spacing w:after="120"/>
              <w:rPr>
                <w:snapToGrid w:val="0"/>
              </w:rPr>
            </w:pPr>
            <w:r w:rsidRPr="008E1FA7">
              <w:rPr>
                <w:snapToGrid w:val="0"/>
              </w:rPr>
              <w:t>Toxicité alimentaire (subaiguë) chez le canard colvert : CL</w:t>
            </w:r>
            <w:r w:rsidRPr="008E1FA7">
              <w:rPr>
                <w:snapToGrid w:val="0"/>
                <w:vertAlign w:val="subscript"/>
              </w:rPr>
              <w:t>50</w:t>
            </w:r>
            <w:r w:rsidRPr="008E1FA7">
              <w:rPr>
                <w:snapToGrid w:val="0"/>
              </w:rPr>
              <w:t xml:space="preserve"> supérieure à 1 259 ppm d</w:t>
            </w:r>
            <w:r w:rsidR="001503DA" w:rsidRPr="008E1FA7">
              <w:rPr>
                <w:snapToGrid w:val="0"/>
              </w:rPr>
              <w:t>’</w:t>
            </w:r>
            <w:r w:rsidRPr="008E1FA7">
              <w:rPr>
                <w:snapToGrid w:val="0"/>
              </w:rPr>
              <w:t>aliments (FAO 2004).</w:t>
            </w:r>
          </w:p>
          <w:p w14:paraId="5E311D1C" w14:textId="77777777" w:rsidR="00371363" w:rsidRPr="008E1FA7" w:rsidRDefault="00371363" w:rsidP="00664495">
            <w:pPr>
              <w:keepNext/>
              <w:keepLines/>
              <w:spacing w:after="120"/>
              <w:rPr>
                <w:snapToGrid w:val="0"/>
              </w:rPr>
            </w:pPr>
            <w:r w:rsidRPr="008E1FA7">
              <w:rPr>
                <w:snapToGrid w:val="0"/>
              </w:rPr>
              <w:t>Toxicité pour la reproduction chez les oiseaux : DSEO égale à 10 mg/kg p.c. (UE 2002).</w:t>
            </w:r>
          </w:p>
          <w:p w14:paraId="1D36AAE4" w14:textId="097273CD" w:rsidR="00371363" w:rsidRPr="008E1FA7" w:rsidRDefault="00371363" w:rsidP="00664495">
            <w:pPr>
              <w:keepNext/>
              <w:keepLines/>
              <w:autoSpaceDE w:val="0"/>
              <w:autoSpaceDN w:val="0"/>
              <w:adjustRightInd w:val="0"/>
              <w:spacing w:after="120"/>
              <w:rPr>
                <w:snapToGrid w:val="0"/>
              </w:rPr>
            </w:pPr>
            <w:r w:rsidRPr="008E1FA7">
              <w:rPr>
                <w:snapToGrid w:val="0"/>
              </w:rPr>
              <w:t xml:space="preserve">Le fenthion est hautement toxique pour les oiseaux. Il est plus toxique pour les gallinacées que pour les mammifères. </w:t>
            </w:r>
            <w:r w:rsidRPr="008E1FA7">
              <w:rPr>
                <w:rFonts w:eastAsia="Batang"/>
              </w:rPr>
              <w:t>Les symptômes aigus d</w:t>
            </w:r>
            <w:r w:rsidR="001503DA" w:rsidRPr="008E1FA7">
              <w:rPr>
                <w:rFonts w:eastAsia="Batang"/>
              </w:rPr>
              <w:t>’</w:t>
            </w:r>
            <w:r w:rsidRPr="008E1FA7">
              <w:rPr>
                <w:rFonts w:eastAsia="Batang"/>
              </w:rPr>
              <w:t xml:space="preserve">intoxication au fenthion chez les oiseaux sont, entre autres, les suivants : larmoiement, salivation spumeuse, absence de mouvement, tremblements, congestion de la trachée, manque de coordination de la marche et respiration anormalement rapide ou laborieuse. </w:t>
            </w:r>
            <w:r w:rsidRPr="008E1FA7">
              <w:rPr>
                <w:snapToGrid w:val="0"/>
              </w:rPr>
              <w:t>Des poulets présentaient une faiblesse des membres inférieurs après l</w:t>
            </w:r>
            <w:r w:rsidR="001503DA" w:rsidRPr="008E1FA7">
              <w:rPr>
                <w:snapToGrid w:val="0"/>
              </w:rPr>
              <w:t>’</w:t>
            </w:r>
            <w:r w:rsidRPr="008E1FA7">
              <w:rPr>
                <w:snapToGrid w:val="0"/>
              </w:rPr>
              <w:t>administration de doses alimentaires de fenthion de 25 mg/kg. La DL</w:t>
            </w:r>
            <w:r w:rsidRPr="008E1FA7">
              <w:rPr>
                <w:snapToGrid w:val="0"/>
                <w:vertAlign w:val="subscript"/>
              </w:rPr>
              <w:t>50</w:t>
            </w:r>
            <w:r w:rsidRPr="008E1FA7">
              <w:rPr>
                <w:snapToGrid w:val="0"/>
              </w:rPr>
              <w:t xml:space="preserve"> aiguë par voie orale chez les volailles se situe entre 15 et 30 mg/kg.</w:t>
            </w:r>
          </w:p>
          <w:p w14:paraId="5546BFFF" w14:textId="77777777" w:rsidR="00371363" w:rsidRPr="008E1FA7" w:rsidRDefault="00371363" w:rsidP="00664495">
            <w:pPr>
              <w:keepNext/>
              <w:keepLines/>
              <w:autoSpaceDE w:val="0"/>
              <w:autoSpaceDN w:val="0"/>
              <w:adjustRightInd w:val="0"/>
              <w:spacing w:after="120"/>
              <w:rPr>
                <w:snapToGrid w:val="0"/>
              </w:rPr>
            </w:pPr>
            <w:r w:rsidRPr="008E1FA7">
              <w:rPr>
                <w:snapToGrid w:val="0"/>
              </w:rPr>
              <w:t>La CL</w:t>
            </w:r>
            <w:r w:rsidRPr="008E1FA7">
              <w:rPr>
                <w:snapToGrid w:val="0"/>
                <w:vertAlign w:val="subscript"/>
              </w:rPr>
              <w:t>50</w:t>
            </w:r>
            <w:r w:rsidRPr="008E1FA7">
              <w:rPr>
                <w:snapToGrid w:val="0"/>
              </w:rPr>
              <w:t xml:space="preserve"> du fenthion se situe entre 250 et 299 ppm chez le canard colvert, entre 180 et 220 ppm chez le faisan et entre 25 et 35 ppm ou 60 mg/kg chez le colin de Virginie. Au cours de ces essais, des oiseaux âgés de deux semaines ont reçu pendant cinq jours une alimentation dans laquelle on avait introduit du fenthion, puis pendant trois jours une alimentation sans fenthion (</w:t>
            </w:r>
            <w:r w:rsidRPr="008E1FA7">
              <w:t xml:space="preserve">Extension </w:t>
            </w:r>
            <w:proofErr w:type="spellStart"/>
            <w:r w:rsidRPr="008E1FA7">
              <w:t>Toxicology</w:t>
            </w:r>
            <w:proofErr w:type="spellEnd"/>
            <w:r w:rsidRPr="008E1FA7">
              <w:t xml:space="preserve"> Network 1993</w:t>
            </w:r>
            <w:r w:rsidRPr="008E1FA7">
              <w:rPr>
                <w:snapToGrid w:val="0"/>
              </w:rPr>
              <w:t>).</w:t>
            </w:r>
          </w:p>
        </w:tc>
      </w:tr>
      <w:tr w:rsidR="00371363" w:rsidRPr="008E1FA7" w14:paraId="692DD2E4" w14:textId="77777777" w:rsidTr="009C493C">
        <w:tblPrEx>
          <w:jc w:val="right"/>
        </w:tblPrEx>
        <w:trPr>
          <w:jc w:val="right"/>
        </w:trPr>
        <w:tc>
          <w:tcPr>
            <w:tcW w:w="9393" w:type="dxa"/>
            <w:gridSpan w:val="5"/>
            <w:shd w:val="clear" w:color="auto" w:fill="auto"/>
          </w:tcPr>
          <w:p w14:paraId="452CF7DE" w14:textId="77777777" w:rsidR="00371363" w:rsidRPr="008E1FA7" w:rsidRDefault="00371363" w:rsidP="00371363">
            <w:pPr>
              <w:jc w:val="both"/>
              <w:rPr>
                <w:snapToGrid w:val="0"/>
              </w:rPr>
            </w:pPr>
          </w:p>
        </w:tc>
      </w:tr>
      <w:tr w:rsidR="00371363" w:rsidRPr="008E1FA7" w14:paraId="16ED266E" w14:textId="77777777" w:rsidTr="009C493C">
        <w:tblPrEx>
          <w:jc w:val="right"/>
        </w:tblPrEx>
        <w:trPr>
          <w:jc w:val="right"/>
        </w:trPr>
        <w:tc>
          <w:tcPr>
            <w:tcW w:w="716" w:type="dxa"/>
            <w:gridSpan w:val="2"/>
            <w:shd w:val="clear" w:color="auto" w:fill="auto"/>
          </w:tcPr>
          <w:p w14:paraId="1E006D77" w14:textId="77777777" w:rsidR="00371363" w:rsidRPr="008E1FA7" w:rsidRDefault="00371363" w:rsidP="00371363">
            <w:pPr>
              <w:keepLines/>
              <w:jc w:val="both"/>
              <w:rPr>
                <w:b/>
              </w:rPr>
            </w:pPr>
            <w:r w:rsidRPr="008E1FA7">
              <w:rPr>
                <w:b/>
              </w:rPr>
              <w:t>4.2.2</w:t>
            </w:r>
          </w:p>
        </w:tc>
        <w:tc>
          <w:tcPr>
            <w:tcW w:w="1719" w:type="dxa"/>
            <w:gridSpan w:val="2"/>
            <w:shd w:val="clear" w:color="auto" w:fill="auto"/>
          </w:tcPr>
          <w:p w14:paraId="117432A5" w14:textId="77777777" w:rsidR="00371363" w:rsidRPr="008E1FA7" w:rsidRDefault="00371363" w:rsidP="00371363">
            <w:pPr>
              <w:spacing w:before="20" w:after="20"/>
              <w:jc w:val="both"/>
              <w:outlineLvl w:val="2"/>
              <w:rPr>
                <w:b/>
                <w:bCs/>
              </w:rPr>
            </w:pPr>
            <w:r w:rsidRPr="008E1FA7">
              <w:rPr>
                <w:b/>
                <w:bCs/>
              </w:rPr>
              <w:t>Espèces aquatiques</w:t>
            </w:r>
          </w:p>
        </w:tc>
        <w:tc>
          <w:tcPr>
            <w:tcW w:w="6958" w:type="dxa"/>
            <w:shd w:val="clear" w:color="auto" w:fill="auto"/>
          </w:tcPr>
          <w:p w14:paraId="31C79133" w14:textId="514AEAE0" w:rsidR="00371363" w:rsidRPr="008E1FA7" w:rsidRDefault="00371363" w:rsidP="00664495">
            <w:pPr>
              <w:spacing w:after="120"/>
              <w:rPr>
                <w:snapToGrid w:val="0"/>
              </w:rPr>
            </w:pPr>
            <w:r w:rsidRPr="008E1FA7">
              <w:rPr>
                <w:snapToGrid w:val="0"/>
              </w:rPr>
              <w:t>Toxicité aiguë chez les poissons : CL</w:t>
            </w:r>
            <w:r w:rsidRPr="008E1FA7">
              <w:rPr>
                <w:snapToGrid w:val="0"/>
                <w:vertAlign w:val="subscript"/>
              </w:rPr>
              <w:t>50</w:t>
            </w:r>
            <w:r w:rsidRPr="008E1FA7">
              <w:rPr>
                <w:snapToGrid w:val="0"/>
              </w:rPr>
              <w:t xml:space="preserve"> égale à 2,7 mg/l (ide dorée, </w:t>
            </w:r>
            <w:r w:rsidRPr="008E1FA7">
              <w:rPr>
                <w:snapToGrid w:val="0"/>
              </w:rPr>
              <w:br/>
              <w:t>étude de 96 heures) (FAO 2004)</w:t>
            </w:r>
            <w:r w:rsidR="00664495" w:rsidRPr="008E1FA7">
              <w:rPr>
                <w:snapToGrid w:val="0"/>
              </w:rPr>
              <w:t> ;</w:t>
            </w:r>
            <w:r w:rsidRPr="008E1FA7">
              <w:rPr>
                <w:snapToGrid w:val="0"/>
              </w:rPr>
              <w:t xml:space="preserve"> CL</w:t>
            </w:r>
            <w:r w:rsidRPr="008E1FA7">
              <w:rPr>
                <w:snapToGrid w:val="0"/>
                <w:vertAlign w:val="subscript"/>
              </w:rPr>
              <w:t>50</w:t>
            </w:r>
            <w:r w:rsidRPr="008E1FA7">
              <w:rPr>
                <w:snapToGrid w:val="0"/>
              </w:rPr>
              <w:t xml:space="preserve"> égale à 0,83 mg/l (truite arc</w:t>
            </w:r>
            <w:r w:rsidRPr="008E1FA7">
              <w:rPr>
                <w:snapToGrid w:val="0"/>
              </w:rPr>
              <w:noBreakHyphen/>
              <w:t>en</w:t>
            </w:r>
            <w:r w:rsidRPr="008E1FA7">
              <w:rPr>
                <w:snapToGrid w:val="0"/>
              </w:rPr>
              <w:noBreakHyphen/>
              <w:t xml:space="preserve">ciel, </w:t>
            </w:r>
            <w:r w:rsidRPr="008E1FA7">
              <w:rPr>
                <w:snapToGrid w:val="0"/>
              </w:rPr>
              <w:br/>
              <w:t>étude de 96 heures) (FAO 2004).</w:t>
            </w:r>
          </w:p>
          <w:p w14:paraId="501A2047" w14:textId="77777777" w:rsidR="00371363" w:rsidRPr="008E1FA7" w:rsidRDefault="00371363" w:rsidP="00664495">
            <w:pPr>
              <w:spacing w:after="120"/>
              <w:rPr>
                <w:snapToGrid w:val="0"/>
              </w:rPr>
            </w:pPr>
            <w:r w:rsidRPr="008E1FA7">
              <w:rPr>
                <w:snapToGrid w:val="0"/>
              </w:rPr>
              <w:t>Toxicité aiguë pour les invertébrés : CE</w:t>
            </w:r>
            <w:r w:rsidRPr="008E1FA7">
              <w:rPr>
                <w:snapToGrid w:val="0"/>
                <w:vertAlign w:val="subscript"/>
              </w:rPr>
              <w:t>50</w:t>
            </w:r>
            <w:r w:rsidRPr="008E1FA7">
              <w:rPr>
                <w:snapToGrid w:val="0"/>
              </w:rPr>
              <w:t xml:space="preserve"> égale à 5,7 µg/l (</w:t>
            </w:r>
            <w:proofErr w:type="spellStart"/>
            <w:r w:rsidRPr="008E1FA7">
              <w:rPr>
                <w:i/>
                <w:snapToGrid w:val="0"/>
              </w:rPr>
              <w:t>Daphnia</w:t>
            </w:r>
            <w:proofErr w:type="spellEnd"/>
            <w:r w:rsidRPr="008E1FA7">
              <w:rPr>
                <w:i/>
                <w:snapToGrid w:val="0"/>
              </w:rPr>
              <w:t xml:space="preserve"> magna</w:t>
            </w:r>
            <w:r w:rsidRPr="008E1FA7">
              <w:rPr>
                <w:snapToGrid w:val="0"/>
              </w:rPr>
              <w:t xml:space="preserve">, </w:t>
            </w:r>
            <w:r w:rsidRPr="008E1FA7">
              <w:rPr>
                <w:snapToGrid w:val="0"/>
              </w:rPr>
              <w:br/>
              <w:t>étude de 48 heures) (FAO 2004).</w:t>
            </w:r>
          </w:p>
          <w:p w14:paraId="155519F7" w14:textId="77777777" w:rsidR="00371363" w:rsidRPr="008E1FA7" w:rsidRDefault="00371363" w:rsidP="00664495">
            <w:pPr>
              <w:spacing w:after="120"/>
              <w:rPr>
                <w:snapToGrid w:val="0"/>
              </w:rPr>
            </w:pPr>
            <w:r w:rsidRPr="008E1FA7">
              <w:rPr>
                <w:snapToGrid w:val="0"/>
              </w:rPr>
              <w:t>Toxicité chronique pour les invertébrés : CE</w:t>
            </w:r>
            <w:r w:rsidRPr="008E1FA7">
              <w:rPr>
                <w:snapToGrid w:val="0"/>
                <w:vertAlign w:val="subscript"/>
              </w:rPr>
              <w:t>50</w:t>
            </w:r>
            <w:r w:rsidRPr="008E1FA7">
              <w:rPr>
                <w:snapToGrid w:val="0"/>
              </w:rPr>
              <w:t xml:space="preserve"> à 21 jours égale à 0.059 µg/l; DSENO égale à 0,042 µg/l (FAO 2004).</w:t>
            </w:r>
          </w:p>
          <w:p w14:paraId="7CD1C7DB" w14:textId="77777777" w:rsidR="00371363" w:rsidRPr="008E1FA7" w:rsidRDefault="00371363" w:rsidP="00664495">
            <w:pPr>
              <w:spacing w:after="120"/>
              <w:rPr>
                <w:snapToGrid w:val="0"/>
              </w:rPr>
            </w:pPr>
            <w:r w:rsidRPr="008E1FA7">
              <w:rPr>
                <w:snapToGrid w:val="0"/>
              </w:rPr>
              <w:t>Toxicité chronique pour les algues : CE</w:t>
            </w:r>
            <w:r w:rsidRPr="008E1FA7">
              <w:rPr>
                <w:snapToGrid w:val="0"/>
                <w:vertAlign w:val="subscript"/>
              </w:rPr>
              <w:t>r50</w:t>
            </w:r>
            <w:r w:rsidRPr="008E1FA7">
              <w:rPr>
                <w:snapToGrid w:val="0"/>
              </w:rPr>
              <w:t>: 1,79 mg/l (</w:t>
            </w:r>
            <w:proofErr w:type="spellStart"/>
            <w:r w:rsidRPr="008E1FA7">
              <w:rPr>
                <w:i/>
                <w:snapToGrid w:val="0"/>
              </w:rPr>
              <w:t>Scenedesmus</w:t>
            </w:r>
            <w:proofErr w:type="spellEnd"/>
            <w:r w:rsidRPr="008E1FA7">
              <w:rPr>
                <w:i/>
                <w:snapToGrid w:val="0"/>
              </w:rPr>
              <w:t xml:space="preserve"> </w:t>
            </w:r>
            <w:proofErr w:type="spellStart"/>
            <w:r w:rsidRPr="008E1FA7">
              <w:rPr>
                <w:i/>
                <w:snapToGrid w:val="0"/>
              </w:rPr>
              <w:t>subspicatus</w:t>
            </w:r>
            <w:proofErr w:type="spellEnd"/>
            <w:r w:rsidRPr="008E1FA7">
              <w:rPr>
                <w:snapToGrid w:val="0"/>
              </w:rPr>
              <w:t xml:space="preserve">, </w:t>
            </w:r>
            <w:r w:rsidRPr="008E1FA7">
              <w:rPr>
                <w:snapToGrid w:val="0"/>
              </w:rPr>
              <w:br/>
              <w:t>étude de 72 heures) (FAO 2004).</w:t>
            </w:r>
          </w:p>
        </w:tc>
      </w:tr>
      <w:tr w:rsidR="00371363" w:rsidRPr="008E1FA7" w14:paraId="3A3474E0" w14:textId="77777777" w:rsidTr="009C493C">
        <w:tblPrEx>
          <w:jc w:val="right"/>
        </w:tblPrEx>
        <w:trPr>
          <w:jc w:val="right"/>
        </w:trPr>
        <w:tc>
          <w:tcPr>
            <w:tcW w:w="9393" w:type="dxa"/>
            <w:gridSpan w:val="5"/>
            <w:shd w:val="clear" w:color="auto" w:fill="auto"/>
          </w:tcPr>
          <w:p w14:paraId="22E805D5" w14:textId="77777777" w:rsidR="00371363" w:rsidRPr="008E1FA7" w:rsidRDefault="00371363" w:rsidP="00371363">
            <w:pPr>
              <w:keepNext/>
              <w:jc w:val="both"/>
              <w:rPr>
                <w:snapToGrid w:val="0"/>
              </w:rPr>
            </w:pPr>
          </w:p>
        </w:tc>
      </w:tr>
      <w:tr w:rsidR="00371363" w:rsidRPr="008E1FA7" w14:paraId="6B1D1B36" w14:textId="77777777" w:rsidTr="009C493C">
        <w:tblPrEx>
          <w:jc w:val="right"/>
        </w:tblPrEx>
        <w:trPr>
          <w:jc w:val="right"/>
        </w:trPr>
        <w:tc>
          <w:tcPr>
            <w:tcW w:w="716" w:type="dxa"/>
            <w:gridSpan w:val="2"/>
            <w:shd w:val="clear" w:color="auto" w:fill="auto"/>
          </w:tcPr>
          <w:p w14:paraId="09748D92" w14:textId="77777777" w:rsidR="00371363" w:rsidRPr="008E1FA7" w:rsidRDefault="00371363" w:rsidP="00371363">
            <w:pPr>
              <w:keepLines/>
              <w:jc w:val="both"/>
              <w:rPr>
                <w:b/>
              </w:rPr>
            </w:pPr>
            <w:r w:rsidRPr="008E1FA7">
              <w:rPr>
                <w:b/>
              </w:rPr>
              <w:t>4.2.3</w:t>
            </w:r>
          </w:p>
        </w:tc>
        <w:tc>
          <w:tcPr>
            <w:tcW w:w="1719" w:type="dxa"/>
            <w:gridSpan w:val="2"/>
            <w:shd w:val="clear" w:color="auto" w:fill="auto"/>
          </w:tcPr>
          <w:p w14:paraId="5767C57F" w14:textId="2C4155FE" w:rsidR="00371363" w:rsidRPr="008E1FA7" w:rsidRDefault="00371363" w:rsidP="00371363">
            <w:pPr>
              <w:keepNext/>
              <w:spacing w:before="20" w:after="20"/>
              <w:outlineLvl w:val="2"/>
              <w:rPr>
                <w:b/>
                <w:bCs/>
              </w:rPr>
            </w:pPr>
            <w:r w:rsidRPr="008E1FA7">
              <w:rPr>
                <w:b/>
                <w:bCs/>
              </w:rPr>
              <w:t>Abeilles domestiques et</w:t>
            </w:r>
            <w:r w:rsidR="001350DD" w:rsidRPr="008E1FA7">
              <w:rPr>
                <w:b/>
                <w:bCs/>
              </w:rPr>
              <w:t> </w:t>
            </w:r>
            <w:r w:rsidRPr="008E1FA7">
              <w:rPr>
                <w:b/>
                <w:bCs/>
              </w:rPr>
              <w:t>autres arthropodes</w:t>
            </w:r>
          </w:p>
        </w:tc>
        <w:tc>
          <w:tcPr>
            <w:tcW w:w="6958" w:type="dxa"/>
            <w:shd w:val="clear" w:color="auto" w:fill="auto"/>
          </w:tcPr>
          <w:p w14:paraId="43108077" w14:textId="34922D93" w:rsidR="00371363" w:rsidRPr="008E1FA7" w:rsidRDefault="00371363" w:rsidP="00371363">
            <w:pPr>
              <w:keepNext/>
              <w:spacing w:before="20"/>
              <w:jc w:val="both"/>
              <w:rPr>
                <w:i/>
                <w:snapToGrid w:val="0"/>
              </w:rPr>
            </w:pPr>
            <w:r w:rsidRPr="008E1FA7">
              <w:rPr>
                <w:snapToGrid w:val="0"/>
              </w:rPr>
              <w:t>Abeille domestique, DL</w:t>
            </w:r>
            <w:r w:rsidRPr="008E1FA7">
              <w:rPr>
                <w:snapToGrid w:val="0"/>
                <w:vertAlign w:val="subscript"/>
              </w:rPr>
              <w:t>50</w:t>
            </w:r>
            <w:r w:rsidRPr="008E1FA7">
              <w:rPr>
                <w:snapToGrid w:val="0"/>
              </w:rPr>
              <w:t xml:space="preserve"> par contact (étude aiguë de 48 heures) : 0,16 </w:t>
            </w:r>
            <w:proofErr w:type="spellStart"/>
            <w:r w:rsidRPr="008E1FA7">
              <w:rPr>
                <w:snapToGrid w:val="0"/>
              </w:rPr>
              <w:t>ng</w:t>
            </w:r>
            <w:proofErr w:type="spellEnd"/>
            <w:r w:rsidRPr="008E1FA7">
              <w:rPr>
                <w:snapToGrid w:val="0"/>
              </w:rPr>
              <w:t>/abeille (FAO 2004)</w:t>
            </w:r>
            <w:r w:rsidR="00664495" w:rsidRPr="008E1FA7">
              <w:rPr>
                <w:snapToGrid w:val="0"/>
              </w:rPr>
              <w:t> ;</w:t>
            </w:r>
            <w:r w:rsidRPr="008E1FA7">
              <w:rPr>
                <w:snapToGrid w:val="0"/>
              </w:rPr>
              <w:t xml:space="preserve"> 0,31 µg/abeille (UE 2002).</w:t>
            </w:r>
          </w:p>
        </w:tc>
      </w:tr>
      <w:tr w:rsidR="00371363" w:rsidRPr="008E1FA7" w14:paraId="4D092F0E" w14:textId="77777777" w:rsidTr="009C493C">
        <w:tblPrEx>
          <w:jc w:val="right"/>
        </w:tblPrEx>
        <w:trPr>
          <w:jc w:val="right"/>
        </w:trPr>
        <w:tc>
          <w:tcPr>
            <w:tcW w:w="9393" w:type="dxa"/>
            <w:gridSpan w:val="5"/>
            <w:shd w:val="clear" w:color="auto" w:fill="auto"/>
          </w:tcPr>
          <w:p w14:paraId="56A9D97B" w14:textId="77777777" w:rsidR="00371363" w:rsidRPr="008E1FA7" w:rsidRDefault="00371363" w:rsidP="00371363">
            <w:pPr>
              <w:spacing w:before="20"/>
              <w:rPr>
                <w:snapToGrid w:val="0"/>
              </w:rPr>
            </w:pPr>
          </w:p>
        </w:tc>
      </w:tr>
      <w:tr w:rsidR="00371363" w:rsidRPr="008E1FA7" w14:paraId="426E0F63" w14:textId="77777777" w:rsidTr="009C493C">
        <w:tblPrEx>
          <w:jc w:val="right"/>
        </w:tblPrEx>
        <w:trPr>
          <w:jc w:val="right"/>
        </w:trPr>
        <w:tc>
          <w:tcPr>
            <w:tcW w:w="716" w:type="dxa"/>
            <w:gridSpan w:val="2"/>
            <w:shd w:val="clear" w:color="auto" w:fill="auto"/>
          </w:tcPr>
          <w:p w14:paraId="745F1116" w14:textId="77777777" w:rsidR="00371363" w:rsidRPr="008E1FA7" w:rsidRDefault="00371363" w:rsidP="00371363">
            <w:pPr>
              <w:keepLines/>
              <w:jc w:val="both"/>
              <w:rPr>
                <w:b/>
              </w:rPr>
            </w:pPr>
            <w:r w:rsidRPr="008E1FA7">
              <w:rPr>
                <w:b/>
              </w:rPr>
              <w:t>4.2.4</w:t>
            </w:r>
          </w:p>
        </w:tc>
        <w:tc>
          <w:tcPr>
            <w:tcW w:w="1719" w:type="dxa"/>
            <w:gridSpan w:val="2"/>
            <w:shd w:val="clear" w:color="auto" w:fill="auto"/>
          </w:tcPr>
          <w:p w14:paraId="7E1F737F" w14:textId="1BE55CDE" w:rsidR="00371363" w:rsidRPr="008E1FA7" w:rsidRDefault="00371363" w:rsidP="00371363">
            <w:pPr>
              <w:spacing w:before="20" w:after="20"/>
              <w:outlineLvl w:val="2"/>
              <w:rPr>
                <w:b/>
                <w:bCs/>
              </w:rPr>
            </w:pPr>
            <w:r w:rsidRPr="008E1FA7">
              <w:rPr>
                <w:b/>
                <w:bCs/>
              </w:rPr>
              <w:t>Vers de terre et</w:t>
            </w:r>
            <w:r w:rsidR="001350DD" w:rsidRPr="008E1FA7">
              <w:rPr>
                <w:b/>
                <w:bCs/>
              </w:rPr>
              <w:t> </w:t>
            </w:r>
            <w:r w:rsidRPr="008E1FA7">
              <w:rPr>
                <w:b/>
                <w:bCs/>
              </w:rPr>
              <w:t>autres organismes du</w:t>
            </w:r>
            <w:r w:rsidR="001350DD" w:rsidRPr="008E1FA7">
              <w:rPr>
                <w:b/>
                <w:bCs/>
              </w:rPr>
              <w:t> </w:t>
            </w:r>
            <w:r w:rsidRPr="008E1FA7">
              <w:rPr>
                <w:b/>
                <w:bCs/>
              </w:rPr>
              <w:t>sol</w:t>
            </w:r>
          </w:p>
        </w:tc>
        <w:tc>
          <w:tcPr>
            <w:tcW w:w="6958" w:type="dxa"/>
            <w:shd w:val="clear" w:color="auto" w:fill="auto"/>
          </w:tcPr>
          <w:p w14:paraId="179ECEBE" w14:textId="77777777" w:rsidR="00371363" w:rsidRPr="008E1FA7" w:rsidRDefault="00371363" w:rsidP="00371363">
            <w:pPr>
              <w:spacing w:before="20"/>
              <w:rPr>
                <w:snapToGrid w:val="0"/>
              </w:rPr>
            </w:pPr>
            <w:r w:rsidRPr="008E1FA7">
              <w:rPr>
                <w:snapToGrid w:val="0"/>
              </w:rPr>
              <w:t>Ver de terre : CL</w:t>
            </w:r>
            <w:r w:rsidRPr="008E1FA7">
              <w:rPr>
                <w:snapToGrid w:val="0"/>
                <w:vertAlign w:val="subscript"/>
              </w:rPr>
              <w:t>50</w:t>
            </w:r>
            <w:r w:rsidRPr="008E1FA7">
              <w:rPr>
                <w:snapToGrid w:val="0"/>
              </w:rPr>
              <w:t xml:space="preserve"> égale à 750 mg/kg de sol sec (14 jours, préparation 50 EC) (FAO 2004, UE 2002).</w:t>
            </w:r>
          </w:p>
        </w:tc>
      </w:tr>
      <w:tr w:rsidR="00371363" w:rsidRPr="008E1FA7" w14:paraId="2ADC2892" w14:textId="77777777" w:rsidTr="009C493C">
        <w:tblPrEx>
          <w:jc w:val="right"/>
        </w:tblPrEx>
        <w:trPr>
          <w:jc w:val="right"/>
        </w:trPr>
        <w:tc>
          <w:tcPr>
            <w:tcW w:w="9393" w:type="dxa"/>
            <w:gridSpan w:val="5"/>
            <w:shd w:val="clear" w:color="auto" w:fill="auto"/>
          </w:tcPr>
          <w:p w14:paraId="135123EE" w14:textId="77777777" w:rsidR="00371363" w:rsidRPr="008E1FA7" w:rsidRDefault="00371363" w:rsidP="00371363">
            <w:pPr>
              <w:spacing w:before="20"/>
              <w:rPr>
                <w:snapToGrid w:val="0"/>
              </w:rPr>
            </w:pPr>
          </w:p>
        </w:tc>
      </w:tr>
      <w:tr w:rsidR="00371363" w:rsidRPr="008E1FA7" w14:paraId="090A6151" w14:textId="77777777" w:rsidTr="009C493C">
        <w:tblPrEx>
          <w:jc w:val="right"/>
        </w:tblPrEx>
        <w:trPr>
          <w:jc w:val="right"/>
        </w:trPr>
        <w:tc>
          <w:tcPr>
            <w:tcW w:w="716" w:type="dxa"/>
            <w:gridSpan w:val="2"/>
            <w:shd w:val="clear" w:color="auto" w:fill="auto"/>
          </w:tcPr>
          <w:p w14:paraId="5B0D2AFA" w14:textId="77777777" w:rsidR="00371363" w:rsidRPr="008E1FA7" w:rsidRDefault="00371363" w:rsidP="00371363">
            <w:pPr>
              <w:keepLines/>
              <w:jc w:val="both"/>
              <w:rPr>
                <w:b/>
              </w:rPr>
            </w:pPr>
            <w:r w:rsidRPr="008E1FA7">
              <w:rPr>
                <w:b/>
              </w:rPr>
              <w:t>4.2.5</w:t>
            </w:r>
          </w:p>
        </w:tc>
        <w:tc>
          <w:tcPr>
            <w:tcW w:w="1719" w:type="dxa"/>
            <w:gridSpan w:val="2"/>
            <w:shd w:val="clear" w:color="auto" w:fill="auto"/>
          </w:tcPr>
          <w:p w14:paraId="23368CAB" w14:textId="77777777" w:rsidR="00371363" w:rsidRPr="008E1FA7" w:rsidRDefault="00371363" w:rsidP="00371363">
            <w:pPr>
              <w:spacing w:before="20" w:after="20"/>
              <w:outlineLvl w:val="2"/>
              <w:rPr>
                <w:b/>
                <w:bCs/>
              </w:rPr>
            </w:pPr>
            <w:r w:rsidRPr="008E1FA7">
              <w:rPr>
                <w:b/>
                <w:bCs/>
              </w:rPr>
              <w:t>Microorganismes du sol</w:t>
            </w:r>
          </w:p>
        </w:tc>
        <w:tc>
          <w:tcPr>
            <w:tcW w:w="6958" w:type="dxa"/>
            <w:shd w:val="clear" w:color="auto" w:fill="auto"/>
          </w:tcPr>
          <w:p w14:paraId="7EBF3969" w14:textId="20B0DC11" w:rsidR="00371363" w:rsidRPr="008E1FA7" w:rsidRDefault="00371363" w:rsidP="00371363">
            <w:pPr>
              <w:spacing w:before="20"/>
              <w:rPr>
                <w:iCs/>
                <w:snapToGrid w:val="0"/>
              </w:rPr>
            </w:pPr>
            <w:r w:rsidRPr="008E1FA7">
              <w:rPr>
                <w:iCs/>
                <w:snapToGrid w:val="0"/>
              </w:rPr>
              <w:t>Minéralisation de l</w:t>
            </w:r>
            <w:r w:rsidR="001503DA" w:rsidRPr="008E1FA7">
              <w:rPr>
                <w:iCs/>
                <w:snapToGrid w:val="0"/>
              </w:rPr>
              <w:t>’</w:t>
            </w:r>
            <w:r w:rsidRPr="008E1FA7">
              <w:rPr>
                <w:iCs/>
                <w:snapToGrid w:val="0"/>
              </w:rPr>
              <w:t>azote : effet &gt; 25 %; minéralisation du carbone : aucun effet nocif significatif (dose : 10 µl/kg de sol, 20 °C) (PPDB).</w:t>
            </w:r>
          </w:p>
        </w:tc>
      </w:tr>
      <w:tr w:rsidR="00371363" w:rsidRPr="008E1FA7" w14:paraId="44439C06" w14:textId="77777777" w:rsidTr="009C493C">
        <w:tblPrEx>
          <w:jc w:val="right"/>
        </w:tblPrEx>
        <w:trPr>
          <w:jc w:val="right"/>
        </w:trPr>
        <w:tc>
          <w:tcPr>
            <w:tcW w:w="9393" w:type="dxa"/>
            <w:gridSpan w:val="5"/>
            <w:shd w:val="clear" w:color="auto" w:fill="auto"/>
          </w:tcPr>
          <w:p w14:paraId="6E4410C1" w14:textId="77777777" w:rsidR="00371363" w:rsidRPr="008E1FA7" w:rsidRDefault="00371363" w:rsidP="00371363">
            <w:pPr>
              <w:jc w:val="both"/>
              <w:rPr>
                <w:snapToGrid w:val="0"/>
              </w:rPr>
            </w:pPr>
          </w:p>
        </w:tc>
      </w:tr>
      <w:tr w:rsidR="00371363" w:rsidRPr="008E1FA7" w14:paraId="3E40CB88" w14:textId="77777777" w:rsidTr="00664495">
        <w:tblPrEx>
          <w:jc w:val="right"/>
        </w:tblPrEx>
        <w:trPr>
          <w:jc w:val="right"/>
        </w:trPr>
        <w:tc>
          <w:tcPr>
            <w:tcW w:w="716" w:type="dxa"/>
            <w:gridSpan w:val="2"/>
            <w:shd w:val="clear" w:color="auto" w:fill="auto"/>
          </w:tcPr>
          <w:p w14:paraId="70C558D6" w14:textId="77777777" w:rsidR="00371363" w:rsidRPr="008E1FA7" w:rsidRDefault="00371363" w:rsidP="00371363">
            <w:pPr>
              <w:keepLines/>
              <w:jc w:val="both"/>
              <w:rPr>
                <w:b/>
              </w:rPr>
            </w:pPr>
            <w:r w:rsidRPr="008E1FA7">
              <w:rPr>
                <w:b/>
              </w:rPr>
              <w:t>4.2.6</w:t>
            </w:r>
          </w:p>
        </w:tc>
        <w:tc>
          <w:tcPr>
            <w:tcW w:w="1719" w:type="dxa"/>
            <w:gridSpan w:val="2"/>
            <w:shd w:val="clear" w:color="auto" w:fill="auto"/>
          </w:tcPr>
          <w:p w14:paraId="5DEDEE98" w14:textId="77777777" w:rsidR="00371363" w:rsidRPr="008E1FA7" w:rsidRDefault="00371363" w:rsidP="00371363">
            <w:pPr>
              <w:spacing w:before="20" w:after="20"/>
              <w:jc w:val="both"/>
              <w:outlineLvl w:val="2"/>
              <w:rPr>
                <w:b/>
                <w:bCs/>
              </w:rPr>
            </w:pPr>
            <w:r w:rsidRPr="008E1FA7">
              <w:rPr>
                <w:b/>
                <w:bCs/>
              </w:rPr>
              <w:t>Plantes terrestres</w:t>
            </w:r>
          </w:p>
        </w:tc>
        <w:tc>
          <w:tcPr>
            <w:tcW w:w="6958" w:type="dxa"/>
            <w:shd w:val="clear" w:color="auto" w:fill="auto"/>
          </w:tcPr>
          <w:p w14:paraId="0BE729F1" w14:textId="77777777" w:rsidR="00371363" w:rsidRPr="008E1FA7" w:rsidRDefault="00371363" w:rsidP="00371363">
            <w:pPr>
              <w:spacing w:before="20"/>
              <w:jc w:val="both"/>
              <w:rPr>
                <w:snapToGrid w:val="0"/>
              </w:rPr>
            </w:pPr>
            <w:r w:rsidRPr="008E1FA7">
              <w:rPr>
                <w:snapToGrid w:val="0"/>
              </w:rPr>
              <w:t>-</w:t>
            </w:r>
          </w:p>
        </w:tc>
      </w:tr>
      <w:tr w:rsidR="00371363" w:rsidRPr="008E1FA7" w14:paraId="103059FE" w14:textId="77777777" w:rsidTr="00664495">
        <w:tblPrEx>
          <w:jc w:val="right"/>
        </w:tblPrEx>
        <w:trPr>
          <w:cantSplit/>
          <w:trHeight w:val="283"/>
          <w:jc w:val="right"/>
        </w:trPr>
        <w:tc>
          <w:tcPr>
            <w:tcW w:w="9393" w:type="dxa"/>
            <w:gridSpan w:val="5"/>
            <w:shd w:val="clear" w:color="auto" w:fill="auto"/>
          </w:tcPr>
          <w:p w14:paraId="56CCF719" w14:textId="77777777" w:rsidR="00371363" w:rsidRPr="008E1FA7" w:rsidRDefault="00371363" w:rsidP="00371363">
            <w:pPr>
              <w:spacing w:before="40" w:after="60"/>
              <w:jc w:val="both"/>
              <w:outlineLvl w:val="0"/>
              <w:rPr>
                <w:b/>
                <w:bCs/>
                <w:kern w:val="28"/>
              </w:rPr>
            </w:pPr>
          </w:p>
        </w:tc>
      </w:tr>
    </w:tbl>
    <w:p w14:paraId="2FFC5982" w14:textId="77777777" w:rsidR="00664495" w:rsidRPr="008E1FA7" w:rsidRDefault="00664495">
      <w:r w:rsidRPr="008E1FA7">
        <w:br w:type="page"/>
      </w:r>
    </w:p>
    <w:tbl>
      <w:tblPr>
        <w:tblW w:w="9393" w:type="dxa"/>
        <w:jc w:val="right"/>
        <w:tblLayout w:type="fixed"/>
        <w:tblLook w:val="0000" w:firstRow="0" w:lastRow="0" w:firstColumn="0" w:lastColumn="0" w:noHBand="0" w:noVBand="0"/>
      </w:tblPr>
      <w:tblGrid>
        <w:gridCol w:w="716"/>
        <w:gridCol w:w="8677"/>
      </w:tblGrid>
      <w:tr w:rsidR="00371363" w:rsidRPr="008E1FA7" w14:paraId="2F589FA3" w14:textId="77777777" w:rsidTr="00543C0B">
        <w:trPr>
          <w:cantSplit/>
          <w:jc w:val="right"/>
        </w:trPr>
        <w:tc>
          <w:tcPr>
            <w:tcW w:w="716" w:type="dxa"/>
            <w:tcBorders>
              <w:top w:val="single" w:sz="4" w:space="0" w:color="auto"/>
              <w:bottom w:val="single" w:sz="4" w:space="0" w:color="auto"/>
            </w:tcBorders>
            <w:shd w:val="clear" w:color="auto" w:fill="auto"/>
          </w:tcPr>
          <w:p w14:paraId="29F92BEF" w14:textId="3A06BFE4" w:rsidR="00371363" w:rsidRPr="008E1FA7" w:rsidRDefault="00371363" w:rsidP="00371363">
            <w:pPr>
              <w:spacing w:before="40" w:after="60"/>
              <w:jc w:val="both"/>
              <w:outlineLvl w:val="0"/>
              <w:rPr>
                <w:b/>
                <w:bCs/>
                <w:kern w:val="28"/>
                <w:szCs w:val="24"/>
              </w:rPr>
            </w:pPr>
            <w:r w:rsidRPr="008E1FA7">
              <w:rPr>
                <w:b/>
                <w:bCs/>
                <w:kern w:val="28"/>
                <w:szCs w:val="24"/>
              </w:rPr>
              <w:t>5</w:t>
            </w:r>
          </w:p>
        </w:tc>
        <w:tc>
          <w:tcPr>
            <w:tcW w:w="8677" w:type="dxa"/>
            <w:tcBorders>
              <w:top w:val="single" w:sz="4" w:space="0" w:color="auto"/>
              <w:bottom w:val="single" w:sz="4" w:space="0" w:color="auto"/>
            </w:tcBorders>
            <w:shd w:val="clear" w:color="auto" w:fill="auto"/>
          </w:tcPr>
          <w:p w14:paraId="57172E50" w14:textId="77777777" w:rsidR="00371363" w:rsidRPr="008E1FA7" w:rsidRDefault="00371363" w:rsidP="00664495">
            <w:pPr>
              <w:keepNext/>
              <w:keepLines/>
              <w:spacing w:before="40" w:after="60"/>
              <w:jc w:val="both"/>
              <w:outlineLvl w:val="0"/>
              <w:rPr>
                <w:b/>
                <w:bCs/>
                <w:i/>
                <w:snapToGrid w:val="0"/>
                <w:kern w:val="28"/>
                <w:szCs w:val="24"/>
                <w:u w:val="single"/>
              </w:rPr>
            </w:pPr>
            <w:r w:rsidRPr="008E1FA7">
              <w:rPr>
                <w:b/>
                <w:bCs/>
                <w:kern w:val="28"/>
                <w:szCs w:val="24"/>
              </w:rPr>
              <w:t>Exposition environnementale/évaluation des risques</w:t>
            </w:r>
          </w:p>
        </w:tc>
      </w:tr>
      <w:tr w:rsidR="00371363" w:rsidRPr="008E1FA7" w14:paraId="47F5CB5C" w14:textId="77777777" w:rsidTr="00543C0B">
        <w:trPr>
          <w:jc w:val="right"/>
        </w:trPr>
        <w:tc>
          <w:tcPr>
            <w:tcW w:w="716" w:type="dxa"/>
            <w:tcBorders>
              <w:top w:val="single" w:sz="4" w:space="0" w:color="auto"/>
            </w:tcBorders>
            <w:shd w:val="clear" w:color="auto" w:fill="auto"/>
          </w:tcPr>
          <w:p w14:paraId="75F0EB41" w14:textId="77777777" w:rsidR="00371363" w:rsidRPr="008E1FA7" w:rsidRDefault="00371363" w:rsidP="00371363">
            <w:pPr>
              <w:keepLines/>
              <w:jc w:val="both"/>
              <w:rPr>
                <w:b/>
              </w:rPr>
            </w:pPr>
          </w:p>
        </w:tc>
        <w:tc>
          <w:tcPr>
            <w:tcW w:w="8677" w:type="dxa"/>
            <w:tcBorders>
              <w:top w:val="single" w:sz="4" w:space="0" w:color="auto"/>
            </w:tcBorders>
            <w:shd w:val="clear" w:color="auto" w:fill="auto"/>
          </w:tcPr>
          <w:p w14:paraId="367E21E9" w14:textId="2F0FE388" w:rsidR="00371363" w:rsidRPr="008E1FA7" w:rsidRDefault="00371363" w:rsidP="00664495">
            <w:pPr>
              <w:keepNext/>
              <w:keepLines/>
              <w:spacing w:after="120"/>
            </w:pPr>
            <w:r w:rsidRPr="008E1FA7">
              <w:t>UE :</w:t>
            </w:r>
            <w:r w:rsidRPr="008E1FA7">
              <w:br/>
              <w:t>L</w:t>
            </w:r>
            <w:r w:rsidR="001503DA" w:rsidRPr="008E1FA7">
              <w:t>’</w:t>
            </w:r>
            <w:r w:rsidRPr="008E1FA7">
              <w:t>évaluation des risques réalisée par les États membres de l</w:t>
            </w:r>
            <w:r w:rsidR="001503DA" w:rsidRPr="008E1FA7">
              <w:t>’</w:t>
            </w:r>
            <w:r w:rsidRPr="008E1FA7">
              <w:t>Union européenne a identifié un risque élevé pour les oiseaux lié à l</w:t>
            </w:r>
            <w:r w:rsidR="001503DA" w:rsidRPr="008E1FA7">
              <w:t>’</w:t>
            </w:r>
            <w:r w:rsidRPr="008E1FA7">
              <w:t>emploi de fenthion dans des appâts dans les vergers. Ces préoccupations ont été confirmées par le Comité scientifique des plantes, qui a jugé qu</w:t>
            </w:r>
            <w:r w:rsidR="001503DA" w:rsidRPr="008E1FA7">
              <w:t>’</w:t>
            </w:r>
            <w:r w:rsidRPr="008E1FA7">
              <w:t>il n</w:t>
            </w:r>
            <w:r w:rsidR="001503DA" w:rsidRPr="008E1FA7">
              <w:t>’</w:t>
            </w:r>
            <w:r w:rsidRPr="008E1FA7">
              <w:t>était pas possible de mener à bien une évaluation complète, faute de données indiquant que même cette utilisation prévue limitée était sûre pour l</w:t>
            </w:r>
            <w:r w:rsidR="001503DA" w:rsidRPr="008E1FA7">
              <w:t>’</w:t>
            </w:r>
            <w:r w:rsidRPr="008E1FA7">
              <w:t>environnement. L</w:t>
            </w:r>
            <w:r w:rsidR="001503DA" w:rsidRPr="008E1FA7">
              <w:t>’</w:t>
            </w:r>
            <w:r w:rsidRPr="008E1FA7">
              <w:t>examen d</w:t>
            </w:r>
            <w:r w:rsidR="001503DA" w:rsidRPr="008E1FA7">
              <w:t>’</w:t>
            </w:r>
            <w:r w:rsidRPr="008E1FA7">
              <w:t xml:space="preserve">informations supplémentaires a également amené à la conclusion que les risques pour les oiseaux liés aux utilisations prévues du fenthion restaient incertains. </w:t>
            </w:r>
            <w:r w:rsidRPr="008E1FA7">
              <w:br/>
              <w:t>Par conséquent, les produits phytopharmaceutiques contenant du fenthion sont interdits dans l</w:t>
            </w:r>
            <w:r w:rsidR="001503DA" w:rsidRPr="008E1FA7">
              <w:t>’</w:t>
            </w:r>
            <w:r w:rsidRPr="008E1FA7">
              <w:t>Union européenne depuis le 30 juin 2007, pour garantir un niveau de protection de l</w:t>
            </w:r>
            <w:r w:rsidR="001503DA" w:rsidRPr="008E1FA7">
              <w:t>’</w:t>
            </w:r>
            <w:r w:rsidRPr="008E1FA7">
              <w:t>environnement élevé.</w:t>
            </w:r>
          </w:p>
          <w:p w14:paraId="19C57A69" w14:textId="117AF8D3" w:rsidR="00371363" w:rsidRPr="008E1FA7" w:rsidRDefault="00371363" w:rsidP="00664495">
            <w:pPr>
              <w:keepNext/>
              <w:keepLines/>
              <w:spacing w:before="120" w:after="120"/>
              <w:rPr>
                <w:snapToGrid w:val="0"/>
              </w:rPr>
            </w:pPr>
            <w:r w:rsidRPr="008E1FA7">
              <w:t>Australie :</w:t>
            </w:r>
            <w:r w:rsidRPr="008E1FA7">
              <w:br/>
              <w:t>Les données fournies à l</w:t>
            </w:r>
            <w:r w:rsidR="001503DA" w:rsidRPr="008E1FA7">
              <w:t>’</w:t>
            </w:r>
            <w:r w:rsidRPr="008E1FA7">
              <w:t>APVMA étaient insuffisantes pour permettre d</w:t>
            </w:r>
            <w:r w:rsidR="001503DA" w:rsidRPr="008E1FA7">
              <w:t>’</w:t>
            </w:r>
            <w:r w:rsidRPr="008E1FA7">
              <w:t>évaluer l</w:t>
            </w:r>
            <w:r w:rsidR="001503DA" w:rsidRPr="008E1FA7">
              <w:t>’</w:t>
            </w:r>
            <w:r w:rsidRPr="008E1FA7">
              <w:t>effet des produits utilisés dans la lutte contre les oiseaux ravageurs sur les espèces aviaires non visées. Par conséquent, l</w:t>
            </w:r>
            <w:r w:rsidR="001503DA" w:rsidRPr="008E1FA7">
              <w:t>’</w:t>
            </w:r>
            <w:r w:rsidRPr="008E1FA7">
              <w:t>APVMA n</w:t>
            </w:r>
            <w:r w:rsidR="001503DA" w:rsidRPr="008E1FA7">
              <w:t>’</w:t>
            </w:r>
            <w:r w:rsidRPr="008E1FA7">
              <w:t>a pas pu conclure de manière satisfaisante que les produits contenant du fenthion employés dans la lutte contre les oiseaux ravageurs non autochtones n</w:t>
            </w:r>
            <w:r w:rsidR="001503DA" w:rsidRPr="008E1FA7">
              <w:t>’</w:t>
            </w:r>
            <w:r w:rsidRPr="008E1FA7">
              <w:t>induiraient pas d</w:t>
            </w:r>
            <w:r w:rsidR="001503DA" w:rsidRPr="008E1FA7">
              <w:t>’</w:t>
            </w:r>
            <w:r w:rsidRPr="008E1FA7">
              <w:t>effets non intentionnels dangereux pour la faune, la flore ou l</w:t>
            </w:r>
            <w:r w:rsidR="001503DA" w:rsidRPr="008E1FA7">
              <w:t>’</w:t>
            </w:r>
            <w:r w:rsidRPr="008E1FA7">
              <w:t>environnement. L</w:t>
            </w:r>
            <w:r w:rsidR="001503DA" w:rsidRPr="008E1FA7">
              <w:t>’</w:t>
            </w:r>
            <w:r w:rsidRPr="008E1FA7">
              <w:t>évaluation environnementale a établi que l</w:t>
            </w:r>
            <w:r w:rsidR="001503DA" w:rsidRPr="008E1FA7">
              <w:t>’</w:t>
            </w:r>
            <w:r w:rsidRPr="008E1FA7">
              <w:t>on ne disposait pas d</w:t>
            </w:r>
            <w:r w:rsidR="001503DA" w:rsidRPr="008E1FA7">
              <w:t>’</w:t>
            </w:r>
            <w:r w:rsidRPr="008E1FA7">
              <w:t>informations adéquates pour évaluer les effets éventuels sur les oiseaux non visés exposés au produit lui</w:t>
            </w:r>
            <w:r w:rsidRPr="008E1FA7">
              <w:noBreakHyphen/>
              <w:t>même ou sur les oiseaux prédateurs se nourrissant d</w:t>
            </w:r>
            <w:r w:rsidR="001503DA" w:rsidRPr="008E1FA7">
              <w:t>’</w:t>
            </w:r>
            <w:r w:rsidRPr="008E1FA7">
              <w:t>oiseaux morts ou mourants. S</w:t>
            </w:r>
            <w:r w:rsidR="001503DA" w:rsidRPr="008E1FA7">
              <w:t>’</w:t>
            </w:r>
            <w:r w:rsidRPr="008E1FA7">
              <w:t>agissant des préoccupations associées aux produits de lutte anti</w:t>
            </w:r>
            <w:r w:rsidRPr="008E1FA7">
              <w:noBreakHyphen/>
              <w:t>aviaire, des données supplémentaires seront nécessaires pour remédier aux effets possibles sur les espèces aviaires non visées. Toutefois, l</w:t>
            </w:r>
            <w:r w:rsidR="001503DA" w:rsidRPr="008E1FA7">
              <w:t>’</w:t>
            </w:r>
            <w:r w:rsidRPr="008E1FA7">
              <w:t>évaluation environnementale a conclu que l</w:t>
            </w:r>
            <w:r w:rsidR="001503DA" w:rsidRPr="008E1FA7">
              <w:t>’</w:t>
            </w:r>
            <w:r w:rsidRPr="008E1FA7">
              <w:t>ajout de mentions sur les étiquettes de ces produits tendant à réduire les risques pour l</w:t>
            </w:r>
            <w:r w:rsidR="001503DA" w:rsidRPr="008E1FA7">
              <w:t>’</w:t>
            </w:r>
            <w:r w:rsidRPr="008E1FA7">
              <w:t xml:space="preserve">environnement permettrait de répondre aux préoccupations écologiques à court terme. </w:t>
            </w:r>
          </w:p>
        </w:tc>
      </w:tr>
    </w:tbl>
    <w:p w14:paraId="0064883E" w14:textId="6503392E" w:rsidR="0009330A" w:rsidRPr="008E1FA7" w:rsidRDefault="0009330A">
      <w:pPr>
        <w:tabs>
          <w:tab w:val="clear" w:pos="1247"/>
          <w:tab w:val="clear" w:pos="1814"/>
          <w:tab w:val="clear" w:pos="2381"/>
          <w:tab w:val="clear" w:pos="2948"/>
          <w:tab w:val="clear" w:pos="3515"/>
        </w:tabs>
        <w:rPr>
          <w:b/>
          <w:bCs/>
          <w:kern w:val="28"/>
          <w:sz w:val="28"/>
          <w:szCs w:val="28"/>
        </w:rPr>
      </w:pPr>
      <w:r w:rsidRPr="008E1FA7">
        <w:rPr>
          <w:b/>
          <w:bCs/>
          <w:kern w:val="28"/>
          <w:sz w:val="28"/>
          <w:szCs w:val="28"/>
        </w:rPr>
        <w:br w:type="page"/>
      </w:r>
    </w:p>
    <w:p w14:paraId="6228027B" w14:textId="352A6356" w:rsidR="00EA0EE3" w:rsidRPr="00C31740" w:rsidRDefault="00EA0EE3" w:rsidP="00EA0EE3">
      <w:pPr>
        <w:keepNext/>
        <w:pBdr>
          <w:top w:val="single" w:sz="6" w:space="1" w:color="808080" w:shadow="1"/>
          <w:left w:val="single" w:sz="6" w:space="4" w:color="808080" w:shadow="1"/>
          <w:bottom w:val="single" w:sz="6" w:space="1" w:color="808080" w:shadow="1"/>
          <w:right w:val="single" w:sz="6" w:space="4" w:color="808080" w:shadow="1"/>
        </w:pBdr>
        <w:shd w:val="pct12" w:color="auto" w:fill="auto"/>
        <w:spacing w:before="40" w:after="60"/>
        <w:outlineLvl w:val="0"/>
        <w:rPr>
          <w:b/>
          <w:bCs/>
          <w:kern w:val="28"/>
          <w:sz w:val="24"/>
          <w:szCs w:val="24"/>
          <w:lang w:val="en-US"/>
        </w:rPr>
      </w:pPr>
      <w:proofErr w:type="spellStart"/>
      <w:r w:rsidRPr="00C31740">
        <w:rPr>
          <w:b/>
          <w:bCs/>
          <w:kern w:val="28"/>
          <w:sz w:val="24"/>
          <w:szCs w:val="24"/>
          <w:lang w:val="en-US"/>
        </w:rPr>
        <w:t>Annexe</w:t>
      </w:r>
      <w:proofErr w:type="spellEnd"/>
      <w:r w:rsidRPr="00C31740">
        <w:rPr>
          <w:b/>
          <w:bCs/>
          <w:kern w:val="28"/>
          <w:sz w:val="24"/>
          <w:szCs w:val="24"/>
          <w:lang w:val="en-US"/>
        </w:rPr>
        <w:t xml:space="preserve"> V</w:t>
      </w:r>
      <w:r w:rsidRPr="00C31740">
        <w:rPr>
          <w:b/>
          <w:bCs/>
          <w:kern w:val="28"/>
          <w:sz w:val="24"/>
          <w:szCs w:val="24"/>
          <w:lang w:val="en-US"/>
        </w:rPr>
        <w:tab/>
      </w:r>
      <w:proofErr w:type="spellStart"/>
      <w:r w:rsidRPr="00C31740">
        <w:rPr>
          <w:b/>
          <w:bCs/>
          <w:kern w:val="28"/>
          <w:sz w:val="24"/>
          <w:szCs w:val="24"/>
          <w:lang w:val="en-US"/>
        </w:rPr>
        <w:t>Références</w:t>
      </w:r>
      <w:proofErr w:type="spellEnd"/>
    </w:p>
    <w:p w14:paraId="3310F31E" w14:textId="77777777" w:rsidR="00371363" w:rsidRPr="008E1FA7" w:rsidRDefault="00371363" w:rsidP="00EA0EE3">
      <w:pPr>
        <w:snapToGrid w:val="0"/>
        <w:spacing w:before="240" w:after="120"/>
      </w:pPr>
      <w:r w:rsidRPr="00C31740">
        <w:rPr>
          <w:lang w:val="en-US"/>
        </w:rPr>
        <w:t>APVMA (2012a): Review of the mammalian toxicology and metabolism/</w:t>
      </w:r>
      <w:proofErr w:type="spellStart"/>
      <w:r w:rsidRPr="00C31740">
        <w:rPr>
          <w:lang w:val="en-US"/>
        </w:rPr>
        <w:t>toxicokinetics</w:t>
      </w:r>
      <w:proofErr w:type="spellEnd"/>
      <w:r w:rsidRPr="00C31740">
        <w:rPr>
          <w:lang w:val="en-US"/>
        </w:rPr>
        <w:t xml:space="preserve"> of fenthion. </w:t>
      </w:r>
      <w:r w:rsidRPr="008E1FA7">
        <w:t xml:space="preserve">Disponible sur : </w:t>
      </w:r>
      <w:hyperlink r:id="rId24" w:history="1">
        <w:r w:rsidRPr="008E1FA7">
          <w:t>http://www.apvma.gov.au/products/review/docs/fenthion_part_2_toxicology_report.pdf</w:t>
        </w:r>
      </w:hyperlink>
      <w:r w:rsidRPr="008E1FA7">
        <w:t xml:space="preserve"> (en anglais).</w:t>
      </w:r>
    </w:p>
    <w:p w14:paraId="2C4B94B9" w14:textId="1BD944AF" w:rsidR="00371363" w:rsidRPr="00C31740" w:rsidRDefault="00371363" w:rsidP="00371363">
      <w:pPr>
        <w:snapToGrid w:val="0"/>
        <w:spacing w:after="120"/>
        <w:rPr>
          <w:lang w:val="en-US" w:eastAsia="bg-BG"/>
        </w:rPr>
      </w:pPr>
      <w:r w:rsidRPr="00C31740">
        <w:rPr>
          <w:lang w:val="en-US" w:eastAsia="bg-BG"/>
        </w:rPr>
        <w:t xml:space="preserve">APVMA (2012b): Residues and Dietary Risk Assessment Report. Tel que </w:t>
      </w:r>
      <w:proofErr w:type="spellStart"/>
      <w:r w:rsidRPr="00C31740">
        <w:rPr>
          <w:lang w:val="en-US" w:eastAsia="bg-BG"/>
        </w:rPr>
        <w:t>publié</w:t>
      </w:r>
      <w:proofErr w:type="spellEnd"/>
      <w:r w:rsidRPr="00C31740">
        <w:rPr>
          <w:lang w:val="en-US" w:eastAsia="bg-BG"/>
        </w:rPr>
        <w:t xml:space="preserve"> sur le site web de </w:t>
      </w:r>
      <w:proofErr w:type="spellStart"/>
      <w:r w:rsidRPr="00C31740">
        <w:rPr>
          <w:lang w:val="en-US" w:eastAsia="bg-BG"/>
        </w:rPr>
        <w:t>l</w:t>
      </w:r>
      <w:r w:rsidR="001503DA" w:rsidRPr="00C31740">
        <w:rPr>
          <w:lang w:val="en-US" w:eastAsia="bg-BG"/>
        </w:rPr>
        <w:t>’</w:t>
      </w:r>
      <w:r w:rsidRPr="00C31740">
        <w:rPr>
          <w:lang w:val="en-US" w:eastAsia="bg-BG"/>
        </w:rPr>
        <w:t>Australian</w:t>
      </w:r>
      <w:proofErr w:type="spellEnd"/>
      <w:r w:rsidRPr="00C31740">
        <w:rPr>
          <w:lang w:val="en-US" w:eastAsia="bg-BG"/>
        </w:rPr>
        <w:t xml:space="preserve"> Pesticides and Veterinary Medicines Authority (APVMA)</w:t>
      </w:r>
      <w:r w:rsidRPr="00C31740">
        <w:rPr>
          <w:lang w:val="en-US"/>
        </w:rPr>
        <w:t xml:space="preserve"> : </w:t>
      </w:r>
      <w:hyperlink r:id="rId25" w:history="1">
        <w:r w:rsidRPr="00C31740">
          <w:rPr>
            <w:lang w:val="en-US" w:eastAsia="bg-BG"/>
          </w:rPr>
          <w:t>http://www.apvma.gov.au/products/review/current/fenthion.php</w:t>
        </w:r>
      </w:hyperlink>
      <w:r w:rsidRPr="00C31740">
        <w:rPr>
          <w:lang w:val="en-US" w:eastAsia="bg-BG"/>
        </w:rPr>
        <w:t xml:space="preserve"> </w:t>
      </w:r>
      <w:r w:rsidRPr="00C31740">
        <w:rPr>
          <w:lang w:val="en-US"/>
        </w:rPr>
        <w:t>(</w:t>
      </w:r>
      <w:proofErr w:type="spellStart"/>
      <w:r w:rsidRPr="00C31740">
        <w:rPr>
          <w:lang w:val="en-US"/>
        </w:rPr>
        <w:t>en</w:t>
      </w:r>
      <w:proofErr w:type="spellEnd"/>
      <w:r w:rsidRPr="00C31740">
        <w:rPr>
          <w:lang w:val="en-US"/>
        </w:rPr>
        <w:t xml:space="preserve"> </w:t>
      </w:r>
      <w:proofErr w:type="spellStart"/>
      <w:r w:rsidRPr="00C31740">
        <w:rPr>
          <w:lang w:val="en-US"/>
        </w:rPr>
        <w:t>anglais</w:t>
      </w:r>
      <w:proofErr w:type="spellEnd"/>
      <w:r w:rsidRPr="00C31740">
        <w:rPr>
          <w:lang w:val="en-US"/>
        </w:rPr>
        <w:t>).</w:t>
      </w:r>
    </w:p>
    <w:p w14:paraId="6A955A57" w14:textId="77777777" w:rsidR="00371363" w:rsidRPr="008E1FA7" w:rsidRDefault="00371363" w:rsidP="00371363">
      <w:pPr>
        <w:snapToGrid w:val="0"/>
        <w:spacing w:after="120"/>
      </w:pPr>
      <w:r w:rsidRPr="00C31740">
        <w:rPr>
          <w:lang w:val="en-US"/>
        </w:rPr>
        <w:t xml:space="preserve">APVMA (2005): Fenthion Review-Frequently asked questions. </w:t>
      </w:r>
      <w:r w:rsidRPr="008E1FA7">
        <w:t>Disponible sur : http://www.apvma.gov.au/chemrev/fenthion_faq.shtml. Consulté le 26 avril 2009 (en anglais).</w:t>
      </w:r>
    </w:p>
    <w:p w14:paraId="7EB7B356" w14:textId="77777777" w:rsidR="00371363" w:rsidRPr="008E1FA7" w:rsidRDefault="00371363" w:rsidP="00371363">
      <w:pPr>
        <w:snapToGrid w:val="0"/>
        <w:spacing w:after="120"/>
      </w:pPr>
      <w:r w:rsidRPr="00C31740">
        <w:rPr>
          <w:lang w:val="en-US"/>
        </w:rPr>
        <w:t xml:space="preserve">ASTDR (2005): Toxicological Information about Insecticides Used for Eradicating Mosquitoes (West Nile Virus Control); Department of Health and Human Services: Agency for Toxic Substances and Disease Registry. </w:t>
      </w:r>
      <w:r w:rsidRPr="008E1FA7">
        <w:t xml:space="preserve">Disponible sur : </w:t>
      </w:r>
      <w:hyperlink r:id="rId26" w:history="1">
        <w:r w:rsidRPr="008E1FA7">
          <w:t>http://www.atsdr.cdc.gov/consultations/west_nile_virus/fenthion.html</w:t>
        </w:r>
      </w:hyperlink>
      <w:r w:rsidRPr="008E1FA7">
        <w:t>. Consulté le 25 avril 2009 (en anglais).</w:t>
      </w:r>
    </w:p>
    <w:p w14:paraId="6867F47C" w14:textId="77777777" w:rsidR="00371363" w:rsidRPr="008E1FA7" w:rsidRDefault="00371363" w:rsidP="00371363">
      <w:pPr>
        <w:snapToGrid w:val="0"/>
        <w:spacing w:after="120"/>
      </w:pPr>
      <w:r w:rsidRPr="008E1FA7">
        <w:t xml:space="preserve">Extension </w:t>
      </w:r>
      <w:proofErr w:type="spellStart"/>
      <w:r w:rsidRPr="008E1FA7">
        <w:t>Toxicology</w:t>
      </w:r>
      <w:proofErr w:type="spellEnd"/>
      <w:r w:rsidRPr="008E1FA7">
        <w:t xml:space="preserve"> Network (1993): Pesticide Information Profile Fenthion. Disponible sur : </w:t>
      </w:r>
      <w:hyperlink r:id="rId27" w:history="1">
        <w:r w:rsidRPr="008E1FA7">
          <w:t>http://extoxnet.orst.edu/pips/fenthion.htm</w:t>
        </w:r>
      </w:hyperlink>
      <w:r w:rsidRPr="008E1FA7">
        <w:t xml:space="preserve"> (en anglais).</w:t>
      </w:r>
    </w:p>
    <w:p w14:paraId="771B17D4" w14:textId="77777777" w:rsidR="00371363" w:rsidRPr="00C31740" w:rsidRDefault="00371363" w:rsidP="00371363">
      <w:pPr>
        <w:snapToGrid w:val="0"/>
        <w:spacing w:after="120"/>
        <w:rPr>
          <w:lang w:val="en-US" w:eastAsia="bg-BG"/>
        </w:rPr>
      </w:pPr>
      <w:r w:rsidRPr="00C31740">
        <w:rPr>
          <w:lang w:val="en-US" w:eastAsia="bg-BG"/>
        </w:rPr>
        <w:t xml:space="preserve">FAO (2004): FAO Specifications and evaluations for Fenthion </w:t>
      </w:r>
      <w:r w:rsidRPr="00C31740">
        <w:rPr>
          <w:lang w:val="en-US"/>
        </w:rPr>
        <w:t>(</w:t>
      </w:r>
      <w:proofErr w:type="spellStart"/>
      <w:r w:rsidRPr="00C31740">
        <w:rPr>
          <w:lang w:val="en-US"/>
        </w:rPr>
        <w:t>en</w:t>
      </w:r>
      <w:proofErr w:type="spellEnd"/>
      <w:r w:rsidRPr="00C31740">
        <w:rPr>
          <w:lang w:val="en-US"/>
        </w:rPr>
        <w:t xml:space="preserve"> </w:t>
      </w:r>
      <w:proofErr w:type="spellStart"/>
      <w:r w:rsidRPr="00C31740">
        <w:rPr>
          <w:lang w:val="en-US"/>
        </w:rPr>
        <w:t>anglais</w:t>
      </w:r>
      <w:proofErr w:type="spellEnd"/>
      <w:r w:rsidRPr="00C31740">
        <w:rPr>
          <w:lang w:val="en-US"/>
        </w:rPr>
        <w:t>).</w:t>
      </w:r>
    </w:p>
    <w:p w14:paraId="656E1799" w14:textId="77777777" w:rsidR="00371363" w:rsidRPr="008E1FA7" w:rsidRDefault="00371363" w:rsidP="00371363">
      <w:pPr>
        <w:snapToGrid w:val="0"/>
        <w:spacing w:after="120"/>
      </w:pPr>
      <w:r w:rsidRPr="00C31740">
        <w:rPr>
          <w:lang w:val="en-US"/>
        </w:rPr>
        <w:t xml:space="preserve">Hazardous Substance Data Bank (2003): Fenthion. National Library of Medicine: National Toxicology Program: </w:t>
      </w:r>
      <w:hyperlink r:id="rId28" w:history="1">
        <w:r w:rsidRPr="00C31740">
          <w:rPr>
            <w:lang w:val="en-US"/>
          </w:rPr>
          <w:t>http://toxnet.nlm.nih.gov/cgi-bin/sis/htmlgen</w:t>
        </w:r>
      </w:hyperlink>
      <w:r w:rsidRPr="00C31740">
        <w:rPr>
          <w:lang w:val="en-US"/>
        </w:rPr>
        <w:t xml:space="preserve">, HSDB. </w:t>
      </w:r>
      <w:r w:rsidRPr="008E1FA7">
        <w:t>Consultée le 29 avril 2009 (en anglais).</w:t>
      </w:r>
    </w:p>
    <w:p w14:paraId="4B8C44E3" w14:textId="77777777" w:rsidR="00371363" w:rsidRPr="008E1FA7" w:rsidRDefault="00371363" w:rsidP="00371363">
      <w:pPr>
        <w:snapToGrid w:val="0"/>
        <w:spacing w:after="120"/>
      </w:pPr>
      <w:r w:rsidRPr="008E1FA7">
        <w:t>OMS (décembre 1976): Data Sheets on Pesticides No. 23, PISSC, INCHEM (en anglais).</w:t>
      </w:r>
    </w:p>
    <w:p w14:paraId="5F3B9F6A" w14:textId="77777777" w:rsidR="00371363" w:rsidRPr="008E1FA7" w:rsidRDefault="00371363" w:rsidP="00371363">
      <w:pPr>
        <w:snapToGrid w:val="0"/>
        <w:spacing w:after="120"/>
      </w:pPr>
      <w:r w:rsidRPr="00C31740">
        <w:rPr>
          <w:lang w:val="en-US"/>
        </w:rPr>
        <w:t xml:space="preserve">OMS (2009): WHO Recommended Classification of Pesticides by Hazard and Guidelines to Classification. </w:t>
      </w:r>
      <w:r w:rsidRPr="008E1FA7">
        <w:t xml:space="preserve">Disponible sur : </w:t>
      </w:r>
      <w:hyperlink r:id="rId29" w:history="1">
        <w:r w:rsidRPr="008E1FA7">
          <w:t>http://www.who.int/ipcs/publications/pesticides_hazard/en/</w:t>
        </w:r>
      </w:hyperlink>
      <w:r w:rsidRPr="008E1FA7">
        <w:t xml:space="preserve"> (en anglais).</w:t>
      </w:r>
    </w:p>
    <w:p w14:paraId="0D5F9561" w14:textId="77777777" w:rsidR="00371363" w:rsidRPr="008E1FA7" w:rsidRDefault="00371363" w:rsidP="00371363">
      <w:pPr>
        <w:snapToGrid w:val="0"/>
        <w:spacing w:after="120"/>
      </w:pPr>
      <w:r w:rsidRPr="008E1FA7">
        <w:t xml:space="preserve">PPDB Pesticide </w:t>
      </w:r>
      <w:proofErr w:type="spellStart"/>
      <w:r w:rsidRPr="008E1FA7">
        <w:t>Properties</w:t>
      </w:r>
      <w:proofErr w:type="spellEnd"/>
      <w:r w:rsidRPr="008E1FA7">
        <w:t xml:space="preserve"> </w:t>
      </w:r>
      <w:proofErr w:type="spellStart"/>
      <w:r w:rsidRPr="008E1FA7">
        <w:t>DataBase</w:t>
      </w:r>
      <w:proofErr w:type="spellEnd"/>
      <w:r w:rsidRPr="008E1FA7">
        <w:t xml:space="preserve"> (</w:t>
      </w:r>
      <w:proofErr w:type="spellStart"/>
      <w:r w:rsidRPr="008E1FA7">
        <w:t>Footprint</w:t>
      </w:r>
      <w:proofErr w:type="spellEnd"/>
      <w:r w:rsidRPr="008E1FA7">
        <w:t xml:space="preserve">): </w:t>
      </w:r>
      <w:hyperlink r:id="rId30" w:history="1">
        <w:r w:rsidRPr="008E1FA7">
          <w:t>http://sitem.herts.ac.uk/aeru/ppdb/en/index.htm</w:t>
        </w:r>
      </w:hyperlink>
      <w:r w:rsidRPr="008E1FA7">
        <w:t>. Consultée en 2013 (en anglais).</w:t>
      </w:r>
    </w:p>
    <w:p w14:paraId="26F264FC" w14:textId="77777777" w:rsidR="00371363" w:rsidRPr="008E1FA7" w:rsidRDefault="00371363" w:rsidP="00371363">
      <w:pPr>
        <w:snapToGrid w:val="0"/>
        <w:spacing w:after="120"/>
      </w:pPr>
      <w:r w:rsidRPr="00C31740">
        <w:rPr>
          <w:lang w:val="en-US"/>
        </w:rPr>
        <w:t xml:space="preserve">UE (2002): Review report for the active substance Fenthion. </w:t>
      </w:r>
      <w:r w:rsidRPr="008E1FA7">
        <w:t>Document SANCO/485/00–</w:t>
      </w:r>
      <w:proofErr w:type="spellStart"/>
      <w:r w:rsidRPr="008E1FA7">
        <w:t>rev</w:t>
      </w:r>
      <w:proofErr w:type="spellEnd"/>
      <w:r w:rsidRPr="008E1FA7">
        <w:t>. 12 (cette version inclut la liste des points extrêmes) (en anglais).</w:t>
      </w:r>
    </w:p>
    <w:p w14:paraId="3C18DA9C" w14:textId="77777777" w:rsidR="00371363" w:rsidRPr="008E1FA7" w:rsidRDefault="00371363" w:rsidP="00371363">
      <w:pPr>
        <w:autoSpaceDE w:val="0"/>
        <w:autoSpaceDN w:val="0"/>
        <w:adjustRightInd w:val="0"/>
        <w:snapToGrid w:val="0"/>
        <w:spacing w:after="120"/>
      </w:pPr>
      <w:r w:rsidRPr="00C31740">
        <w:rPr>
          <w:lang w:val="en-US"/>
        </w:rPr>
        <w:t xml:space="preserve">UE (2003): Review report for the active substance Fenthion. </w:t>
      </w:r>
      <w:r w:rsidRPr="008E1FA7">
        <w:t xml:space="preserve">Document </w:t>
      </w:r>
      <w:r w:rsidRPr="008E1FA7">
        <w:rPr>
          <w:spacing w:val="-3"/>
        </w:rPr>
        <w:t>SANCO/485/00</w:t>
      </w:r>
      <w:r w:rsidRPr="008E1FA7">
        <w:rPr>
          <w:spacing w:val="-3"/>
        </w:rPr>
        <w:noBreakHyphen/>
        <w:t>final</w:t>
      </w:r>
      <w:r w:rsidRPr="008E1FA7">
        <w:t xml:space="preserve">. Disponible sur : </w:t>
      </w:r>
      <w:hyperlink r:id="rId31" w:history="1">
        <w:r w:rsidRPr="008E1FA7">
          <w:t>http://ec.europa.eu/sanco_pesticides/public/?event=activesubstance.ViewReview&amp;id=174</w:t>
        </w:r>
      </w:hyperlink>
      <w:r w:rsidRPr="008E1FA7">
        <w:t xml:space="preserve"> (en anglais).</w:t>
      </w:r>
    </w:p>
    <w:p w14:paraId="20875BF4" w14:textId="77777777" w:rsidR="00371363" w:rsidRPr="008E1FA7" w:rsidRDefault="00371363" w:rsidP="00371363">
      <w:pPr>
        <w:autoSpaceDE w:val="0"/>
        <w:autoSpaceDN w:val="0"/>
        <w:adjustRightInd w:val="0"/>
        <w:snapToGrid w:val="0"/>
        <w:spacing w:after="120"/>
        <w:rPr>
          <w:lang w:eastAsia="de-DE"/>
        </w:rPr>
      </w:pPr>
      <w:r w:rsidRPr="008E1FA7">
        <w:t>UE (2005): Formulaire de notification de mesures de réglementation finales visant à interdire ou à réglementer strictement un produit chimique</w:t>
      </w:r>
      <w:r w:rsidRPr="008E1FA7">
        <w:rPr>
          <w:lang w:eastAsia="de-DE"/>
        </w:rPr>
        <w:t xml:space="preserve"> (22/08/2005).</w:t>
      </w:r>
    </w:p>
    <w:p w14:paraId="03DF6BD9" w14:textId="77777777" w:rsidR="00371363" w:rsidRPr="008E1FA7" w:rsidRDefault="00371363" w:rsidP="00371363">
      <w:pPr>
        <w:snapToGrid w:val="0"/>
        <w:spacing w:after="120"/>
      </w:pPr>
      <w:r w:rsidRPr="00C31740">
        <w:rPr>
          <w:lang w:val="en-US"/>
        </w:rPr>
        <w:t xml:space="preserve">US EPA (2001): Interim Reregistration Eligibility Decision for Fenthion. </w:t>
      </w:r>
      <w:r w:rsidRPr="008E1FA7">
        <w:t xml:space="preserve">United States </w:t>
      </w:r>
      <w:proofErr w:type="spellStart"/>
      <w:r w:rsidRPr="008E1FA7">
        <w:t>Environmental</w:t>
      </w:r>
      <w:proofErr w:type="spellEnd"/>
      <w:r w:rsidRPr="008E1FA7">
        <w:t xml:space="preserve"> Protection Agency. Disponible sur : </w:t>
      </w:r>
      <w:hyperlink r:id="rId32" w:history="1">
        <w:r w:rsidRPr="008E1FA7">
          <w:t>http://www.epa.gov/pesticides/reregistration/REDs/0290ired.pdf</w:t>
        </w:r>
      </w:hyperlink>
      <w:r w:rsidRPr="008E1FA7">
        <w:t>. Consulté le 25 avril 2009 (en anglais).</w:t>
      </w:r>
    </w:p>
    <w:tbl>
      <w:tblPr>
        <w:tblW w:w="0" w:type="auto"/>
        <w:tblLook w:val="04A0" w:firstRow="1" w:lastRow="0" w:firstColumn="1" w:lastColumn="0" w:noHBand="0" w:noVBand="1"/>
      </w:tblPr>
      <w:tblGrid>
        <w:gridCol w:w="1899"/>
        <w:gridCol w:w="1899"/>
        <w:gridCol w:w="1899"/>
        <w:gridCol w:w="1899"/>
        <w:gridCol w:w="1900"/>
      </w:tblGrid>
      <w:tr w:rsidR="00371363" w:rsidRPr="008E1FA7" w14:paraId="41397555" w14:textId="77777777" w:rsidTr="00371363">
        <w:tc>
          <w:tcPr>
            <w:tcW w:w="1927" w:type="dxa"/>
            <w:shd w:val="clear" w:color="auto" w:fill="auto"/>
          </w:tcPr>
          <w:p w14:paraId="2D390CE5" w14:textId="77777777" w:rsidR="00371363" w:rsidRPr="008E1FA7" w:rsidRDefault="00371363" w:rsidP="00371363">
            <w:pPr>
              <w:pStyle w:val="Normal-pool"/>
              <w:spacing w:before="520"/>
            </w:pPr>
          </w:p>
        </w:tc>
        <w:tc>
          <w:tcPr>
            <w:tcW w:w="1927" w:type="dxa"/>
            <w:shd w:val="clear" w:color="auto" w:fill="auto"/>
          </w:tcPr>
          <w:p w14:paraId="00B0755A" w14:textId="77777777" w:rsidR="00371363" w:rsidRPr="008E1FA7" w:rsidRDefault="00371363" w:rsidP="00371363">
            <w:pPr>
              <w:pStyle w:val="Normal-pool"/>
              <w:spacing w:before="520"/>
            </w:pPr>
          </w:p>
        </w:tc>
        <w:tc>
          <w:tcPr>
            <w:tcW w:w="1927" w:type="dxa"/>
            <w:tcBorders>
              <w:bottom w:val="single" w:sz="4" w:space="0" w:color="auto"/>
            </w:tcBorders>
            <w:shd w:val="clear" w:color="auto" w:fill="auto"/>
          </w:tcPr>
          <w:p w14:paraId="0C92AE1A" w14:textId="77777777" w:rsidR="00371363" w:rsidRPr="008E1FA7" w:rsidRDefault="00371363" w:rsidP="00371363">
            <w:pPr>
              <w:pStyle w:val="Normal-pool"/>
              <w:spacing w:before="520"/>
            </w:pPr>
          </w:p>
        </w:tc>
        <w:tc>
          <w:tcPr>
            <w:tcW w:w="1927" w:type="dxa"/>
            <w:shd w:val="clear" w:color="auto" w:fill="auto"/>
          </w:tcPr>
          <w:p w14:paraId="722DDBF5" w14:textId="77777777" w:rsidR="00371363" w:rsidRPr="008E1FA7" w:rsidRDefault="00371363" w:rsidP="00371363">
            <w:pPr>
              <w:pStyle w:val="Normal-pool"/>
              <w:spacing w:before="520"/>
            </w:pPr>
          </w:p>
        </w:tc>
        <w:tc>
          <w:tcPr>
            <w:tcW w:w="1928" w:type="dxa"/>
            <w:shd w:val="clear" w:color="auto" w:fill="auto"/>
          </w:tcPr>
          <w:p w14:paraId="645C3A67" w14:textId="77777777" w:rsidR="00371363" w:rsidRPr="008E1FA7" w:rsidRDefault="00371363" w:rsidP="00371363">
            <w:pPr>
              <w:pStyle w:val="Normal-pool"/>
              <w:spacing w:before="520"/>
            </w:pPr>
          </w:p>
        </w:tc>
      </w:tr>
    </w:tbl>
    <w:p w14:paraId="1582A11D" w14:textId="4B2F3BB6" w:rsidR="00772E66" w:rsidRPr="008E1FA7" w:rsidRDefault="00772E66" w:rsidP="0009330A">
      <w:pPr>
        <w:pStyle w:val="Normal-pool"/>
      </w:pPr>
    </w:p>
    <w:sectPr w:rsidR="00772E66" w:rsidRPr="008E1FA7" w:rsidSect="00C31740">
      <w:footerReference w:type="first" r:id="rId33"/>
      <w:footnotePr>
        <w:numFmt w:val="chicago"/>
      </w:footnotePr>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EB2FD" w14:textId="77777777" w:rsidR="008546D1" w:rsidRPr="00A87ADC" w:rsidRDefault="008546D1">
      <w:r w:rsidRPr="00A87ADC">
        <w:separator/>
      </w:r>
    </w:p>
  </w:endnote>
  <w:endnote w:type="continuationSeparator" w:id="0">
    <w:p w14:paraId="7F1D250A" w14:textId="77777777" w:rsidR="008546D1" w:rsidRPr="00A87ADC" w:rsidRDefault="008546D1">
      <w:r w:rsidRPr="00A87ADC">
        <w:continuationSeparator/>
      </w:r>
    </w:p>
  </w:endnote>
  <w:endnote w:type="continuationNotice" w:id="1">
    <w:p w14:paraId="00D1F246" w14:textId="77777777" w:rsidR="008546D1" w:rsidRDefault="008546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aditional Arabic">
    <w:charset w:val="B2"/>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CG Times (WN)">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NewRoman">
    <w:altName w:val="Arial Unicode MS"/>
    <w:panose1 w:val="00000000000000000000"/>
    <w:charset w:val="00"/>
    <w:family w:val="roman"/>
    <w:notTrueType/>
    <w:pitch w:val="default"/>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Abadi MT Condensed">
    <w:altName w:val="Times New Roman"/>
    <w:charset w:val="00"/>
    <w:family w:val="auto"/>
    <w:pitch w:val="default"/>
    <w:sig w:usb0="00000003" w:usb1="00000000" w:usb2="00000000" w:usb3="00000000" w:csb0="00000001" w:csb1="00000000"/>
  </w:font>
  <w:font w:name="Times New Roman Bold">
    <w:altName w:val="Times New Roman"/>
    <w:panose1 w:val="02020803070505020304"/>
    <w:charset w:val="00"/>
    <w:family w:val="roman"/>
    <w:notTrueType/>
    <w:pitch w:val="variable"/>
    <w:sig w:usb0="E0002AEF" w:usb1="C0007841" w:usb2="00000009" w:usb3="00000000" w:csb0="000001FF" w:csb1="00000000"/>
  </w:font>
  <w:font w:name="Consolas">
    <w:panose1 w:val="020B0609020204030204"/>
    <w:charset w:val="00"/>
    <w:family w:val="modern"/>
    <w:pitch w:val="fixed"/>
    <w:sig w:usb0="E00006FF" w:usb1="0000F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8670549"/>
      <w:docPartObj>
        <w:docPartGallery w:val="Page Numbers (Bottom of Page)"/>
        <w:docPartUnique/>
      </w:docPartObj>
    </w:sdtPr>
    <w:sdtEndPr>
      <w:rPr>
        <w:b/>
        <w:bCs/>
        <w:noProof/>
      </w:rPr>
    </w:sdtEndPr>
    <w:sdtContent>
      <w:p w14:paraId="3D68F901" w14:textId="45DC437A" w:rsidR="00C31740" w:rsidRPr="00C31740" w:rsidRDefault="00C31740" w:rsidP="00C31740">
        <w:pPr>
          <w:pStyle w:val="Footer"/>
          <w:rPr>
            <w:b/>
            <w:bCs/>
          </w:rPr>
        </w:pPr>
        <w:r w:rsidRPr="00C31740">
          <w:rPr>
            <w:b/>
            <w:bCs/>
          </w:rPr>
          <w:fldChar w:fldCharType="begin"/>
        </w:r>
        <w:r w:rsidRPr="00C31740">
          <w:rPr>
            <w:b/>
            <w:bCs/>
          </w:rPr>
          <w:instrText xml:space="preserve"> PAGE   \* MERGEFORMAT </w:instrText>
        </w:r>
        <w:r w:rsidRPr="00C31740">
          <w:rPr>
            <w:b/>
            <w:bCs/>
          </w:rPr>
          <w:fldChar w:fldCharType="separate"/>
        </w:r>
        <w:r w:rsidRPr="00C31740">
          <w:rPr>
            <w:b/>
            <w:bCs/>
            <w:noProof/>
          </w:rPr>
          <w:t>2</w:t>
        </w:r>
        <w:r w:rsidRPr="00C31740">
          <w:rPr>
            <w:b/>
            <w:bCs/>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3DAED" w14:textId="77777777" w:rsidR="00C31740" w:rsidRPr="00A87ADC" w:rsidRDefault="00C31740" w:rsidP="00A87ADC">
    <w:pPr>
      <w:pStyle w:val="Footer-pool"/>
      <w:jc w:val="right"/>
    </w:pPr>
    <w:r w:rsidRPr="00A87ADC">
      <w:fldChar w:fldCharType="begin"/>
    </w:r>
    <w:r w:rsidRPr="00A87ADC">
      <w:instrText xml:space="preserve"> PAGE \* MERGEFORMAT </w:instrText>
    </w:r>
    <w:r w:rsidRPr="00A87ADC">
      <w:fldChar w:fldCharType="separate"/>
    </w:r>
    <w:r w:rsidRPr="00A87ADC">
      <w:rPr>
        <w:noProof/>
      </w:rPr>
      <w:t>4</w:t>
    </w:r>
    <w:r w:rsidRPr="00A87ADC">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60651" w14:textId="28FA8676" w:rsidR="00C31740" w:rsidRDefault="00C31740" w:rsidP="00C31740">
    <w:pPr>
      <w:tabs>
        <w:tab w:val="clear" w:pos="1247"/>
        <w:tab w:val="clear" w:pos="1814"/>
        <w:tab w:val="clear" w:pos="2381"/>
        <w:tab w:val="clear" w:pos="2948"/>
        <w:tab w:val="clear" w:pos="3515"/>
        <w:tab w:val="left" w:pos="1710"/>
      </w:tabs>
    </w:pPr>
    <w:r w:rsidRPr="002A7053">
      <w:rPr>
        <w:rFonts w:hint="eastAsia"/>
      </w:rPr>
      <w:t>K250817</w:t>
    </w:r>
    <w:r>
      <w:rPr>
        <w:rFonts w:hint="eastAsia"/>
      </w:rPr>
      <w:t>5</w:t>
    </w:r>
    <w:r w:rsidRPr="002A7053">
      <w:rPr>
        <w:rFonts w:hint="eastAsia"/>
      </w:rPr>
      <w:t>[</w:t>
    </w:r>
    <w:r>
      <w:t>F</w:t>
    </w:r>
    <w:r w:rsidRPr="002A7053">
      <w:rPr>
        <w:rFonts w:hint="eastAsia"/>
      </w:rPr>
      <w:t>]</w:t>
    </w:r>
    <w:r w:rsidRPr="002A7053">
      <w:tab/>
    </w:r>
    <w:r w:rsidRPr="002A7053">
      <w:rPr>
        <w:rFonts w:hint="eastAsia"/>
      </w:rPr>
      <w:t>0</w:t>
    </w:r>
    <w:r>
      <w:t>4</w:t>
    </w:r>
    <w:r w:rsidRPr="002A7053">
      <w:rPr>
        <w:rFonts w:hint="eastAsia"/>
      </w:rPr>
      <w:t>0625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3287687"/>
      <w:docPartObj>
        <w:docPartGallery w:val="Page Numbers (Bottom of Page)"/>
        <w:docPartUnique/>
      </w:docPartObj>
    </w:sdtPr>
    <w:sdtEndPr>
      <w:rPr>
        <w:b/>
        <w:bCs/>
        <w:noProof/>
      </w:rPr>
    </w:sdtEndPr>
    <w:sdtContent>
      <w:p w14:paraId="277637FB" w14:textId="07F4F185" w:rsidR="001503DA" w:rsidRPr="00C31740" w:rsidRDefault="00C31740" w:rsidP="00C31740">
        <w:pPr>
          <w:pStyle w:val="Footer"/>
          <w:rPr>
            <w:b/>
            <w:bCs/>
          </w:rPr>
        </w:pPr>
        <w:r w:rsidRPr="00C31740">
          <w:rPr>
            <w:b/>
            <w:bCs/>
          </w:rPr>
          <w:fldChar w:fldCharType="begin"/>
        </w:r>
        <w:r w:rsidRPr="00C31740">
          <w:rPr>
            <w:b/>
            <w:bCs/>
          </w:rPr>
          <w:instrText xml:space="preserve"> PAGE   \* MERGEFORMAT </w:instrText>
        </w:r>
        <w:r w:rsidRPr="00C31740">
          <w:rPr>
            <w:b/>
            <w:bCs/>
          </w:rPr>
          <w:fldChar w:fldCharType="separate"/>
        </w:r>
        <w:r w:rsidRPr="00C31740">
          <w:rPr>
            <w:b/>
            <w:bCs/>
            <w:noProof/>
          </w:rPr>
          <w:t>2</w:t>
        </w:r>
        <w:r w:rsidRPr="00C31740">
          <w:rPr>
            <w:b/>
            <w:bCs/>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69569" w14:textId="77777777" w:rsidR="008546D1" w:rsidRPr="00A87ADC" w:rsidRDefault="008546D1" w:rsidP="00A87ADC">
      <w:pPr>
        <w:pStyle w:val="Footnote-Separator"/>
        <w:ind w:left="624"/>
        <w:rPr>
          <w:szCs w:val="18"/>
        </w:rPr>
      </w:pPr>
      <w:r w:rsidRPr="00A87ADC">
        <w:separator/>
      </w:r>
    </w:p>
  </w:footnote>
  <w:footnote w:type="continuationSeparator" w:id="0">
    <w:p w14:paraId="45EFDDA3" w14:textId="77777777" w:rsidR="008546D1" w:rsidRPr="00A87ADC" w:rsidRDefault="008546D1" w:rsidP="00A87ADC">
      <w:pPr>
        <w:pStyle w:val="Footnote-Separator"/>
      </w:pPr>
      <w:r w:rsidRPr="00A87ADC">
        <w:continuationSeparator/>
      </w:r>
    </w:p>
  </w:footnote>
  <w:footnote w:type="continuationNotice" w:id="1">
    <w:p w14:paraId="63E8EC03" w14:textId="77777777" w:rsidR="008546D1" w:rsidRPr="00A87ADC" w:rsidRDefault="008546D1" w:rsidP="00A87ADC">
      <w:pPr>
        <w:pStyle w:val="ASpace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E5D57" w14:textId="77777777" w:rsidR="00C31740" w:rsidRPr="00775CDB" w:rsidRDefault="00C31740" w:rsidP="00775CDB">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D3FFA" w14:textId="10B59CD1" w:rsidR="00C31740" w:rsidRPr="00C31740" w:rsidRDefault="00C31740" w:rsidP="00C31740">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11A886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BA8AD84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CBA9FDC"/>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C7EFE9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8BD022FE"/>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B10AE3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6F4CA88"/>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A10C63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F5478C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6E6B4E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85682"/>
    <w:multiLevelType w:val="hybridMultilevel"/>
    <w:tmpl w:val="F5A66B5E"/>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961426B"/>
    <w:multiLevelType w:val="singleLevel"/>
    <w:tmpl w:val="21C62608"/>
    <w:lvl w:ilvl="0">
      <w:start w:val="1"/>
      <w:numFmt w:val="lowerLetter"/>
      <w:lvlText w:val="%1)"/>
      <w:lvlJc w:val="left"/>
      <w:pPr>
        <w:tabs>
          <w:tab w:val="num" w:pos="360"/>
        </w:tabs>
        <w:ind w:left="360" w:hanging="360"/>
      </w:pPr>
      <w:rPr>
        <w:i w:val="0"/>
      </w:rPr>
    </w:lvl>
  </w:abstractNum>
  <w:abstractNum w:abstractNumId="12" w15:restartNumberingAfterBreak="0">
    <w:nsid w:val="1B4F6127"/>
    <w:multiLevelType w:val="hybridMultilevel"/>
    <w:tmpl w:val="ACFA5E3C"/>
    <w:lvl w:ilvl="0" w:tplc="2BE2DDA8">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3" w15:restartNumberingAfterBreak="0">
    <w:nsid w:val="231C3085"/>
    <w:multiLevelType w:val="singleLevel"/>
    <w:tmpl w:val="BFA0F994"/>
    <w:lvl w:ilvl="0">
      <w:start w:val="1"/>
      <w:numFmt w:val="lowerLetter"/>
      <w:pStyle w:val="Level2"/>
      <w:lvlText w:val="(%1)"/>
      <w:lvlJc w:val="left"/>
      <w:pPr>
        <w:tabs>
          <w:tab w:val="num" w:pos="938"/>
        </w:tabs>
        <w:ind w:left="0" w:firstLine="578"/>
      </w:pPr>
    </w:lvl>
  </w:abstractNum>
  <w:abstractNum w:abstractNumId="14"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EBD6056"/>
    <w:multiLevelType w:val="singleLevel"/>
    <w:tmpl w:val="22D82B4C"/>
    <w:lvl w:ilvl="0">
      <w:start w:val="1"/>
      <w:numFmt w:val="lowerRoman"/>
      <w:pStyle w:val="Paralevel3"/>
      <w:lvlText w:val="(%1)"/>
      <w:lvlJc w:val="left"/>
      <w:pPr>
        <w:tabs>
          <w:tab w:val="num" w:pos="2892"/>
        </w:tabs>
        <w:ind w:left="2892" w:hanging="579"/>
      </w:pPr>
      <w:rPr>
        <w:rFonts w:hint="default"/>
      </w:rPr>
    </w:lvl>
  </w:abstractNum>
  <w:abstractNum w:abstractNumId="16" w15:restartNumberingAfterBreak="0">
    <w:nsid w:val="51D76DA7"/>
    <w:multiLevelType w:val="hybridMultilevel"/>
    <w:tmpl w:val="43CC69DC"/>
    <w:lvl w:ilvl="0" w:tplc="D6B6AF58">
      <w:start w:val="1"/>
      <w:numFmt w:val="decimal"/>
      <w:pStyle w:val="paralevel1"/>
      <w:lvlText w:val="%1."/>
      <w:lvlJc w:val="left"/>
      <w:pPr>
        <w:tabs>
          <w:tab w:val="num" w:pos="4197"/>
        </w:tabs>
        <w:ind w:left="3630" w:firstLine="0"/>
      </w:pPr>
      <w:rPr>
        <w:rFonts w:ascii="Times New Roman" w:hAnsi="Times New Roman" w:hint="default"/>
        <w:b w:val="0"/>
        <w:i w:val="0"/>
        <w:sz w:val="20"/>
        <w:szCs w:val="20"/>
      </w:rPr>
    </w:lvl>
    <w:lvl w:ilvl="1" w:tplc="60AACC20">
      <w:start w:val="8"/>
      <w:numFmt w:val="decimal"/>
      <w:lvlText w:val="%2"/>
      <w:lvlJc w:val="left"/>
      <w:pPr>
        <w:tabs>
          <w:tab w:val="num" w:pos="1440"/>
        </w:tabs>
        <w:ind w:left="1440" w:hanging="360"/>
      </w:pPr>
      <w:rPr>
        <w:rFonts w:hint="default"/>
      </w:rPr>
    </w:lvl>
    <w:lvl w:ilvl="2" w:tplc="8228DA16" w:tentative="1">
      <w:start w:val="1"/>
      <w:numFmt w:val="lowerRoman"/>
      <w:lvlText w:val="%3."/>
      <w:lvlJc w:val="right"/>
      <w:pPr>
        <w:tabs>
          <w:tab w:val="num" w:pos="2160"/>
        </w:tabs>
        <w:ind w:left="2160" w:hanging="180"/>
      </w:pPr>
    </w:lvl>
    <w:lvl w:ilvl="3" w:tplc="02CA65A8" w:tentative="1">
      <w:start w:val="1"/>
      <w:numFmt w:val="decimal"/>
      <w:lvlText w:val="%4."/>
      <w:lvlJc w:val="left"/>
      <w:pPr>
        <w:tabs>
          <w:tab w:val="num" w:pos="2880"/>
        </w:tabs>
        <w:ind w:left="2880" w:hanging="360"/>
      </w:pPr>
    </w:lvl>
    <w:lvl w:ilvl="4" w:tplc="53B478AE" w:tentative="1">
      <w:start w:val="1"/>
      <w:numFmt w:val="lowerLetter"/>
      <w:lvlText w:val="%5."/>
      <w:lvlJc w:val="left"/>
      <w:pPr>
        <w:tabs>
          <w:tab w:val="num" w:pos="3600"/>
        </w:tabs>
        <w:ind w:left="3600" w:hanging="360"/>
      </w:pPr>
    </w:lvl>
    <w:lvl w:ilvl="5" w:tplc="21BCADB0" w:tentative="1">
      <w:start w:val="1"/>
      <w:numFmt w:val="lowerRoman"/>
      <w:lvlText w:val="%6."/>
      <w:lvlJc w:val="right"/>
      <w:pPr>
        <w:tabs>
          <w:tab w:val="num" w:pos="4320"/>
        </w:tabs>
        <w:ind w:left="4320" w:hanging="180"/>
      </w:pPr>
    </w:lvl>
    <w:lvl w:ilvl="6" w:tplc="E0B89100" w:tentative="1">
      <w:start w:val="1"/>
      <w:numFmt w:val="decimal"/>
      <w:lvlText w:val="%7."/>
      <w:lvlJc w:val="left"/>
      <w:pPr>
        <w:tabs>
          <w:tab w:val="num" w:pos="5040"/>
        </w:tabs>
        <w:ind w:left="5040" w:hanging="360"/>
      </w:pPr>
    </w:lvl>
    <w:lvl w:ilvl="7" w:tplc="51825F5E" w:tentative="1">
      <w:start w:val="1"/>
      <w:numFmt w:val="lowerLetter"/>
      <w:lvlText w:val="%8."/>
      <w:lvlJc w:val="left"/>
      <w:pPr>
        <w:tabs>
          <w:tab w:val="num" w:pos="5760"/>
        </w:tabs>
        <w:ind w:left="5760" w:hanging="360"/>
      </w:pPr>
    </w:lvl>
    <w:lvl w:ilvl="8" w:tplc="263C57D2" w:tentative="1">
      <w:start w:val="1"/>
      <w:numFmt w:val="lowerRoman"/>
      <w:lvlText w:val="%9."/>
      <w:lvlJc w:val="right"/>
      <w:pPr>
        <w:tabs>
          <w:tab w:val="num" w:pos="6480"/>
        </w:tabs>
        <w:ind w:left="6480" w:hanging="180"/>
      </w:pPr>
    </w:lvl>
  </w:abstractNum>
  <w:abstractNum w:abstractNumId="17" w15:restartNumberingAfterBreak="0">
    <w:nsid w:val="52A66A9D"/>
    <w:multiLevelType w:val="multilevel"/>
    <w:tmpl w:val="F4ACF36E"/>
    <w:styleLink w:val="Normallist"/>
    <w:lvl w:ilvl="0">
      <w:start w:val="1"/>
      <w:numFmt w:val="decimal"/>
      <w:pStyle w:val="Normalnumber"/>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Roman"/>
      <w:lvlText w:val="%5."/>
      <w:lvlJc w:val="left"/>
      <w:pPr>
        <w:tabs>
          <w:tab w:val="num" w:pos="567"/>
        </w:tabs>
        <w:ind w:left="4082" w:hanging="567"/>
      </w:pPr>
      <w:rPr>
        <w:rFonts w:hint="default"/>
      </w:rPr>
    </w:lvl>
    <w:lvl w:ilvl="5">
      <w:start w:val="1"/>
      <w:numFmt w:val="lowerRoman"/>
      <w:lvlText w:val="%6."/>
      <w:lvlJc w:val="right"/>
      <w:pPr>
        <w:tabs>
          <w:tab w:val="num" w:pos="7835"/>
        </w:tabs>
        <w:ind w:left="7835" w:hanging="180"/>
      </w:pPr>
      <w:rPr>
        <w:rFonts w:hint="default"/>
      </w:rPr>
    </w:lvl>
    <w:lvl w:ilvl="6">
      <w:start w:val="1"/>
      <w:numFmt w:val="decimal"/>
      <w:lvlText w:val="%7."/>
      <w:lvlJc w:val="left"/>
      <w:pPr>
        <w:tabs>
          <w:tab w:val="num" w:pos="8555"/>
        </w:tabs>
        <w:ind w:left="8555" w:hanging="360"/>
      </w:pPr>
      <w:rPr>
        <w:rFonts w:hint="default"/>
      </w:rPr>
    </w:lvl>
    <w:lvl w:ilvl="7">
      <w:start w:val="1"/>
      <w:numFmt w:val="lowerLetter"/>
      <w:lvlText w:val="%8."/>
      <w:lvlJc w:val="left"/>
      <w:pPr>
        <w:tabs>
          <w:tab w:val="num" w:pos="9275"/>
        </w:tabs>
        <w:ind w:left="9275" w:hanging="360"/>
      </w:pPr>
      <w:rPr>
        <w:rFonts w:hint="default"/>
      </w:rPr>
    </w:lvl>
    <w:lvl w:ilvl="8">
      <w:start w:val="1"/>
      <w:numFmt w:val="lowerRoman"/>
      <w:lvlText w:val="%9."/>
      <w:lvlJc w:val="right"/>
      <w:pPr>
        <w:tabs>
          <w:tab w:val="num" w:pos="9995"/>
        </w:tabs>
        <w:ind w:left="9995" w:hanging="180"/>
      </w:pPr>
      <w:rPr>
        <w:rFonts w:hint="default"/>
      </w:rPr>
    </w:lvl>
  </w:abstractNum>
  <w:abstractNum w:abstractNumId="18" w15:restartNumberingAfterBreak="0">
    <w:nsid w:val="543A779A"/>
    <w:multiLevelType w:val="hybridMultilevel"/>
    <w:tmpl w:val="22BA8358"/>
    <w:lvl w:ilvl="0" w:tplc="04090005">
      <w:start w:val="1"/>
      <w:numFmt w:val="decimal"/>
      <w:pStyle w:val="Paralevel10"/>
      <w:lvlText w:val="%1."/>
      <w:lvlJc w:val="left"/>
      <w:pPr>
        <w:tabs>
          <w:tab w:val="num" w:pos="1800"/>
        </w:tabs>
        <w:ind w:left="1800" w:hanging="360"/>
      </w:pPr>
      <w:rPr>
        <w:rFonts w:hint="default"/>
        <w:b w:val="0"/>
        <w:i w:val="0"/>
        <w:color w:val="auto"/>
        <w:sz w:val="20"/>
      </w:rPr>
    </w:lvl>
    <w:lvl w:ilvl="1" w:tplc="04090003">
      <w:start w:val="1"/>
      <w:numFmt w:val="upperLetter"/>
      <w:lvlText w:val="%2."/>
      <w:lvlJc w:val="left"/>
      <w:pPr>
        <w:tabs>
          <w:tab w:val="num" w:pos="4128"/>
        </w:tabs>
        <w:ind w:left="4128" w:hanging="360"/>
      </w:pPr>
      <w:rPr>
        <w:rFonts w:hint="default"/>
        <w:b/>
        <w:i w:val="0"/>
        <w:color w:val="auto"/>
      </w:rPr>
    </w:lvl>
    <w:lvl w:ilvl="2" w:tplc="04090005">
      <w:start w:val="1"/>
      <w:numFmt w:val="decimal"/>
      <w:lvlText w:val="%3."/>
      <w:lvlJc w:val="left"/>
      <w:pPr>
        <w:tabs>
          <w:tab w:val="num" w:pos="5028"/>
        </w:tabs>
        <w:ind w:left="5028" w:hanging="360"/>
      </w:pPr>
      <w:rPr>
        <w:rFonts w:hint="default"/>
        <w:b w:val="0"/>
        <w:i w:val="0"/>
        <w:color w:val="auto"/>
      </w:rPr>
    </w:lvl>
    <w:lvl w:ilvl="3" w:tplc="04090001">
      <w:start w:val="1"/>
      <w:numFmt w:val="decimal"/>
      <w:lvlText w:val="%4."/>
      <w:lvlJc w:val="left"/>
      <w:pPr>
        <w:tabs>
          <w:tab w:val="num" w:pos="5568"/>
        </w:tabs>
        <w:ind w:left="5568" w:hanging="360"/>
      </w:pPr>
    </w:lvl>
    <w:lvl w:ilvl="4" w:tplc="04090003" w:tentative="1">
      <w:start w:val="1"/>
      <w:numFmt w:val="lowerLetter"/>
      <w:lvlText w:val="%5."/>
      <w:lvlJc w:val="left"/>
      <w:pPr>
        <w:tabs>
          <w:tab w:val="num" w:pos="6288"/>
        </w:tabs>
        <w:ind w:left="6288" w:hanging="360"/>
      </w:pPr>
    </w:lvl>
    <w:lvl w:ilvl="5" w:tplc="04090005" w:tentative="1">
      <w:start w:val="1"/>
      <w:numFmt w:val="lowerRoman"/>
      <w:lvlText w:val="%6."/>
      <w:lvlJc w:val="right"/>
      <w:pPr>
        <w:tabs>
          <w:tab w:val="num" w:pos="7008"/>
        </w:tabs>
        <w:ind w:left="7008" w:hanging="180"/>
      </w:pPr>
    </w:lvl>
    <w:lvl w:ilvl="6" w:tplc="04090001" w:tentative="1">
      <w:start w:val="1"/>
      <w:numFmt w:val="decimal"/>
      <w:lvlText w:val="%7."/>
      <w:lvlJc w:val="left"/>
      <w:pPr>
        <w:tabs>
          <w:tab w:val="num" w:pos="7728"/>
        </w:tabs>
        <w:ind w:left="7728" w:hanging="360"/>
      </w:pPr>
    </w:lvl>
    <w:lvl w:ilvl="7" w:tplc="04090003" w:tentative="1">
      <w:start w:val="1"/>
      <w:numFmt w:val="lowerLetter"/>
      <w:lvlText w:val="%8."/>
      <w:lvlJc w:val="left"/>
      <w:pPr>
        <w:tabs>
          <w:tab w:val="num" w:pos="8448"/>
        </w:tabs>
        <w:ind w:left="8448" w:hanging="360"/>
      </w:pPr>
    </w:lvl>
    <w:lvl w:ilvl="8" w:tplc="04090005" w:tentative="1">
      <w:start w:val="1"/>
      <w:numFmt w:val="lowerRoman"/>
      <w:lvlText w:val="%9."/>
      <w:lvlJc w:val="right"/>
      <w:pPr>
        <w:tabs>
          <w:tab w:val="num" w:pos="9168"/>
        </w:tabs>
        <w:ind w:left="9168" w:hanging="180"/>
      </w:pPr>
    </w:lvl>
  </w:abstractNum>
  <w:abstractNum w:abstractNumId="19" w15:restartNumberingAfterBreak="0">
    <w:nsid w:val="62291BF8"/>
    <w:multiLevelType w:val="multilevel"/>
    <w:tmpl w:val="F4ACF36E"/>
    <w:numStyleLink w:val="Normallist"/>
  </w:abstractNum>
  <w:abstractNum w:abstractNumId="20" w15:restartNumberingAfterBreak="0">
    <w:nsid w:val="689452AC"/>
    <w:multiLevelType w:val="hybridMultilevel"/>
    <w:tmpl w:val="BCA0FCFC"/>
    <w:styleLink w:val="Normallist3"/>
    <w:lvl w:ilvl="0" w:tplc="2BBC1C1A">
      <w:start w:val="1"/>
      <w:numFmt w:val="decimal"/>
      <w:lvlText w:val="%1."/>
      <w:lvlJc w:val="left"/>
      <w:pPr>
        <w:tabs>
          <w:tab w:val="num" w:pos="1875"/>
        </w:tabs>
        <w:ind w:left="1875" w:hanging="615"/>
      </w:pPr>
      <w:rPr>
        <w:rFonts w:hint="default"/>
        <w:lang w:val="en-GB"/>
      </w:rPr>
    </w:lvl>
    <w:lvl w:ilvl="1" w:tplc="7AB03F24" w:tentative="1">
      <w:start w:val="1"/>
      <w:numFmt w:val="lowerLetter"/>
      <w:lvlText w:val="%2."/>
      <w:lvlJc w:val="left"/>
      <w:pPr>
        <w:tabs>
          <w:tab w:val="num" w:pos="2340"/>
        </w:tabs>
        <w:ind w:left="2340" w:hanging="360"/>
      </w:pPr>
    </w:lvl>
    <w:lvl w:ilvl="2" w:tplc="A774B186" w:tentative="1">
      <w:start w:val="1"/>
      <w:numFmt w:val="lowerRoman"/>
      <w:lvlText w:val="%3."/>
      <w:lvlJc w:val="right"/>
      <w:pPr>
        <w:tabs>
          <w:tab w:val="num" w:pos="3060"/>
        </w:tabs>
        <w:ind w:left="3060" w:hanging="180"/>
      </w:pPr>
    </w:lvl>
    <w:lvl w:ilvl="3" w:tplc="CD62A260" w:tentative="1">
      <w:start w:val="1"/>
      <w:numFmt w:val="decimal"/>
      <w:lvlText w:val="%4."/>
      <w:lvlJc w:val="left"/>
      <w:pPr>
        <w:tabs>
          <w:tab w:val="num" w:pos="3780"/>
        </w:tabs>
        <w:ind w:left="3780" w:hanging="360"/>
      </w:pPr>
    </w:lvl>
    <w:lvl w:ilvl="4" w:tplc="AF526420" w:tentative="1">
      <w:start w:val="1"/>
      <w:numFmt w:val="lowerLetter"/>
      <w:lvlText w:val="%5."/>
      <w:lvlJc w:val="left"/>
      <w:pPr>
        <w:tabs>
          <w:tab w:val="num" w:pos="4500"/>
        </w:tabs>
        <w:ind w:left="4500" w:hanging="360"/>
      </w:pPr>
    </w:lvl>
    <w:lvl w:ilvl="5" w:tplc="8B3E3050" w:tentative="1">
      <w:start w:val="1"/>
      <w:numFmt w:val="lowerRoman"/>
      <w:lvlText w:val="%6."/>
      <w:lvlJc w:val="right"/>
      <w:pPr>
        <w:tabs>
          <w:tab w:val="num" w:pos="5220"/>
        </w:tabs>
        <w:ind w:left="5220" w:hanging="180"/>
      </w:pPr>
    </w:lvl>
    <w:lvl w:ilvl="6" w:tplc="D8D6032C" w:tentative="1">
      <w:start w:val="1"/>
      <w:numFmt w:val="decimal"/>
      <w:lvlText w:val="%7."/>
      <w:lvlJc w:val="left"/>
      <w:pPr>
        <w:tabs>
          <w:tab w:val="num" w:pos="5940"/>
        </w:tabs>
        <w:ind w:left="5940" w:hanging="360"/>
      </w:pPr>
    </w:lvl>
    <w:lvl w:ilvl="7" w:tplc="0C3E1494" w:tentative="1">
      <w:start w:val="1"/>
      <w:numFmt w:val="lowerLetter"/>
      <w:lvlText w:val="%8."/>
      <w:lvlJc w:val="left"/>
      <w:pPr>
        <w:tabs>
          <w:tab w:val="num" w:pos="6660"/>
        </w:tabs>
        <w:ind w:left="6660" w:hanging="360"/>
      </w:pPr>
    </w:lvl>
    <w:lvl w:ilvl="8" w:tplc="C7BE7F64" w:tentative="1">
      <w:start w:val="1"/>
      <w:numFmt w:val="lowerRoman"/>
      <w:lvlText w:val="%9."/>
      <w:lvlJc w:val="right"/>
      <w:pPr>
        <w:tabs>
          <w:tab w:val="num" w:pos="7380"/>
        </w:tabs>
        <w:ind w:left="7380" w:hanging="180"/>
      </w:pPr>
    </w:lvl>
  </w:abstractNum>
  <w:abstractNum w:abstractNumId="21"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22" w15:restartNumberingAfterBreak="0">
    <w:nsid w:val="77E60C11"/>
    <w:multiLevelType w:val="hybridMultilevel"/>
    <w:tmpl w:val="6AA24E2C"/>
    <w:lvl w:ilvl="0" w:tplc="BC5CB976">
      <w:start w:val="1"/>
      <w:numFmt w:val="lowerLetter"/>
      <w:pStyle w:val="Heading4"/>
      <w:lvlText w:val="%1)"/>
      <w:lvlJc w:val="right"/>
      <w:pPr>
        <w:ind w:left="1607" w:hanging="360"/>
      </w:pPr>
      <w:rPr>
        <w:rFonts w:hint="default"/>
      </w:rPr>
    </w:lvl>
    <w:lvl w:ilvl="1" w:tplc="040C0019" w:tentative="1">
      <w:start w:val="1"/>
      <w:numFmt w:val="lowerLetter"/>
      <w:lvlText w:val="%2."/>
      <w:lvlJc w:val="left"/>
      <w:pPr>
        <w:ind w:left="2291" w:hanging="360"/>
      </w:pPr>
    </w:lvl>
    <w:lvl w:ilvl="2" w:tplc="040C001B" w:tentative="1">
      <w:start w:val="1"/>
      <w:numFmt w:val="lowerRoman"/>
      <w:lvlText w:val="%3."/>
      <w:lvlJc w:val="right"/>
      <w:pPr>
        <w:ind w:left="3011" w:hanging="180"/>
      </w:pPr>
    </w:lvl>
    <w:lvl w:ilvl="3" w:tplc="040C000F" w:tentative="1">
      <w:start w:val="1"/>
      <w:numFmt w:val="decimal"/>
      <w:lvlText w:val="%4."/>
      <w:lvlJc w:val="left"/>
      <w:pPr>
        <w:ind w:left="3731" w:hanging="360"/>
      </w:pPr>
    </w:lvl>
    <w:lvl w:ilvl="4" w:tplc="040C0019" w:tentative="1">
      <w:start w:val="1"/>
      <w:numFmt w:val="lowerLetter"/>
      <w:lvlText w:val="%5."/>
      <w:lvlJc w:val="left"/>
      <w:pPr>
        <w:ind w:left="4451" w:hanging="360"/>
      </w:pPr>
    </w:lvl>
    <w:lvl w:ilvl="5" w:tplc="040C001B" w:tentative="1">
      <w:start w:val="1"/>
      <w:numFmt w:val="lowerRoman"/>
      <w:lvlText w:val="%6."/>
      <w:lvlJc w:val="right"/>
      <w:pPr>
        <w:ind w:left="5171" w:hanging="180"/>
      </w:pPr>
    </w:lvl>
    <w:lvl w:ilvl="6" w:tplc="040C000F" w:tentative="1">
      <w:start w:val="1"/>
      <w:numFmt w:val="decimal"/>
      <w:lvlText w:val="%7."/>
      <w:lvlJc w:val="left"/>
      <w:pPr>
        <w:ind w:left="5891" w:hanging="360"/>
      </w:pPr>
    </w:lvl>
    <w:lvl w:ilvl="7" w:tplc="040C0019" w:tentative="1">
      <w:start w:val="1"/>
      <w:numFmt w:val="lowerLetter"/>
      <w:lvlText w:val="%8."/>
      <w:lvlJc w:val="left"/>
      <w:pPr>
        <w:ind w:left="6611" w:hanging="360"/>
      </w:pPr>
    </w:lvl>
    <w:lvl w:ilvl="8" w:tplc="040C001B" w:tentative="1">
      <w:start w:val="1"/>
      <w:numFmt w:val="lowerRoman"/>
      <w:lvlText w:val="%9."/>
      <w:lvlJc w:val="right"/>
      <w:pPr>
        <w:ind w:left="7331" w:hanging="180"/>
      </w:pPr>
    </w:lvl>
  </w:abstractNum>
  <w:num w:numId="1" w16cid:durableId="601307553">
    <w:abstractNumId w:val="17"/>
  </w:num>
  <w:num w:numId="2" w16cid:durableId="594482958">
    <w:abstractNumId w:val="13"/>
  </w:num>
  <w:num w:numId="3" w16cid:durableId="1536195139">
    <w:abstractNumId w:val="18"/>
  </w:num>
  <w:num w:numId="4" w16cid:durableId="1879465154">
    <w:abstractNumId w:val="15"/>
  </w:num>
  <w:num w:numId="5" w16cid:durableId="1006398869">
    <w:abstractNumId w:val="20"/>
  </w:num>
  <w:num w:numId="6" w16cid:durableId="1771660352">
    <w:abstractNumId w:val="16"/>
  </w:num>
  <w:num w:numId="7" w16cid:durableId="1646465555">
    <w:abstractNumId w:val="11"/>
    <w:lvlOverride w:ilvl="0">
      <w:startOverride w:val="1"/>
    </w:lvlOverride>
  </w:num>
  <w:num w:numId="8" w16cid:durableId="1673753001">
    <w:abstractNumId w:val="5"/>
  </w:num>
  <w:num w:numId="9" w16cid:durableId="1082022052">
    <w:abstractNumId w:val="19"/>
  </w:num>
  <w:num w:numId="10" w16cid:durableId="110633600">
    <w:abstractNumId w:val="21"/>
  </w:num>
  <w:num w:numId="11" w16cid:durableId="861210496">
    <w:abstractNumId w:val="14"/>
  </w:num>
  <w:num w:numId="12" w16cid:durableId="1589997683">
    <w:abstractNumId w:val="10"/>
  </w:num>
  <w:num w:numId="13" w16cid:durableId="874587908">
    <w:abstractNumId w:val="22"/>
  </w:num>
  <w:num w:numId="14" w16cid:durableId="229586620">
    <w:abstractNumId w:val="12"/>
  </w:num>
  <w:num w:numId="15" w16cid:durableId="1692027174">
    <w:abstractNumId w:val="9"/>
  </w:num>
  <w:num w:numId="16" w16cid:durableId="327827607">
    <w:abstractNumId w:val="7"/>
  </w:num>
  <w:num w:numId="17" w16cid:durableId="716702597">
    <w:abstractNumId w:val="6"/>
  </w:num>
  <w:num w:numId="18" w16cid:durableId="498543216">
    <w:abstractNumId w:val="4"/>
  </w:num>
  <w:num w:numId="19" w16cid:durableId="1338918718">
    <w:abstractNumId w:val="8"/>
  </w:num>
  <w:num w:numId="20" w16cid:durableId="2109495781">
    <w:abstractNumId w:val="3"/>
  </w:num>
  <w:num w:numId="21" w16cid:durableId="797263349">
    <w:abstractNumId w:val="2"/>
  </w:num>
  <w:num w:numId="22" w16cid:durableId="2071034880">
    <w:abstractNumId w:val="1"/>
  </w:num>
  <w:num w:numId="23" w16cid:durableId="688458664">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fr-CA" w:vendorID="64" w:dllVersion="0" w:nlCheck="1" w:checkStyle="0"/>
  <w:proofState w:spelling="clean" w:grammar="clean"/>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2050"/>
  </w:hdrShapeDefaults>
  <w:footnotePr>
    <w:numFmt w:val="chicago"/>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E66"/>
    <w:rsid w:val="00002346"/>
    <w:rsid w:val="00006752"/>
    <w:rsid w:val="00011376"/>
    <w:rsid w:val="00012608"/>
    <w:rsid w:val="0001286C"/>
    <w:rsid w:val="00012F30"/>
    <w:rsid w:val="000149E6"/>
    <w:rsid w:val="0002208F"/>
    <w:rsid w:val="000247B0"/>
    <w:rsid w:val="00026997"/>
    <w:rsid w:val="00033E0B"/>
    <w:rsid w:val="00035EDE"/>
    <w:rsid w:val="00037560"/>
    <w:rsid w:val="0004459A"/>
    <w:rsid w:val="000509B4"/>
    <w:rsid w:val="0005639D"/>
    <w:rsid w:val="0006035B"/>
    <w:rsid w:val="000622E7"/>
    <w:rsid w:val="00065E2D"/>
    <w:rsid w:val="000710BB"/>
    <w:rsid w:val="00071886"/>
    <w:rsid w:val="000742BC"/>
    <w:rsid w:val="00082A0C"/>
    <w:rsid w:val="00083016"/>
    <w:rsid w:val="00083504"/>
    <w:rsid w:val="0009330A"/>
    <w:rsid w:val="0009640C"/>
    <w:rsid w:val="000A48E5"/>
    <w:rsid w:val="000B22A2"/>
    <w:rsid w:val="000B5350"/>
    <w:rsid w:val="000B670E"/>
    <w:rsid w:val="000C2A52"/>
    <w:rsid w:val="000C34C0"/>
    <w:rsid w:val="000D33C0"/>
    <w:rsid w:val="000D6941"/>
    <w:rsid w:val="000E0896"/>
    <w:rsid w:val="000F0FD3"/>
    <w:rsid w:val="000F78DC"/>
    <w:rsid w:val="00101B1B"/>
    <w:rsid w:val="00103E61"/>
    <w:rsid w:val="00106021"/>
    <w:rsid w:val="00113ABA"/>
    <w:rsid w:val="00114AC3"/>
    <w:rsid w:val="001202E3"/>
    <w:rsid w:val="001225A4"/>
    <w:rsid w:val="00123699"/>
    <w:rsid w:val="00125721"/>
    <w:rsid w:val="0012634D"/>
    <w:rsid w:val="00126DD7"/>
    <w:rsid w:val="00127560"/>
    <w:rsid w:val="0013059D"/>
    <w:rsid w:val="001328DA"/>
    <w:rsid w:val="001350DD"/>
    <w:rsid w:val="00135FBA"/>
    <w:rsid w:val="00141A55"/>
    <w:rsid w:val="001446A3"/>
    <w:rsid w:val="00144762"/>
    <w:rsid w:val="001503DA"/>
    <w:rsid w:val="00155395"/>
    <w:rsid w:val="00160D74"/>
    <w:rsid w:val="00165D27"/>
    <w:rsid w:val="00167754"/>
    <w:rsid w:val="00167D02"/>
    <w:rsid w:val="001779C1"/>
    <w:rsid w:val="00181EC8"/>
    <w:rsid w:val="00184349"/>
    <w:rsid w:val="00195F33"/>
    <w:rsid w:val="001964BB"/>
    <w:rsid w:val="001A0C85"/>
    <w:rsid w:val="001A6941"/>
    <w:rsid w:val="001B1617"/>
    <w:rsid w:val="001B4416"/>
    <w:rsid w:val="001B49B9"/>
    <w:rsid w:val="001B504B"/>
    <w:rsid w:val="001C7324"/>
    <w:rsid w:val="001C7FEF"/>
    <w:rsid w:val="001D3874"/>
    <w:rsid w:val="001D7E75"/>
    <w:rsid w:val="001E0D83"/>
    <w:rsid w:val="001E1A27"/>
    <w:rsid w:val="001E56D2"/>
    <w:rsid w:val="001E7D56"/>
    <w:rsid w:val="001F427C"/>
    <w:rsid w:val="001F75DE"/>
    <w:rsid w:val="00200D58"/>
    <w:rsid w:val="002013BE"/>
    <w:rsid w:val="002063A4"/>
    <w:rsid w:val="0021145B"/>
    <w:rsid w:val="002266D2"/>
    <w:rsid w:val="002402F4"/>
    <w:rsid w:val="0024204A"/>
    <w:rsid w:val="00243D36"/>
    <w:rsid w:val="00246EF5"/>
    <w:rsid w:val="00247707"/>
    <w:rsid w:val="0026018E"/>
    <w:rsid w:val="002609BD"/>
    <w:rsid w:val="00260D0C"/>
    <w:rsid w:val="00263F70"/>
    <w:rsid w:val="002644B3"/>
    <w:rsid w:val="00275F3C"/>
    <w:rsid w:val="00285C19"/>
    <w:rsid w:val="00286740"/>
    <w:rsid w:val="002929D8"/>
    <w:rsid w:val="00293C4B"/>
    <w:rsid w:val="0029414E"/>
    <w:rsid w:val="002A237D"/>
    <w:rsid w:val="002A4C53"/>
    <w:rsid w:val="002B0672"/>
    <w:rsid w:val="002B247F"/>
    <w:rsid w:val="002B2E56"/>
    <w:rsid w:val="002B75AB"/>
    <w:rsid w:val="002B7624"/>
    <w:rsid w:val="002C145D"/>
    <w:rsid w:val="002C2C3E"/>
    <w:rsid w:val="002C3B0E"/>
    <w:rsid w:val="002C4DD3"/>
    <w:rsid w:val="002C533E"/>
    <w:rsid w:val="002C63FF"/>
    <w:rsid w:val="002D027F"/>
    <w:rsid w:val="002D7A85"/>
    <w:rsid w:val="002D7B60"/>
    <w:rsid w:val="002E7AA8"/>
    <w:rsid w:val="002F17D5"/>
    <w:rsid w:val="002F4761"/>
    <w:rsid w:val="002F5C79"/>
    <w:rsid w:val="00301739"/>
    <w:rsid w:val="003019E2"/>
    <w:rsid w:val="00301B16"/>
    <w:rsid w:val="00306607"/>
    <w:rsid w:val="0031413F"/>
    <w:rsid w:val="003148BB"/>
    <w:rsid w:val="00317976"/>
    <w:rsid w:val="00327D8A"/>
    <w:rsid w:val="00337A37"/>
    <w:rsid w:val="00341B76"/>
    <w:rsid w:val="003422E8"/>
    <w:rsid w:val="00344798"/>
    <w:rsid w:val="003458A0"/>
    <w:rsid w:val="003515D9"/>
    <w:rsid w:val="00355EA9"/>
    <w:rsid w:val="003578DE"/>
    <w:rsid w:val="00363C8F"/>
    <w:rsid w:val="00363D96"/>
    <w:rsid w:val="00366603"/>
    <w:rsid w:val="00366684"/>
    <w:rsid w:val="00370C1D"/>
    <w:rsid w:val="00371363"/>
    <w:rsid w:val="0037410E"/>
    <w:rsid w:val="003811CB"/>
    <w:rsid w:val="00382CC6"/>
    <w:rsid w:val="00392C55"/>
    <w:rsid w:val="00396257"/>
    <w:rsid w:val="00397EB8"/>
    <w:rsid w:val="003A0366"/>
    <w:rsid w:val="003A4FD0"/>
    <w:rsid w:val="003A69D1"/>
    <w:rsid w:val="003A70FF"/>
    <w:rsid w:val="003A7705"/>
    <w:rsid w:val="003A77F1"/>
    <w:rsid w:val="003A7ED2"/>
    <w:rsid w:val="003B01E4"/>
    <w:rsid w:val="003B1545"/>
    <w:rsid w:val="003B353B"/>
    <w:rsid w:val="003B6F35"/>
    <w:rsid w:val="003C05F1"/>
    <w:rsid w:val="003C35E3"/>
    <w:rsid w:val="003C409D"/>
    <w:rsid w:val="003C5133"/>
    <w:rsid w:val="003C5BA6"/>
    <w:rsid w:val="003C6C85"/>
    <w:rsid w:val="003E094C"/>
    <w:rsid w:val="003E6DD5"/>
    <w:rsid w:val="003F0E85"/>
    <w:rsid w:val="003F75EB"/>
    <w:rsid w:val="003F7745"/>
    <w:rsid w:val="004035A5"/>
    <w:rsid w:val="00407AB0"/>
    <w:rsid w:val="00410C55"/>
    <w:rsid w:val="00413232"/>
    <w:rsid w:val="00416854"/>
    <w:rsid w:val="00417725"/>
    <w:rsid w:val="00422E25"/>
    <w:rsid w:val="00427277"/>
    <w:rsid w:val="004348A6"/>
    <w:rsid w:val="00435002"/>
    <w:rsid w:val="00435857"/>
    <w:rsid w:val="00437F26"/>
    <w:rsid w:val="00441EBD"/>
    <w:rsid w:val="00444097"/>
    <w:rsid w:val="00445487"/>
    <w:rsid w:val="00445A0D"/>
    <w:rsid w:val="004511A5"/>
    <w:rsid w:val="004533D0"/>
    <w:rsid w:val="00454769"/>
    <w:rsid w:val="00464FBC"/>
    <w:rsid w:val="00466991"/>
    <w:rsid w:val="004701BF"/>
    <w:rsid w:val="0047064C"/>
    <w:rsid w:val="004759DA"/>
    <w:rsid w:val="004935D4"/>
    <w:rsid w:val="004936B4"/>
    <w:rsid w:val="004A0C2F"/>
    <w:rsid w:val="004A160E"/>
    <w:rsid w:val="004A42E1"/>
    <w:rsid w:val="004B0B57"/>
    <w:rsid w:val="004B0CF9"/>
    <w:rsid w:val="004B162C"/>
    <w:rsid w:val="004B1E9F"/>
    <w:rsid w:val="004B4CEF"/>
    <w:rsid w:val="004C0E49"/>
    <w:rsid w:val="004C2628"/>
    <w:rsid w:val="004C3DBE"/>
    <w:rsid w:val="004C5C96"/>
    <w:rsid w:val="004C5F8B"/>
    <w:rsid w:val="004D0236"/>
    <w:rsid w:val="004D06A4"/>
    <w:rsid w:val="004D260F"/>
    <w:rsid w:val="004D5187"/>
    <w:rsid w:val="004D53B7"/>
    <w:rsid w:val="004D7DC3"/>
    <w:rsid w:val="004F1A81"/>
    <w:rsid w:val="004F4F09"/>
    <w:rsid w:val="00501320"/>
    <w:rsid w:val="00513F56"/>
    <w:rsid w:val="005218D9"/>
    <w:rsid w:val="00526976"/>
    <w:rsid w:val="0053344E"/>
    <w:rsid w:val="00533ABF"/>
    <w:rsid w:val="00536186"/>
    <w:rsid w:val="00543C0B"/>
    <w:rsid w:val="00544CBB"/>
    <w:rsid w:val="00546DD6"/>
    <w:rsid w:val="00560284"/>
    <w:rsid w:val="0057315F"/>
    <w:rsid w:val="00573457"/>
    <w:rsid w:val="00576104"/>
    <w:rsid w:val="005840C7"/>
    <w:rsid w:val="00584D51"/>
    <w:rsid w:val="00585B89"/>
    <w:rsid w:val="0059601B"/>
    <w:rsid w:val="005A1232"/>
    <w:rsid w:val="005A38E0"/>
    <w:rsid w:val="005B3134"/>
    <w:rsid w:val="005B5BF6"/>
    <w:rsid w:val="005B7AE2"/>
    <w:rsid w:val="005C67C8"/>
    <w:rsid w:val="005D0249"/>
    <w:rsid w:val="005D6E8C"/>
    <w:rsid w:val="005E2E75"/>
    <w:rsid w:val="005E3FFE"/>
    <w:rsid w:val="005E6DAC"/>
    <w:rsid w:val="005F100C"/>
    <w:rsid w:val="005F136C"/>
    <w:rsid w:val="005F15E0"/>
    <w:rsid w:val="005F1837"/>
    <w:rsid w:val="005F197C"/>
    <w:rsid w:val="005F68DA"/>
    <w:rsid w:val="0060773B"/>
    <w:rsid w:val="006157B5"/>
    <w:rsid w:val="00626FC6"/>
    <w:rsid w:val="006303B4"/>
    <w:rsid w:val="006323F9"/>
    <w:rsid w:val="00633D3D"/>
    <w:rsid w:val="006371A6"/>
    <w:rsid w:val="00641703"/>
    <w:rsid w:val="006431A6"/>
    <w:rsid w:val="006459F6"/>
    <w:rsid w:val="006501AD"/>
    <w:rsid w:val="00651BFA"/>
    <w:rsid w:val="00654475"/>
    <w:rsid w:val="00663EF5"/>
    <w:rsid w:val="00664495"/>
    <w:rsid w:val="00665A4B"/>
    <w:rsid w:val="00672035"/>
    <w:rsid w:val="00692E2A"/>
    <w:rsid w:val="00695817"/>
    <w:rsid w:val="006A00A4"/>
    <w:rsid w:val="006A64BF"/>
    <w:rsid w:val="006A76F2"/>
    <w:rsid w:val="006D0DDD"/>
    <w:rsid w:val="006D7EFB"/>
    <w:rsid w:val="006E63AE"/>
    <w:rsid w:val="006E6672"/>
    <w:rsid w:val="006E6722"/>
    <w:rsid w:val="006F0308"/>
    <w:rsid w:val="006F3729"/>
    <w:rsid w:val="006F5260"/>
    <w:rsid w:val="007027B9"/>
    <w:rsid w:val="00715E88"/>
    <w:rsid w:val="007164F6"/>
    <w:rsid w:val="007213CD"/>
    <w:rsid w:val="00734CAA"/>
    <w:rsid w:val="0075533C"/>
    <w:rsid w:val="0075549E"/>
    <w:rsid w:val="007563B6"/>
    <w:rsid w:val="00757581"/>
    <w:rsid w:val="007611A0"/>
    <w:rsid w:val="00765509"/>
    <w:rsid w:val="00772E66"/>
    <w:rsid w:val="007754B1"/>
    <w:rsid w:val="007800EB"/>
    <w:rsid w:val="0078097E"/>
    <w:rsid w:val="00781D2C"/>
    <w:rsid w:val="007866D6"/>
    <w:rsid w:val="00796D3F"/>
    <w:rsid w:val="007A1683"/>
    <w:rsid w:val="007A3E34"/>
    <w:rsid w:val="007A5403"/>
    <w:rsid w:val="007A5C12"/>
    <w:rsid w:val="007A7CB0"/>
    <w:rsid w:val="007B2C69"/>
    <w:rsid w:val="007B50CD"/>
    <w:rsid w:val="007B68A3"/>
    <w:rsid w:val="007C162A"/>
    <w:rsid w:val="007C2541"/>
    <w:rsid w:val="007C769A"/>
    <w:rsid w:val="007D0D25"/>
    <w:rsid w:val="007D66A8"/>
    <w:rsid w:val="007D7722"/>
    <w:rsid w:val="007E003F"/>
    <w:rsid w:val="007E27A1"/>
    <w:rsid w:val="007E391F"/>
    <w:rsid w:val="007E6681"/>
    <w:rsid w:val="007F13F4"/>
    <w:rsid w:val="0080366F"/>
    <w:rsid w:val="008040F6"/>
    <w:rsid w:val="0080434F"/>
    <w:rsid w:val="008047DF"/>
    <w:rsid w:val="0081484F"/>
    <w:rsid w:val="00815DF8"/>
    <w:rsid w:val="008164F2"/>
    <w:rsid w:val="00821395"/>
    <w:rsid w:val="00830E26"/>
    <w:rsid w:val="00837C7D"/>
    <w:rsid w:val="00843074"/>
    <w:rsid w:val="00843576"/>
    <w:rsid w:val="00843B64"/>
    <w:rsid w:val="00846B2E"/>
    <w:rsid w:val="008478FC"/>
    <w:rsid w:val="00851188"/>
    <w:rsid w:val="0085438C"/>
    <w:rsid w:val="008546D1"/>
    <w:rsid w:val="00855A6B"/>
    <w:rsid w:val="00863FA4"/>
    <w:rsid w:val="00865AB7"/>
    <w:rsid w:val="00867BFF"/>
    <w:rsid w:val="008845FB"/>
    <w:rsid w:val="0088480A"/>
    <w:rsid w:val="0088757A"/>
    <w:rsid w:val="00891187"/>
    <w:rsid w:val="008957DD"/>
    <w:rsid w:val="00897D98"/>
    <w:rsid w:val="008A5EED"/>
    <w:rsid w:val="008A6DF2"/>
    <w:rsid w:val="008A7807"/>
    <w:rsid w:val="008B05C7"/>
    <w:rsid w:val="008B07DF"/>
    <w:rsid w:val="008B4CC9"/>
    <w:rsid w:val="008C1A96"/>
    <w:rsid w:val="008C5637"/>
    <w:rsid w:val="008D7166"/>
    <w:rsid w:val="008D7C99"/>
    <w:rsid w:val="008E0181"/>
    <w:rsid w:val="008E0FCB"/>
    <w:rsid w:val="008E1FA7"/>
    <w:rsid w:val="008E7BEF"/>
    <w:rsid w:val="00901C24"/>
    <w:rsid w:val="009176F6"/>
    <w:rsid w:val="00920705"/>
    <w:rsid w:val="0092178C"/>
    <w:rsid w:val="00930B88"/>
    <w:rsid w:val="00940DCC"/>
    <w:rsid w:val="0094179A"/>
    <w:rsid w:val="0094459E"/>
    <w:rsid w:val="00944DBC"/>
    <w:rsid w:val="00950977"/>
    <w:rsid w:val="00951A7B"/>
    <w:rsid w:val="00953676"/>
    <w:rsid w:val="009564A6"/>
    <w:rsid w:val="0096218F"/>
    <w:rsid w:val="009621FC"/>
    <w:rsid w:val="00966A1E"/>
    <w:rsid w:val="00967621"/>
    <w:rsid w:val="00967E6A"/>
    <w:rsid w:val="0097465B"/>
    <w:rsid w:val="0098590B"/>
    <w:rsid w:val="00990300"/>
    <w:rsid w:val="0099769F"/>
    <w:rsid w:val="009A5D91"/>
    <w:rsid w:val="009A6991"/>
    <w:rsid w:val="009B3E5C"/>
    <w:rsid w:val="009B4A0F"/>
    <w:rsid w:val="009C005E"/>
    <w:rsid w:val="009C11D2"/>
    <w:rsid w:val="009C2AEA"/>
    <w:rsid w:val="009C493C"/>
    <w:rsid w:val="009C557F"/>
    <w:rsid w:val="009C6C70"/>
    <w:rsid w:val="009C7457"/>
    <w:rsid w:val="009D03B5"/>
    <w:rsid w:val="009D0B63"/>
    <w:rsid w:val="009E307E"/>
    <w:rsid w:val="009F419A"/>
    <w:rsid w:val="009F773B"/>
    <w:rsid w:val="00A005AE"/>
    <w:rsid w:val="00A006A8"/>
    <w:rsid w:val="00A07870"/>
    <w:rsid w:val="00A07F19"/>
    <w:rsid w:val="00A1348D"/>
    <w:rsid w:val="00A22533"/>
    <w:rsid w:val="00A232EE"/>
    <w:rsid w:val="00A238A2"/>
    <w:rsid w:val="00A30A8D"/>
    <w:rsid w:val="00A3294F"/>
    <w:rsid w:val="00A4175F"/>
    <w:rsid w:val="00A44411"/>
    <w:rsid w:val="00A469FA"/>
    <w:rsid w:val="00A529A2"/>
    <w:rsid w:val="00A540DD"/>
    <w:rsid w:val="00A55B01"/>
    <w:rsid w:val="00A56B5B"/>
    <w:rsid w:val="00A603FF"/>
    <w:rsid w:val="00A63897"/>
    <w:rsid w:val="00A6486C"/>
    <w:rsid w:val="00A657DD"/>
    <w:rsid w:val="00A66189"/>
    <w:rsid w:val="00A666A6"/>
    <w:rsid w:val="00A675FD"/>
    <w:rsid w:val="00A67735"/>
    <w:rsid w:val="00A70A66"/>
    <w:rsid w:val="00A72437"/>
    <w:rsid w:val="00A80611"/>
    <w:rsid w:val="00A80D7A"/>
    <w:rsid w:val="00A85B2D"/>
    <w:rsid w:val="00A87ADC"/>
    <w:rsid w:val="00A93460"/>
    <w:rsid w:val="00AA2775"/>
    <w:rsid w:val="00AB01D3"/>
    <w:rsid w:val="00AB0488"/>
    <w:rsid w:val="00AB445B"/>
    <w:rsid w:val="00AB5340"/>
    <w:rsid w:val="00AB698A"/>
    <w:rsid w:val="00AC0A89"/>
    <w:rsid w:val="00AC7C96"/>
    <w:rsid w:val="00AD523A"/>
    <w:rsid w:val="00AD5445"/>
    <w:rsid w:val="00AE237D"/>
    <w:rsid w:val="00AE502A"/>
    <w:rsid w:val="00AF104B"/>
    <w:rsid w:val="00AF7C07"/>
    <w:rsid w:val="00B22C93"/>
    <w:rsid w:val="00B27589"/>
    <w:rsid w:val="00B324BC"/>
    <w:rsid w:val="00B405B7"/>
    <w:rsid w:val="00B476AA"/>
    <w:rsid w:val="00B50090"/>
    <w:rsid w:val="00B50CEA"/>
    <w:rsid w:val="00B52222"/>
    <w:rsid w:val="00B53990"/>
    <w:rsid w:val="00B54FE7"/>
    <w:rsid w:val="00B567EE"/>
    <w:rsid w:val="00B65043"/>
    <w:rsid w:val="00B66901"/>
    <w:rsid w:val="00B70243"/>
    <w:rsid w:val="00B71E6D"/>
    <w:rsid w:val="00B72070"/>
    <w:rsid w:val="00B774BD"/>
    <w:rsid w:val="00B779E1"/>
    <w:rsid w:val="00B84A5A"/>
    <w:rsid w:val="00B85B5A"/>
    <w:rsid w:val="00B91EE1"/>
    <w:rsid w:val="00B92035"/>
    <w:rsid w:val="00BA0090"/>
    <w:rsid w:val="00BA1A67"/>
    <w:rsid w:val="00BA1E5E"/>
    <w:rsid w:val="00BA7C6D"/>
    <w:rsid w:val="00BB69FF"/>
    <w:rsid w:val="00BB6E5A"/>
    <w:rsid w:val="00BC444D"/>
    <w:rsid w:val="00BD0ACA"/>
    <w:rsid w:val="00BD1835"/>
    <w:rsid w:val="00BD3F87"/>
    <w:rsid w:val="00BE3A2D"/>
    <w:rsid w:val="00BE518F"/>
    <w:rsid w:val="00BE5B5F"/>
    <w:rsid w:val="00BE691B"/>
    <w:rsid w:val="00BF2F60"/>
    <w:rsid w:val="00BF4176"/>
    <w:rsid w:val="00C03FDA"/>
    <w:rsid w:val="00C10E36"/>
    <w:rsid w:val="00C1339B"/>
    <w:rsid w:val="00C1385A"/>
    <w:rsid w:val="00C26F55"/>
    <w:rsid w:val="00C30C63"/>
    <w:rsid w:val="00C31740"/>
    <w:rsid w:val="00C3207A"/>
    <w:rsid w:val="00C33897"/>
    <w:rsid w:val="00C36B8B"/>
    <w:rsid w:val="00C415C1"/>
    <w:rsid w:val="00C47DBF"/>
    <w:rsid w:val="00C47EC8"/>
    <w:rsid w:val="00C552FF"/>
    <w:rsid w:val="00C558DA"/>
    <w:rsid w:val="00C55AF3"/>
    <w:rsid w:val="00C61CF3"/>
    <w:rsid w:val="00C70B20"/>
    <w:rsid w:val="00C84759"/>
    <w:rsid w:val="00C85298"/>
    <w:rsid w:val="00CA2A13"/>
    <w:rsid w:val="00CA6BB7"/>
    <w:rsid w:val="00CA6C7F"/>
    <w:rsid w:val="00CB41A9"/>
    <w:rsid w:val="00CC06D1"/>
    <w:rsid w:val="00CC10A6"/>
    <w:rsid w:val="00CC1D44"/>
    <w:rsid w:val="00CD0325"/>
    <w:rsid w:val="00CD5EB8"/>
    <w:rsid w:val="00CD7044"/>
    <w:rsid w:val="00CE08B9"/>
    <w:rsid w:val="00CE524C"/>
    <w:rsid w:val="00CF141F"/>
    <w:rsid w:val="00CF1625"/>
    <w:rsid w:val="00CF4777"/>
    <w:rsid w:val="00D05A8B"/>
    <w:rsid w:val="00D067BB"/>
    <w:rsid w:val="00D10D64"/>
    <w:rsid w:val="00D1352A"/>
    <w:rsid w:val="00D169AF"/>
    <w:rsid w:val="00D17417"/>
    <w:rsid w:val="00D2110C"/>
    <w:rsid w:val="00D25249"/>
    <w:rsid w:val="00D26CF6"/>
    <w:rsid w:val="00D26F64"/>
    <w:rsid w:val="00D304AE"/>
    <w:rsid w:val="00D3131F"/>
    <w:rsid w:val="00D41783"/>
    <w:rsid w:val="00D42396"/>
    <w:rsid w:val="00D44172"/>
    <w:rsid w:val="00D52BD2"/>
    <w:rsid w:val="00D55463"/>
    <w:rsid w:val="00D57C40"/>
    <w:rsid w:val="00D62DE1"/>
    <w:rsid w:val="00D638E3"/>
    <w:rsid w:val="00D63B8C"/>
    <w:rsid w:val="00D66BFC"/>
    <w:rsid w:val="00D725B5"/>
    <w:rsid w:val="00D739CC"/>
    <w:rsid w:val="00D8093D"/>
    <w:rsid w:val="00D8108C"/>
    <w:rsid w:val="00D83859"/>
    <w:rsid w:val="00D842AE"/>
    <w:rsid w:val="00D9211C"/>
    <w:rsid w:val="00D92DE0"/>
    <w:rsid w:val="00D92FEF"/>
    <w:rsid w:val="00D93A0F"/>
    <w:rsid w:val="00D948F4"/>
    <w:rsid w:val="00DA1BCA"/>
    <w:rsid w:val="00DA61F8"/>
    <w:rsid w:val="00DB1235"/>
    <w:rsid w:val="00DB517B"/>
    <w:rsid w:val="00DB73E8"/>
    <w:rsid w:val="00DB79D7"/>
    <w:rsid w:val="00DC1E97"/>
    <w:rsid w:val="00DC46FF"/>
    <w:rsid w:val="00DC5254"/>
    <w:rsid w:val="00DD1A4F"/>
    <w:rsid w:val="00DD3107"/>
    <w:rsid w:val="00DD7C2C"/>
    <w:rsid w:val="00DD7CD7"/>
    <w:rsid w:val="00DE0848"/>
    <w:rsid w:val="00DE2072"/>
    <w:rsid w:val="00DE7B27"/>
    <w:rsid w:val="00DF240A"/>
    <w:rsid w:val="00DF7975"/>
    <w:rsid w:val="00E06797"/>
    <w:rsid w:val="00E11494"/>
    <w:rsid w:val="00E1265B"/>
    <w:rsid w:val="00E13B48"/>
    <w:rsid w:val="00E13DA6"/>
    <w:rsid w:val="00E1404F"/>
    <w:rsid w:val="00E163DF"/>
    <w:rsid w:val="00E21C83"/>
    <w:rsid w:val="00E24ADA"/>
    <w:rsid w:val="00E2761A"/>
    <w:rsid w:val="00E308CE"/>
    <w:rsid w:val="00E32F59"/>
    <w:rsid w:val="00E40AB2"/>
    <w:rsid w:val="00E46D9A"/>
    <w:rsid w:val="00E565FF"/>
    <w:rsid w:val="00E627AA"/>
    <w:rsid w:val="00E6327D"/>
    <w:rsid w:val="00E650E3"/>
    <w:rsid w:val="00E65388"/>
    <w:rsid w:val="00E85B7D"/>
    <w:rsid w:val="00E90A78"/>
    <w:rsid w:val="00E9121B"/>
    <w:rsid w:val="00E9502D"/>
    <w:rsid w:val="00E9593B"/>
    <w:rsid w:val="00E973FF"/>
    <w:rsid w:val="00E97DC0"/>
    <w:rsid w:val="00EA0AE2"/>
    <w:rsid w:val="00EA0EE3"/>
    <w:rsid w:val="00EA1F24"/>
    <w:rsid w:val="00EA39E5"/>
    <w:rsid w:val="00EC2948"/>
    <w:rsid w:val="00EC5A46"/>
    <w:rsid w:val="00EC63E2"/>
    <w:rsid w:val="00ED1F8B"/>
    <w:rsid w:val="00ED7AFC"/>
    <w:rsid w:val="00EE150C"/>
    <w:rsid w:val="00EF22B3"/>
    <w:rsid w:val="00EF2F3D"/>
    <w:rsid w:val="00F020E7"/>
    <w:rsid w:val="00F02AD9"/>
    <w:rsid w:val="00F03B69"/>
    <w:rsid w:val="00F05389"/>
    <w:rsid w:val="00F0764B"/>
    <w:rsid w:val="00F07A50"/>
    <w:rsid w:val="00F113DA"/>
    <w:rsid w:val="00F13946"/>
    <w:rsid w:val="00F16C57"/>
    <w:rsid w:val="00F306A1"/>
    <w:rsid w:val="00F30805"/>
    <w:rsid w:val="00F314DB"/>
    <w:rsid w:val="00F3679C"/>
    <w:rsid w:val="00F37DC8"/>
    <w:rsid w:val="00F40C92"/>
    <w:rsid w:val="00F439B3"/>
    <w:rsid w:val="00F650C3"/>
    <w:rsid w:val="00F65D85"/>
    <w:rsid w:val="00F75B6D"/>
    <w:rsid w:val="00F8091E"/>
    <w:rsid w:val="00F8130C"/>
    <w:rsid w:val="00F849D5"/>
    <w:rsid w:val="00F85400"/>
    <w:rsid w:val="00F8615C"/>
    <w:rsid w:val="00F916F6"/>
    <w:rsid w:val="00F92B93"/>
    <w:rsid w:val="00F969E5"/>
    <w:rsid w:val="00F9767F"/>
    <w:rsid w:val="00F97D4C"/>
    <w:rsid w:val="00FA6BB0"/>
    <w:rsid w:val="00FB7299"/>
    <w:rsid w:val="00FD4D47"/>
    <w:rsid w:val="00FD5860"/>
    <w:rsid w:val="00FD7197"/>
    <w:rsid w:val="00FE30C1"/>
    <w:rsid w:val="00FE352D"/>
    <w:rsid w:val="00FE40EB"/>
    <w:rsid w:val="00FE4D02"/>
    <w:rsid w:val="00FE7D62"/>
    <w:rsid w:val="00FF3819"/>
    <w:rsid w:val="00FF633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50"/>
    <o:shapelayout v:ext="edit">
      <o:idmap v:ext="edit" data="2"/>
    </o:shapelayout>
  </w:shapeDefaults>
  <w:decimalSymbol w:val="."/>
  <w:listSeparator w:val=","/>
  <w14:docId w14:val="38819CA9"/>
  <w15:docId w15:val="{3065E340-575C-4EB4-9C9B-42E5821D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7ADC"/>
    <w:pPr>
      <w:tabs>
        <w:tab w:val="left" w:pos="1247"/>
        <w:tab w:val="left" w:pos="1814"/>
        <w:tab w:val="left" w:pos="2381"/>
        <w:tab w:val="left" w:pos="2948"/>
        <w:tab w:val="left" w:pos="3515"/>
      </w:tabs>
    </w:pPr>
    <w:rPr>
      <w:lang w:val="fr-FR"/>
    </w:rPr>
  </w:style>
  <w:style w:type="paragraph" w:styleId="Heading1">
    <w:name w:val="heading 1"/>
    <w:basedOn w:val="Normal"/>
    <w:next w:val="Normal"/>
    <w:link w:val="Heading1Char"/>
    <w:rsid w:val="00A87ADC"/>
    <w:pPr>
      <w:keepNext/>
      <w:keepLines/>
      <w:numPr>
        <w:numId w:val="10"/>
      </w:numPr>
      <w:tabs>
        <w:tab w:val="clear" w:pos="1247"/>
        <w:tab w:val="left" w:pos="1871"/>
        <w:tab w:val="left" w:pos="2495"/>
        <w:tab w:val="left" w:pos="3119"/>
        <w:tab w:val="left" w:pos="3742"/>
        <w:tab w:val="left" w:pos="4366"/>
      </w:tabs>
      <w:suppressAutoHyphens/>
      <w:spacing w:before="240" w:after="120"/>
      <w:ind w:right="624"/>
      <w:outlineLvl w:val="0"/>
    </w:pPr>
    <w:rPr>
      <w:b/>
      <w:sz w:val="28"/>
      <w:szCs w:val="28"/>
    </w:rPr>
  </w:style>
  <w:style w:type="paragraph" w:styleId="Heading2">
    <w:name w:val="heading 2"/>
    <w:basedOn w:val="Normal"/>
    <w:next w:val="Normal"/>
    <w:link w:val="Heading2Char"/>
    <w:rsid w:val="00A87ADC"/>
    <w:pPr>
      <w:keepNext/>
      <w:keepLines/>
      <w:numPr>
        <w:numId w:val="11"/>
      </w:numPr>
      <w:tabs>
        <w:tab w:val="clear" w:pos="1247"/>
        <w:tab w:val="left" w:pos="1871"/>
        <w:tab w:val="left" w:pos="2495"/>
        <w:tab w:val="left" w:pos="3119"/>
        <w:tab w:val="left" w:pos="3742"/>
        <w:tab w:val="left" w:pos="4366"/>
      </w:tabs>
      <w:suppressAutoHyphens/>
      <w:spacing w:before="240" w:after="120"/>
      <w:ind w:right="624"/>
      <w:outlineLvl w:val="1"/>
    </w:pPr>
    <w:rPr>
      <w:b/>
      <w:sz w:val="24"/>
      <w:szCs w:val="24"/>
    </w:rPr>
  </w:style>
  <w:style w:type="paragraph" w:styleId="Heading3">
    <w:name w:val="heading 3"/>
    <w:basedOn w:val="Normal"/>
    <w:next w:val="Normal"/>
    <w:link w:val="Heading3Char"/>
    <w:rsid w:val="00A87ADC"/>
    <w:pPr>
      <w:keepNext/>
      <w:keepLines/>
      <w:numPr>
        <w:numId w:val="12"/>
      </w:numPr>
      <w:tabs>
        <w:tab w:val="clear" w:pos="1247"/>
        <w:tab w:val="left" w:pos="1871"/>
        <w:tab w:val="left" w:pos="2495"/>
        <w:tab w:val="left" w:pos="3119"/>
        <w:tab w:val="left" w:pos="3742"/>
        <w:tab w:val="left" w:pos="4366"/>
      </w:tabs>
      <w:suppressAutoHyphens/>
      <w:spacing w:before="240" w:after="120"/>
      <w:ind w:right="624"/>
      <w:outlineLvl w:val="2"/>
    </w:pPr>
    <w:rPr>
      <w:b/>
    </w:rPr>
  </w:style>
  <w:style w:type="paragraph" w:styleId="Heading4">
    <w:name w:val="heading 4"/>
    <w:basedOn w:val="Normal"/>
    <w:next w:val="Normal"/>
    <w:link w:val="Heading4Char"/>
    <w:rsid w:val="00A87ADC"/>
    <w:pPr>
      <w:keepNext/>
      <w:keepLines/>
      <w:numPr>
        <w:numId w:val="13"/>
      </w:numPr>
      <w:tabs>
        <w:tab w:val="left" w:pos="1871"/>
        <w:tab w:val="left" w:pos="2495"/>
        <w:tab w:val="left" w:pos="3119"/>
        <w:tab w:val="left" w:pos="3742"/>
        <w:tab w:val="left" w:pos="4366"/>
      </w:tabs>
      <w:suppressAutoHyphens/>
      <w:spacing w:before="120" w:after="120"/>
      <w:ind w:right="624"/>
      <w:outlineLvl w:val="3"/>
    </w:pPr>
    <w:rPr>
      <w:b/>
    </w:rPr>
  </w:style>
  <w:style w:type="paragraph" w:styleId="Heading5">
    <w:name w:val="heading 5"/>
    <w:basedOn w:val="Normal"/>
    <w:next w:val="Normal"/>
    <w:link w:val="Heading5Char"/>
    <w:rsid w:val="00A87ADC"/>
    <w:pPr>
      <w:keepNext/>
      <w:keepLines/>
      <w:numPr>
        <w:numId w:val="14"/>
      </w:numPr>
      <w:tabs>
        <w:tab w:val="left" w:pos="1871"/>
        <w:tab w:val="left" w:pos="2495"/>
        <w:tab w:val="left" w:pos="3119"/>
        <w:tab w:val="left" w:pos="3742"/>
        <w:tab w:val="left" w:pos="4366"/>
      </w:tabs>
      <w:suppressAutoHyphens/>
      <w:spacing w:after="120"/>
      <w:ind w:right="624"/>
      <w:outlineLvl w:val="4"/>
    </w:pPr>
    <w:rPr>
      <w:b/>
    </w:rPr>
  </w:style>
  <w:style w:type="paragraph" w:styleId="Heading6">
    <w:name w:val="heading 6"/>
    <w:basedOn w:val="Normal"/>
    <w:next w:val="Normal"/>
    <w:link w:val="Heading6Char"/>
    <w:rsid w:val="00A87ADC"/>
    <w:pPr>
      <w:keepNext/>
      <w:numPr>
        <w:ilvl w:val="5"/>
        <w:numId w:val="10"/>
      </w:numPr>
      <w:outlineLvl w:val="5"/>
    </w:pPr>
    <w:rPr>
      <w:b/>
      <w:bCs/>
      <w:sz w:val="24"/>
    </w:rPr>
  </w:style>
  <w:style w:type="paragraph" w:styleId="Heading7">
    <w:name w:val="heading 7"/>
    <w:basedOn w:val="Normal"/>
    <w:next w:val="Normal"/>
    <w:link w:val="Heading7Char"/>
    <w:rsid w:val="00A87ADC"/>
    <w:pPr>
      <w:keepNext/>
      <w:widowControl w:val="0"/>
      <w:numPr>
        <w:ilvl w:val="6"/>
        <w:numId w:val="10"/>
      </w:numPr>
      <w:jc w:val="center"/>
      <w:outlineLvl w:val="6"/>
    </w:pPr>
    <w:rPr>
      <w:snapToGrid w:val="0"/>
      <w:u w:val="single"/>
    </w:rPr>
  </w:style>
  <w:style w:type="paragraph" w:styleId="Heading8">
    <w:name w:val="heading 8"/>
    <w:basedOn w:val="Normal"/>
    <w:next w:val="Normal"/>
    <w:link w:val="Heading8Char"/>
    <w:rsid w:val="00A87ADC"/>
    <w:pPr>
      <w:keepNext/>
      <w:widowControl w:val="0"/>
      <w:numPr>
        <w:ilvl w:val="7"/>
        <w:numId w:val="10"/>
      </w:numPr>
      <w:tabs>
        <w:tab w:val="left" w:pos="-1440"/>
        <w:tab w:val="left" w:pos="-720"/>
      </w:tabs>
      <w:suppressAutoHyphens/>
      <w:jc w:val="center"/>
      <w:outlineLvl w:val="7"/>
    </w:pPr>
    <w:rPr>
      <w:snapToGrid w:val="0"/>
      <w:u w:val="single"/>
    </w:rPr>
  </w:style>
  <w:style w:type="paragraph" w:styleId="Heading9">
    <w:name w:val="heading 9"/>
    <w:basedOn w:val="Normal"/>
    <w:next w:val="Normal"/>
    <w:link w:val="Heading9Char"/>
    <w:rsid w:val="00A87ADC"/>
    <w:pPr>
      <w:keepNext/>
      <w:widowControl w:val="0"/>
      <w:numPr>
        <w:ilvl w:val="8"/>
        <w:numId w:val="10"/>
      </w:numPr>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863FA4"/>
    <w:rPr>
      <w:rFonts w:ascii="Times New Roman" w:hAnsi="Times New Roman"/>
      <w:b/>
      <w:sz w:val="18"/>
      <w:lang w:val="fr-FR"/>
    </w:rPr>
  </w:style>
  <w:style w:type="table" w:customStyle="1" w:styleId="Tabledocright">
    <w:name w:val="Table_doc_right"/>
    <w:basedOn w:val="TableNormal"/>
    <w:rsid w:val="00863FA4"/>
    <w:pPr>
      <w:spacing w:before="40" w:after="40"/>
    </w:pPr>
    <w:rPr>
      <w:rFonts w:cs="Traditional Arabic"/>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rsid w:val="00863FA4"/>
    <w:pPr>
      <w:ind w:left="1000"/>
    </w:pPr>
    <w:rPr>
      <w:sz w:val="18"/>
      <w:szCs w:val="18"/>
    </w:rPr>
  </w:style>
  <w:style w:type="paragraph" w:styleId="TOC7">
    <w:name w:val="toc 7"/>
    <w:basedOn w:val="Normal"/>
    <w:next w:val="Normal"/>
    <w:autoRedefine/>
    <w:rsid w:val="00863FA4"/>
    <w:pPr>
      <w:ind w:left="1200"/>
    </w:pPr>
    <w:rPr>
      <w:sz w:val="18"/>
      <w:szCs w:val="18"/>
    </w:rPr>
  </w:style>
  <w:style w:type="paragraph" w:styleId="TOC8">
    <w:name w:val="toc 8"/>
    <w:basedOn w:val="Normal"/>
    <w:next w:val="Normal"/>
    <w:autoRedefine/>
    <w:rsid w:val="00863FA4"/>
    <w:pPr>
      <w:ind w:left="1400"/>
    </w:pPr>
    <w:rPr>
      <w:sz w:val="18"/>
      <w:szCs w:val="18"/>
    </w:rPr>
  </w:style>
  <w:style w:type="paragraph" w:styleId="TOC9">
    <w:name w:val="toc 9"/>
    <w:basedOn w:val="Normal"/>
    <w:next w:val="Normal"/>
    <w:autoRedefine/>
    <w:rsid w:val="00863FA4"/>
    <w:pPr>
      <w:ind w:left="1600"/>
    </w:pPr>
    <w:rPr>
      <w:sz w:val="18"/>
      <w:szCs w:val="18"/>
    </w:rPr>
  </w:style>
  <w:style w:type="paragraph" w:customStyle="1" w:styleId="Titlefigure">
    <w:name w:val="Title_figure"/>
    <w:basedOn w:val="Titletable"/>
    <w:next w:val="NormalNonumber"/>
    <w:qFormat/>
    <w:rsid w:val="00863FA4"/>
    <w:rPr>
      <w:bCs w:val="0"/>
    </w:rPr>
  </w:style>
  <w:style w:type="paragraph" w:styleId="TableofFigures">
    <w:name w:val="table of figures"/>
    <w:basedOn w:val="Normal"/>
    <w:next w:val="Normal"/>
    <w:autoRedefine/>
    <w:rsid w:val="00863FA4"/>
    <w:pPr>
      <w:ind w:left="1814" w:hanging="567"/>
    </w:pPr>
  </w:style>
  <w:style w:type="paragraph" w:customStyle="1" w:styleId="CH1">
    <w:name w:val="CH1"/>
    <w:basedOn w:val="Normal-pool"/>
    <w:next w:val="CH2"/>
    <w:qFormat/>
    <w:rsid w:val="00863FA4"/>
    <w:pPr>
      <w:keepNext/>
      <w:keepLines/>
      <w:tabs>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autoRedefine/>
    <w:qFormat/>
    <w:rsid w:val="00513F56"/>
    <w:pPr>
      <w:keepNext/>
      <w:keepLines/>
      <w:tabs>
        <w:tab w:val="right" w:pos="851"/>
      </w:tabs>
      <w:suppressAutoHyphens/>
      <w:spacing w:before="80" w:after="40"/>
      <w:ind w:left="1247" w:right="284" w:hanging="1247"/>
    </w:pPr>
    <w:rPr>
      <w:b/>
      <w:sz w:val="24"/>
      <w:szCs w:val="24"/>
    </w:rPr>
  </w:style>
  <w:style w:type="paragraph" w:customStyle="1" w:styleId="CH3">
    <w:name w:val="CH3"/>
    <w:basedOn w:val="Normal"/>
    <w:next w:val="Normalnumber"/>
    <w:rsid w:val="00863FA4"/>
    <w:pPr>
      <w:keepNext/>
      <w:keepLines/>
      <w:tabs>
        <w:tab w:val="right" w:pos="851"/>
        <w:tab w:val="left" w:pos="4082"/>
      </w:tabs>
      <w:suppressAutoHyphens/>
      <w:spacing w:after="120"/>
      <w:ind w:left="1247" w:right="284" w:hanging="1247"/>
    </w:pPr>
    <w:rPr>
      <w:b/>
    </w:rPr>
  </w:style>
  <w:style w:type="paragraph" w:customStyle="1" w:styleId="CH4">
    <w:name w:val="CH4"/>
    <w:basedOn w:val="Normal"/>
    <w:next w:val="Normalnumber"/>
    <w:rsid w:val="00863FA4"/>
    <w:pPr>
      <w:keepNext/>
      <w:keepLines/>
      <w:tabs>
        <w:tab w:val="right" w:pos="851"/>
        <w:tab w:val="left" w:pos="4082"/>
      </w:tabs>
      <w:suppressAutoHyphens/>
      <w:spacing w:after="120"/>
      <w:ind w:left="1247" w:right="284" w:hanging="1247"/>
    </w:pPr>
    <w:rPr>
      <w:b/>
    </w:rPr>
  </w:style>
  <w:style w:type="table" w:customStyle="1" w:styleId="Footertable">
    <w:name w:val="Footer_table"/>
    <w:basedOn w:val="TableNormal"/>
    <w:semiHidden/>
    <w:rsid w:val="00863FA4"/>
    <w:rPr>
      <w:rFonts w:ascii="Arial" w:eastAsia="SimSun" w:hAnsi="Arial" w:cs="Traditional Arabic"/>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rsid w:val="00863FA4"/>
    <w:pPr>
      <w:keepNext/>
      <w:keepLines/>
      <w:tabs>
        <w:tab w:val="right" w:pos="851"/>
        <w:tab w:val="left" w:pos="4082"/>
      </w:tabs>
      <w:suppressAutoHyphens/>
      <w:spacing w:after="120"/>
      <w:ind w:left="1247" w:right="284" w:hanging="1247"/>
    </w:pPr>
    <w:rPr>
      <w:b/>
    </w:rPr>
  </w:style>
  <w:style w:type="paragraph" w:customStyle="1" w:styleId="Footerpool">
    <w:name w:val="Footer_pool"/>
    <w:basedOn w:val="Normal"/>
    <w:next w:val="Normal"/>
    <w:semiHidden/>
    <w:rsid w:val="00863FA4"/>
    <w:pPr>
      <w:tabs>
        <w:tab w:val="left" w:pos="4321"/>
        <w:tab w:val="right" w:pos="8641"/>
      </w:tabs>
      <w:spacing w:before="60" w:after="120"/>
    </w:pPr>
    <w:rPr>
      <w:b/>
      <w:sz w:val="18"/>
    </w:rPr>
  </w:style>
  <w:style w:type="paragraph" w:customStyle="1" w:styleId="Headerpool">
    <w:name w:val="Header_pool"/>
    <w:basedOn w:val="Normal"/>
    <w:next w:val="Normal"/>
    <w:semiHidden/>
    <w:rsid w:val="00863FA4"/>
    <w:pPr>
      <w:pBdr>
        <w:bottom w:val="single" w:sz="4" w:space="1" w:color="auto"/>
      </w:pBdr>
      <w:tabs>
        <w:tab w:val="center" w:pos="4536"/>
        <w:tab w:val="right" w:pos="9072"/>
      </w:tabs>
      <w:spacing w:after="120"/>
    </w:pPr>
    <w:rPr>
      <w:b/>
      <w:sz w:val="18"/>
    </w:rPr>
  </w:style>
  <w:style w:type="paragraph" w:customStyle="1" w:styleId="Normalpool">
    <w:name w:val="Normal_pool"/>
    <w:link w:val="NormalpoolChar"/>
    <w:autoRedefine/>
    <w:rsid w:val="00863FA4"/>
    <w:pPr>
      <w:tabs>
        <w:tab w:val="left" w:pos="1247"/>
        <w:tab w:val="left" w:pos="1814"/>
        <w:tab w:val="left" w:pos="2381"/>
        <w:tab w:val="left" w:pos="2948"/>
        <w:tab w:val="left" w:pos="3515"/>
        <w:tab w:val="left" w:pos="4082"/>
      </w:tabs>
    </w:pPr>
    <w:rPr>
      <w:rFonts w:eastAsia="SimSun" w:cs="Traditional Arabic"/>
      <w:lang w:val="fr-FR"/>
    </w:rPr>
  </w:style>
  <w:style w:type="paragraph" w:customStyle="1" w:styleId="Footer-pool">
    <w:name w:val="Footer-pool"/>
    <w:basedOn w:val="Normal-pool"/>
    <w:next w:val="Normal-pool"/>
    <w:rsid w:val="00863FA4"/>
    <w:pPr>
      <w:tabs>
        <w:tab w:val="left" w:pos="4321"/>
        <w:tab w:val="right" w:pos="8641"/>
      </w:tabs>
      <w:spacing w:before="60" w:after="120"/>
    </w:pPr>
    <w:rPr>
      <w:b/>
      <w:sz w:val="18"/>
    </w:rPr>
  </w:style>
  <w:style w:type="paragraph" w:customStyle="1" w:styleId="Header-pool">
    <w:name w:val="Header-pool"/>
    <w:basedOn w:val="Normal-pool"/>
    <w:next w:val="Normal-pool"/>
    <w:rsid w:val="00863FA4"/>
    <w:pPr>
      <w:pBdr>
        <w:bottom w:val="single" w:sz="4" w:space="1" w:color="auto"/>
      </w:pBdr>
      <w:tabs>
        <w:tab w:val="center" w:pos="4536"/>
        <w:tab w:val="right" w:pos="9072"/>
      </w:tabs>
      <w:spacing w:after="120"/>
    </w:pPr>
    <w:rPr>
      <w:b/>
      <w:sz w:val="18"/>
    </w:rPr>
  </w:style>
  <w:style w:type="character" w:styleId="FootnoteReference">
    <w:name w:val="footnote reference"/>
    <w:aliases w:val="ftref,16 Point,Superscript 6 Point,number,SUPERS,Footnote Reference Superscript,(Ref. de nota al pie),fr,Ref,de nota al pie,註腳內容,de nota al pie + (Asian) MS Mincho,Footnotes refss,JFR-Fußnotenzeichen,-E Fußnotenzeichen,11 pt,stylish"/>
    <w:uiPriority w:val="99"/>
    <w:qFormat/>
    <w:rsid w:val="00863FA4"/>
    <w:rPr>
      <w:rFonts w:ascii="Times New Roman" w:hAnsi="Times New Roman"/>
      <w:color w:val="auto"/>
      <w:sz w:val="20"/>
      <w:szCs w:val="18"/>
      <w:vertAlign w:val="superscript"/>
      <w:lang w:val="fr-FR"/>
    </w:rPr>
  </w:style>
  <w:style w:type="paragraph" w:styleId="FootnoteText">
    <w:name w:val="footnote text"/>
    <w:basedOn w:val="Normal"/>
    <w:link w:val="FootnoteTextChar"/>
    <w:rsid w:val="00863FA4"/>
    <w:pPr>
      <w:tabs>
        <w:tab w:val="left" w:pos="4082"/>
      </w:tabs>
      <w:spacing w:before="20" w:after="40"/>
      <w:ind w:left="1247"/>
    </w:pPr>
    <w:rPr>
      <w:sz w:val="18"/>
    </w:rPr>
  </w:style>
  <w:style w:type="table" w:customStyle="1" w:styleId="AATable">
    <w:name w:val="AA_Table"/>
    <w:basedOn w:val="TableNormal"/>
    <w:rsid w:val="00A87ADC"/>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
    <w:qFormat/>
    <w:rsid w:val="00A87ADC"/>
    <w:pPr>
      <w:keepNext/>
      <w:keepLines/>
      <w:tabs>
        <w:tab w:val="left" w:pos="624"/>
        <w:tab w:val="left" w:pos="4082"/>
      </w:tabs>
      <w:suppressAutoHyphens/>
    </w:pPr>
    <w:rPr>
      <w:b/>
    </w:rPr>
  </w:style>
  <w:style w:type="paragraph" w:customStyle="1" w:styleId="AATitle2">
    <w:name w:val="AA_Title2"/>
    <w:basedOn w:val="AATitle"/>
    <w:qFormat/>
    <w:rsid w:val="00A87ADC"/>
    <w:pPr>
      <w:keepNext w:val="0"/>
      <w:keepLines w:val="0"/>
      <w:tabs>
        <w:tab w:val="clear" w:pos="4082"/>
      </w:tabs>
      <w:spacing w:before="120" w:after="120"/>
    </w:pPr>
  </w:style>
  <w:style w:type="paragraph" w:customStyle="1" w:styleId="BBTitle">
    <w:name w:val="BB_Title"/>
    <w:basedOn w:val="Normal-pool"/>
    <w:qFormat/>
    <w:rsid w:val="00863FA4"/>
    <w:pPr>
      <w:keepNext/>
      <w:keepLines/>
      <w:suppressAutoHyphens/>
      <w:spacing w:before="320" w:after="240"/>
      <w:ind w:left="1247" w:right="567"/>
    </w:pPr>
    <w:rPr>
      <w:b/>
      <w:sz w:val="28"/>
      <w:szCs w:val="28"/>
    </w:rPr>
  </w:style>
  <w:style w:type="paragraph" w:styleId="Footer">
    <w:name w:val="footer"/>
    <w:basedOn w:val="Normal"/>
    <w:link w:val="FooterChar"/>
    <w:uiPriority w:val="99"/>
    <w:rsid w:val="00863FA4"/>
    <w:pPr>
      <w:tabs>
        <w:tab w:val="center" w:pos="4320"/>
        <w:tab w:val="right" w:pos="8640"/>
      </w:tabs>
      <w:spacing w:before="60" w:after="120"/>
    </w:pPr>
    <w:rPr>
      <w:sz w:val="18"/>
    </w:rPr>
  </w:style>
  <w:style w:type="paragraph" w:styleId="Header">
    <w:name w:val="header"/>
    <w:basedOn w:val="Normal"/>
    <w:link w:val="HeaderChar"/>
    <w:rsid w:val="00863FA4"/>
    <w:pPr>
      <w:pBdr>
        <w:bottom w:val="single" w:sz="4" w:space="1" w:color="auto"/>
      </w:pBdr>
      <w:tabs>
        <w:tab w:val="center" w:pos="4536"/>
        <w:tab w:val="right" w:pos="9072"/>
      </w:tabs>
      <w:spacing w:after="120"/>
    </w:pPr>
    <w:rPr>
      <w:b/>
      <w:sz w:val="18"/>
    </w:rPr>
  </w:style>
  <w:style w:type="character" w:styleId="Hyperlink">
    <w:name w:val="Hyperlink"/>
    <w:basedOn w:val="DefaultParagraphFont"/>
    <w:uiPriority w:val="99"/>
    <w:rsid w:val="00A87ADC"/>
    <w:rPr>
      <w:color w:val="0000FF" w:themeColor="hyperlink"/>
      <w:u w:val="none"/>
      <w:lang w:val="fr-FR"/>
    </w:rPr>
  </w:style>
  <w:style w:type="numbering" w:customStyle="1" w:styleId="Normallist">
    <w:name w:val="Normal_list"/>
    <w:basedOn w:val="NoList"/>
    <w:rsid w:val="00863FA4"/>
    <w:pPr>
      <w:numPr>
        <w:numId w:val="1"/>
      </w:numPr>
    </w:pPr>
  </w:style>
  <w:style w:type="paragraph" w:customStyle="1" w:styleId="NormalNonumber">
    <w:name w:val="Normal_No_number"/>
    <w:basedOn w:val="Normal-pool"/>
    <w:link w:val="NormalNonumberChar"/>
    <w:qFormat/>
    <w:rsid w:val="00863FA4"/>
    <w:pPr>
      <w:spacing w:after="120"/>
      <w:ind w:left="1247"/>
    </w:pPr>
  </w:style>
  <w:style w:type="paragraph" w:customStyle="1" w:styleId="Normalnumber">
    <w:name w:val="Normal_number"/>
    <w:basedOn w:val="Normal-pool"/>
    <w:link w:val="NormalnumberChar"/>
    <w:qFormat/>
    <w:rsid w:val="00863FA4"/>
    <w:pPr>
      <w:numPr>
        <w:numId w:val="9"/>
      </w:numPr>
      <w:spacing w:after="120"/>
    </w:pPr>
    <w:rPr>
      <w:rFonts w:eastAsia="Times New Roman"/>
    </w:rPr>
  </w:style>
  <w:style w:type="paragraph" w:customStyle="1" w:styleId="Titletable">
    <w:name w:val="Title_table"/>
    <w:basedOn w:val="Normal-pool"/>
    <w:qFormat/>
    <w:rsid w:val="00863FA4"/>
    <w:pPr>
      <w:keepNext/>
      <w:keepLines/>
      <w:suppressAutoHyphens/>
      <w:spacing w:after="60"/>
      <w:ind w:left="1247"/>
    </w:pPr>
    <w:rPr>
      <w:b/>
      <w:bCs/>
    </w:rPr>
  </w:style>
  <w:style w:type="paragraph" w:styleId="TOC1">
    <w:name w:val="toc 1"/>
    <w:basedOn w:val="Normal"/>
    <w:next w:val="Normal"/>
    <w:autoRedefine/>
    <w:uiPriority w:val="39"/>
    <w:unhideWhenUsed/>
    <w:rsid w:val="00A87ADC"/>
    <w:pPr>
      <w:tabs>
        <w:tab w:val="left" w:pos="624"/>
        <w:tab w:val="left" w:pos="1871"/>
        <w:tab w:val="right" w:leader="dot" w:pos="9486"/>
      </w:tabs>
      <w:spacing w:before="240"/>
      <w:ind w:left="1984" w:hanging="737"/>
    </w:pPr>
    <w:rPr>
      <w:bCs/>
    </w:rPr>
  </w:style>
  <w:style w:type="paragraph" w:styleId="TOC2">
    <w:name w:val="toc 2"/>
    <w:basedOn w:val="Normal"/>
    <w:next w:val="Normal"/>
    <w:uiPriority w:val="39"/>
    <w:unhideWhenUsed/>
    <w:rsid w:val="00A87ADC"/>
    <w:pPr>
      <w:tabs>
        <w:tab w:val="left" w:pos="624"/>
        <w:tab w:val="left" w:pos="1871"/>
        <w:tab w:val="left" w:pos="2495"/>
        <w:tab w:val="right" w:leader="dot" w:pos="9486"/>
      </w:tabs>
      <w:spacing w:before="60"/>
      <w:ind w:left="2608" w:hanging="737"/>
    </w:pPr>
  </w:style>
  <w:style w:type="paragraph" w:styleId="TOC3">
    <w:name w:val="toc 3"/>
    <w:basedOn w:val="Normal"/>
    <w:next w:val="Normal"/>
    <w:uiPriority w:val="39"/>
    <w:unhideWhenUsed/>
    <w:rsid w:val="00A87ADC"/>
    <w:pPr>
      <w:tabs>
        <w:tab w:val="left" w:pos="624"/>
        <w:tab w:val="left" w:pos="1871"/>
        <w:tab w:val="left" w:pos="2495"/>
        <w:tab w:val="left" w:pos="3119"/>
        <w:tab w:val="right" w:leader="dot" w:pos="9486"/>
      </w:tabs>
      <w:ind w:left="3232" w:hanging="737"/>
    </w:pPr>
    <w:rPr>
      <w:iCs/>
    </w:rPr>
  </w:style>
  <w:style w:type="paragraph" w:styleId="TOC4">
    <w:name w:val="toc 4"/>
    <w:basedOn w:val="Normal"/>
    <w:next w:val="Normal"/>
    <w:uiPriority w:val="39"/>
    <w:unhideWhenUsed/>
    <w:rsid w:val="00A87ADC"/>
    <w:pPr>
      <w:tabs>
        <w:tab w:val="left" w:pos="624"/>
        <w:tab w:val="left" w:pos="1000"/>
        <w:tab w:val="left" w:pos="1871"/>
        <w:tab w:val="left" w:pos="2495"/>
        <w:tab w:val="left" w:pos="3119"/>
        <w:tab w:val="left" w:pos="3742"/>
        <w:tab w:val="right" w:leader="dot" w:pos="9486"/>
      </w:tabs>
      <w:ind w:left="3856" w:hanging="737"/>
    </w:pPr>
    <w:rPr>
      <w:szCs w:val="18"/>
    </w:rPr>
  </w:style>
  <w:style w:type="paragraph" w:styleId="TOC5">
    <w:name w:val="toc 5"/>
    <w:basedOn w:val="Normal"/>
    <w:next w:val="Normal"/>
    <w:uiPriority w:val="39"/>
    <w:rsid w:val="00A87ADC"/>
    <w:pPr>
      <w:tabs>
        <w:tab w:val="left" w:pos="624"/>
        <w:tab w:val="left" w:pos="1871"/>
        <w:tab w:val="left" w:pos="2495"/>
        <w:tab w:val="left" w:pos="3119"/>
        <w:tab w:val="left" w:pos="3742"/>
        <w:tab w:val="left" w:pos="4366"/>
        <w:tab w:val="right" w:leader="dot" w:pos="9486"/>
      </w:tabs>
      <w:ind w:left="4479" w:hanging="737"/>
    </w:pPr>
    <w:rPr>
      <w:sz w:val="18"/>
      <w:szCs w:val="18"/>
    </w:rPr>
  </w:style>
  <w:style w:type="paragraph" w:customStyle="1" w:styleId="ZZAnxheader">
    <w:name w:val="ZZ_Anx_header"/>
    <w:basedOn w:val="Normal-pool"/>
    <w:qFormat/>
    <w:rsid w:val="00863FA4"/>
    <w:rPr>
      <w:b/>
      <w:bCs/>
      <w:sz w:val="28"/>
      <w:szCs w:val="22"/>
    </w:rPr>
  </w:style>
  <w:style w:type="paragraph" w:customStyle="1" w:styleId="ZZAnxtitle">
    <w:name w:val="ZZ_Anx_title"/>
    <w:basedOn w:val="Normal-pool"/>
    <w:qFormat/>
    <w:rsid w:val="00863FA4"/>
    <w:pPr>
      <w:spacing w:before="360" w:after="120"/>
      <w:ind w:left="1247"/>
    </w:pPr>
    <w:rPr>
      <w:b/>
      <w:bCs/>
      <w:sz w:val="28"/>
      <w:szCs w:val="26"/>
    </w:rPr>
  </w:style>
  <w:style w:type="character" w:styleId="CommentReference">
    <w:name w:val="annotation reference"/>
    <w:basedOn w:val="DefaultParagraphFont"/>
    <w:rsid w:val="00363D96"/>
    <w:rPr>
      <w:sz w:val="16"/>
      <w:szCs w:val="16"/>
      <w:lang w:val="fr-FR"/>
    </w:rPr>
  </w:style>
  <w:style w:type="paragraph" w:styleId="CommentText">
    <w:name w:val="annotation text"/>
    <w:basedOn w:val="Normal"/>
    <w:link w:val="CommentTextChar"/>
    <w:rsid w:val="00363D96"/>
  </w:style>
  <w:style w:type="character" w:customStyle="1" w:styleId="CommentTextChar">
    <w:name w:val="Comment Text Char"/>
    <w:basedOn w:val="DefaultParagraphFont"/>
    <w:link w:val="CommentText"/>
    <w:rsid w:val="00363D96"/>
    <w:rPr>
      <w:lang w:val="fr-FR"/>
    </w:rPr>
  </w:style>
  <w:style w:type="paragraph" w:styleId="CommentSubject">
    <w:name w:val="annotation subject"/>
    <w:basedOn w:val="CommentText"/>
    <w:next w:val="CommentText"/>
    <w:link w:val="CommentSubjectChar"/>
    <w:rsid w:val="00363D96"/>
    <w:rPr>
      <w:b/>
      <w:bCs/>
    </w:rPr>
  </w:style>
  <w:style w:type="character" w:customStyle="1" w:styleId="CommentSubjectChar">
    <w:name w:val="Comment Subject Char"/>
    <w:basedOn w:val="CommentTextChar"/>
    <w:link w:val="CommentSubject"/>
    <w:rsid w:val="00363D96"/>
    <w:rPr>
      <w:b/>
      <w:bCs/>
      <w:lang w:val="fr-FR"/>
    </w:rPr>
  </w:style>
  <w:style w:type="paragraph" w:styleId="Revision">
    <w:name w:val="Revision"/>
    <w:hidden/>
    <w:rsid w:val="00363D96"/>
    <w:rPr>
      <w:lang w:val="en-GB"/>
    </w:rPr>
  </w:style>
  <w:style w:type="paragraph" w:styleId="BalloonText">
    <w:name w:val="Balloon Text"/>
    <w:basedOn w:val="Normal"/>
    <w:link w:val="BalloonTextChar"/>
    <w:rsid w:val="00363D96"/>
    <w:rPr>
      <w:rFonts w:ascii="Tahoma" w:hAnsi="Tahoma" w:cs="Tahoma"/>
      <w:sz w:val="16"/>
      <w:szCs w:val="16"/>
    </w:rPr>
  </w:style>
  <w:style w:type="character" w:customStyle="1" w:styleId="BalloonTextChar">
    <w:name w:val="Balloon Text Char"/>
    <w:basedOn w:val="DefaultParagraphFont"/>
    <w:link w:val="BalloonText"/>
    <w:rsid w:val="00363D96"/>
    <w:rPr>
      <w:rFonts w:ascii="Tahoma" w:hAnsi="Tahoma" w:cs="Tahoma"/>
      <w:sz w:val="16"/>
      <w:szCs w:val="16"/>
      <w:lang w:val="fr-FR"/>
    </w:rPr>
  </w:style>
  <w:style w:type="table" w:styleId="TableGrid">
    <w:name w:val="Table Grid"/>
    <w:basedOn w:val="TableNormal"/>
    <w:rsid w:val="00863FA4"/>
    <w:rPr>
      <w:rFonts w:cs="Traditional Arab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locked/>
    <w:rsid w:val="00F97D4C"/>
    <w:rPr>
      <w:sz w:val="18"/>
      <w:lang w:val="fr-FR"/>
    </w:rPr>
  </w:style>
  <w:style w:type="character" w:customStyle="1" w:styleId="NormalpoolChar">
    <w:name w:val="Normal_pool Char"/>
    <w:link w:val="Normalpool"/>
    <w:locked/>
    <w:rsid w:val="007B2C69"/>
    <w:rPr>
      <w:rFonts w:eastAsia="SimSun" w:cs="Traditional Arabic"/>
      <w:lang w:val="fr-FR"/>
    </w:rPr>
  </w:style>
  <w:style w:type="paragraph" w:styleId="ListParagraph">
    <w:name w:val="List Paragraph"/>
    <w:basedOn w:val="Normal"/>
    <w:qFormat/>
    <w:rsid w:val="00584D51"/>
    <w:pPr>
      <w:ind w:left="720"/>
      <w:contextualSpacing/>
    </w:pPr>
    <w:rPr>
      <w:sz w:val="24"/>
      <w:szCs w:val="24"/>
    </w:rPr>
  </w:style>
  <w:style w:type="character" w:styleId="UnresolvedMention">
    <w:name w:val="Unresolved Mention"/>
    <w:basedOn w:val="DefaultParagraphFont"/>
    <w:uiPriority w:val="99"/>
    <w:semiHidden/>
    <w:unhideWhenUsed/>
    <w:rsid w:val="00103E61"/>
    <w:rPr>
      <w:color w:val="605E5C"/>
      <w:shd w:val="clear" w:color="auto" w:fill="E1DFDD"/>
      <w:lang w:val="fr-FR"/>
    </w:rPr>
  </w:style>
  <w:style w:type="paragraph" w:styleId="Subtitle">
    <w:name w:val="Subtitle"/>
    <w:basedOn w:val="Normal"/>
    <w:next w:val="Normal"/>
    <w:link w:val="SubtitleChar"/>
    <w:qFormat/>
    <w:rsid w:val="001964B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1964BB"/>
    <w:rPr>
      <w:rFonts w:asciiTheme="minorHAnsi" w:eastAsiaTheme="minorEastAsia" w:hAnsiTheme="minorHAnsi" w:cstheme="minorBidi"/>
      <w:color w:val="5A5A5A" w:themeColor="text1" w:themeTint="A5"/>
      <w:spacing w:val="15"/>
      <w:sz w:val="22"/>
      <w:szCs w:val="22"/>
      <w:lang w:val="fr-FR"/>
    </w:rPr>
  </w:style>
  <w:style w:type="paragraph" w:styleId="Title">
    <w:name w:val="Title"/>
    <w:basedOn w:val="Normal"/>
    <w:next w:val="Normal"/>
    <w:link w:val="TitleChar"/>
    <w:qFormat/>
    <w:rsid w:val="001964B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1964BB"/>
    <w:rPr>
      <w:rFonts w:asciiTheme="majorHAnsi" w:eastAsiaTheme="majorEastAsia" w:hAnsiTheme="majorHAnsi" w:cstheme="majorBidi"/>
      <w:spacing w:val="-10"/>
      <w:kern w:val="28"/>
      <w:sz w:val="56"/>
      <w:szCs w:val="56"/>
      <w:lang w:val="fr-FR"/>
    </w:rPr>
  </w:style>
  <w:style w:type="paragraph" w:customStyle="1" w:styleId="Normal-pool">
    <w:name w:val="Normal-pool"/>
    <w:link w:val="Normal-poolChar"/>
    <w:qFormat/>
    <w:rsid w:val="00A87ADC"/>
    <w:pPr>
      <w:tabs>
        <w:tab w:val="left" w:pos="624"/>
        <w:tab w:val="left" w:pos="1247"/>
        <w:tab w:val="left" w:pos="1871"/>
        <w:tab w:val="left" w:pos="2495"/>
        <w:tab w:val="left" w:pos="3119"/>
        <w:tab w:val="left" w:pos="3742"/>
        <w:tab w:val="left" w:pos="4366"/>
      </w:tabs>
    </w:pPr>
    <w:rPr>
      <w:rFonts w:eastAsia="SimSun"/>
      <w:lang w:val="fr-FR" w:eastAsia="zh-CN"/>
    </w:rPr>
  </w:style>
  <w:style w:type="paragraph" w:styleId="NormalIndent">
    <w:name w:val="Normal Indent"/>
    <w:basedOn w:val="Normal"/>
    <w:rsid w:val="00371363"/>
    <w:pPr>
      <w:ind w:left="1247"/>
    </w:pPr>
    <w:rPr>
      <w:sz w:val="22"/>
    </w:rPr>
  </w:style>
  <w:style w:type="paragraph" w:customStyle="1" w:styleId="Level2">
    <w:name w:val="Level2"/>
    <w:basedOn w:val="Normal"/>
    <w:rsid w:val="00371363"/>
    <w:pPr>
      <w:numPr>
        <w:numId w:val="2"/>
      </w:numPr>
      <w:tabs>
        <w:tab w:val="left" w:pos="578"/>
        <w:tab w:val="left" w:pos="1157"/>
      </w:tabs>
      <w:suppressAutoHyphens/>
      <w:spacing w:after="240"/>
    </w:pPr>
    <w:rPr>
      <w:sz w:val="22"/>
    </w:rPr>
  </w:style>
  <w:style w:type="paragraph" w:customStyle="1" w:styleId="Subtitle0">
    <w:name w:val="Sub title"/>
    <w:basedOn w:val="Heading2"/>
    <w:rsid w:val="00371363"/>
    <w:pPr>
      <w:spacing w:before="0" w:after="0"/>
      <w:ind w:firstLine="0"/>
    </w:pPr>
  </w:style>
  <w:style w:type="paragraph" w:styleId="EnvelopeReturn">
    <w:name w:val="envelope return"/>
    <w:basedOn w:val="Normal"/>
    <w:rsid w:val="00371363"/>
    <w:pPr>
      <w:widowControl w:val="0"/>
      <w:tabs>
        <w:tab w:val="left" w:pos="-720"/>
      </w:tabs>
      <w:suppressAutoHyphens/>
    </w:pPr>
    <w:rPr>
      <w:rFonts w:ascii="Garamond" w:hAnsi="Garamond"/>
      <w:snapToGrid w:val="0"/>
      <w:sz w:val="22"/>
    </w:rPr>
  </w:style>
  <w:style w:type="character" w:customStyle="1" w:styleId="HeaderChar">
    <w:name w:val="Header Char"/>
    <w:link w:val="Header"/>
    <w:rsid w:val="00371363"/>
    <w:rPr>
      <w:b/>
      <w:sz w:val="18"/>
      <w:lang w:val="fr-FR"/>
    </w:rPr>
  </w:style>
  <w:style w:type="paragraph" w:styleId="BodyText">
    <w:name w:val="Body Text"/>
    <w:basedOn w:val="Normal"/>
    <w:link w:val="BodyTextChar"/>
    <w:rsid w:val="00371363"/>
    <w:pPr>
      <w:tabs>
        <w:tab w:val="left" w:pos="-1417"/>
        <w:tab w:val="left" w:pos="-1134"/>
        <w:tab w:val="left" w:pos="-851"/>
        <w:tab w:val="left" w:pos="-566"/>
        <w:tab w:val="left" w:pos="-283"/>
        <w:tab w:val="left" w:pos="0"/>
        <w:tab w:val="left" w:pos="283"/>
        <w:tab w:val="left" w:pos="566"/>
        <w:tab w:val="left" w:pos="851"/>
        <w:tab w:val="left" w:pos="1134"/>
        <w:tab w:val="left" w:pos="1417"/>
        <w:tab w:val="left" w:pos="1700"/>
        <w:tab w:val="left" w:pos="1985"/>
        <w:tab w:val="left" w:pos="2268"/>
        <w:tab w:val="left" w:pos="2551"/>
        <w:tab w:val="left" w:pos="2834"/>
        <w:tab w:val="left" w:pos="3118"/>
        <w:tab w:val="left" w:pos="3402"/>
        <w:tab w:val="left" w:pos="3685"/>
        <w:tab w:val="left" w:pos="3968"/>
        <w:tab w:val="left" w:pos="4252"/>
        <w:tab w:val="left" w:pos="4535"/>
        <w:tab w:val="left" w:pos="4819"/>
        <w:tab w:val="left" w:pos="5102"/>
        <w:tab w:val="left" w:pos="5386"/>
        <w:tab w:val="left" w:pos="5669"/>
        <w:tab w:val="left" w:pos="5953"/>
        <w:tab w:val="left" w:pos="6236"/>
        <w:tab w:val="left" w:pos="6520"/>
        <w:tab w:val="left" w:pos="6803"/>
        <w:tab w:val="left" w:pos="7086"/>
        <w:tab w:val="left" w:pos="7370"/>
        <w:tab w:val="left" w:pos="7654"/>
        <w:tab w:val="left" w:pos="7937"/>
        <w:tab w:val="left" w:pos="8220"/>
        <w:tab w:val="left" w:pos="8504"/>
        <w:tab w:val="left" w:pos="8788"/>
        <w:tab w:val="left" w:pos="9071"/>
        <w:tab w:val="left" w:pos="9354"/>
        <w:tab w:val="left" w:pos="9637"/>
      </w:tabs>
      <w:spacing w:line="99" w:lineRule="atLeast"/>
    </w:pPr>
    <w:rPr>
      <w:rFonts w:ascii="CG Times (WN)" w:hAnsi="CG Times (WN)"/>
      <w:b/>
    </w:rPr>
  </w:style>
  <w:style w:type="character" w:customStyle="1" w:styleId="BodyTextChar">
    <w:name w:val="Body Text Char"/>
    <w:basedOn w:val="DefaultParagraphFont"/>
    <w:link w:val="BodyText"/>
    <w:rsid w:val="00371363"/>
    <w:rPr>
      <w:rFonts w:ascii="CG Times (WN)" w:hAnsi="CG Times (WN)"/>
      <w:b/>
      <w:lang w:val="fr-FR"/>
    </w:rPr>
  </w:style>
  <w:style w:type="character" w:customStyle="1" w:styleId="CharChar5">
    <w:name w:val="Char Char5"/>
    <w:semiHidden/>
    <w:locked/>
    <w:rsid w:val="00371363"/>
    <w:rPr>
      <w:b/>
      <w:sz w:val="18"/>
      <w:lang w:val="fr-FR" w:eastAsia="en-US" w:bidi="ar-SA"/>
    </w:rPr>
  </w:style>
  <w:style w:type="character" w:styleId="FollowedHyperlink">
    <w:name w:val="FollowedHyperlink"/>
    <w:uiPriority w:val="99"/>
    <w:rsid w:val="00A87ADC"/>
    <w:rPr>
      <w:color w:val="0000FF"/>
      <w:u w:val="none"/>
      <w:lang w:val="fr-FR"/>
    </w:rPr>
  </w:style>
  <w:style w:type="character" w:customStyle="1" w:styleId="FooterChar">
    <w:name w:val="Footer Char"/>
    <w:link w:val="Footer"/>
    <w:uiPriority w:val="99"/>
    <w:rsid w:val="00371363"/>
    <w:rPr>
      <w:sz w:val="18"/>
      <w:lang w:val="fr-FR"/>
    </w:rPr>
  </w:style>
  <w:style w:type="character" w:styleId="IntenseReference">
    <w:name w:val="Intense Reference"/>
    <w:basedOn w:val="DefaultParagraphFont"/>
    <w:qFormat/>
    <w:rsid w:val="00371363"/>
    <w:rPr>
      <w:b/>
      <w:bCs/>
      <w:smallCaps/>
      <w:color w:val="C0504D" w:themeColor="accent2"/>
      <w:spacing w:val="5"/>
      <w:u w:val="single"/>
      <w:lang w:val="fr-FR"/>
    </w:rPr>
  </w:style>
  <w:style w:type="character" w:customStyle="1" w:styleId="Heading1Char">
    <w:name w:val="Heading 1 Char"/>
    <w:basedOn w:val="DefaultParagraphFont"/>
    <w:link w:val="Heading1"/>
    <w:rsid w:val="00A87ADC"/>
    <w:rPr>
      <w:b/>
      <w:sz w:val="28"/>
      <w:szCs w:val="28"/>
      <w:lang w:val="fr-FR"/>
    </w:rPr>
  </w:style>
  <w:style w:type="character" w:customStyle="1" w:styleId="Heading2Char">
    <w:name w:val="Heading 2 Char"/>
    <w:basedOn w:val="DefaultParagraphFont"/>
    <w:link w:val="Heading2"/>
    <w:rsid w:val="00A87ADC"/>
    <w:rPr>
      <w:b/>
      <w:sz w:val="24"/>
      <w:szCs w:val="24"/>
      <w:lang w:val="fr-FR"/>
    </w:rPr>
  </w:style>
  <w:style w:type="character" w:customStyle="1" w:styleId="Heading3Char">
    <w:name w:val="Heading 3 Char"/>
    <w:basedOn w:val="DefaultParagraphFont"/>
    <w:link w:val="Heading3"/>
    <w:rsid w:val="00A87ADC"/>
    <w:rPr>
      <w:b/>
      <w:lang w:val="fr-FR"/>
    </w:rPr>
  </w:style>
  <w:style w:type="character" w:customStyle="1" w:styleId="Heading4Char">
    <w:name w:val="Heading 4 Char"/>
    <w:basedOn w:val="DefaultParagraphFont"/>
    <w:link w:val="Heading4"/>
    <w:rsid w:val="00A87ADC"/>
    <w:rPr>
      <w:b/>
      <w:lang w:val="fr-FR"/>
    </w:rPr>
  </w:style>
  <w:style w:type="character" w:customStyle="1" w:styleId="Heading5Char">
    <w:name w:val="Heading 5 Char"/>
    <w:basedOn w:val="DefaultParagraphFont"/>
    <w:link w:val="Heading5"/>
    <w:rsid w:val="00A87ADC"/>
    <w:rPr>
      <w:b/>
      <w:lang w:val="fr-FR"/>
    </w:rPr>
  </w:style>
  <w:style w:type="character" w:customStyle="1" w:styleId="Heading6Char">
    <w:name w:val="Heading 6 Char"/>
    <w:basedOn w:val="DefaultParagraphFont"/>
    <w:link w:val="Heading6"/>
    <w:rsid w:val="00371363"/>
    <w:rPr>
      <w:b/>
      <w:bCs/>
      <w:sz w:val="24"/>
      <w:lang w:val="fr-FR"/>
    </w:rPr>
  </w:style>
  <w:style w:type="character" w:customStyle="1" w:styleId="Heading7Char">
    <w:name w:val="Heading 7 Char"/>
    <w:basedOn w:val="DefaultParagraphFont"/>
    <w:link w:val="Heading7"/>
    <w:rsid w:val="00371363"/>
    <w:rPr>
      <w:snapToGrid w:val="0"/>
      <w:u w:val="single"/>
      <w:lang w:val="fr-FR"/>
    </w:rPr>
  </w:style>
  <w:style w:type="character" w:customStyle="1" w:styleId="Heading8Char">
    <w:name w:val="Heading 8 Char"/>
    <w:basedOn w:val="DefaultParagraphFont"/>
    <w:link w:val="Heading8"/>
    <w:rsid w:val="00371363"/>
    <w:rPr>
      <w:snapToGrid w:val="0"/>
      <w:u w:val="single"/>
      <w:lang w:val="fr-FR"/>
    </w:rPr>
  </w:style>
  <w:style w:type="character" w:customStyle="1" w:styleId="Heading9Char">
    <w:name w:val="Heading 9 Char"/>
    <w:basedOn w:val="DefaultParagraphFont"/>
    <w:link w:val="Heading9"/>
    <w:rsid w:val="00371363"/>
    <w:rPr>
      <w:snapToGrid w:val="0"/>
      <w:u w:val="single"/>
      <w:lang w:val="fr-FR"/>
    </w:rPr>
  </w:style>
  <w:style w:type="paragraph" w:styleId="BlockText">
    <w:name w:val="Block Text"/>
    <w:basedOn w:val="Normal"/>
    <w:rsid w:val="00371363"/>
    <w:pPr>
      <w:tabs>
        <w:tab w:val="left" w:pos="578"/>
        <w:tab w:val="left" w:pos="1170"/>
        <w:tab w:val="left" w:pos="1735"/>
      </w:tabs>
      <w:suppressAutoHyphens/>
      <w:ind w:left="1156" w:right="144" w:hanging="540"/>
    </w:pPr>
  </w:style>
  <w:style w:type="paragraph" w:styleId="Caption">
    <w:name w:val="caption"/>
    <w:basedOn w:val="Normal"/>
    <w:next w:val="Normal"/>
    <w:qFormat/>
    <w:rsid w:val="00371363"/>
    <w:pPr>
      <w:widowControl w:val="0"/>
    </w:pPr>
    <w:rPr>
      <w:snapToGrid w:val="0"/>
      <w:sz w:val="24"/>
    </w:rPr>
  </w:style>
  <w:style w:type="paragraph" w:customStyle="1" w:styleId="Level1">
    <w:name w:val="Level1"/>
    <w:basedOn w:val="Normal"/>
    <w:autoRedefine/>
    <w:rsid w:val="00371363"/>
    <w:pPr>
      <w:keepNext/>
      <w:keepLines/>
      <w:tabs>
        <w:tab w:val="left" w:pos="1276"/>
      </w:tabs>
      <w:suppressAutoHyphens/>
      <w:spacing w:after="120"/>
    </w:pPr>
    <w:rPr>
      <w:sz w:val="22"/>
      <w:szCs w:val="22"/>
    </w:rPr>
  </w:style>
  <w:style w:type="paragraph" w:customStyle="1" w:styleId="Anxhead">
    <w:name w:val="Anx head"/>
    <w:basedOn w:val="Normal"/>
    <w:autoRedefine/>
    <w:rsid w:val="00371363"/>
    <w:pPr>
      <w:tabs>
        <w:tab w:val="left" w:pos="624"/>
      </w:tabs>
      <w:ind w:left="1247"/>
    </w:pPr>
    <w:rPr>
      <w:b/>
      <w:sz w:val="24"/>
      <w:szCs w:val="24"/>
    </w:rPr>
  </w:style>
  <w:style w:type="paragraph" w:customStyle="1" w:styleId="Anxtitle">
    <w:name w:val="Anx title"/>
    <w:basedOn w:val="Normal"/>
    <w:autoRedefine/>
    <w:rsid w:val="00371363"/>
    <w:pPr>
      <w:spacing w:before="360" w:after="240"/>
      <w:ind w:left="1247"/>
    </w:pPr>
    <w:rPr>
      <w:b/>
      <w:sz w:val="28"/>
      <w:szCs w:val="28"/>
    </w:rPr>
  </w:style>
  <w:style w:type="paragraph" w:customStyle="1" w:styleId="mainpara">
    <w:name w:val="mainpara"/>
    <w:basedOn w:val="Normal"/>
    <w:rsid w:val="00371363"/>
    <w:pPr>
      <w:tabs>
        <w:tab w:val="left" w:pos="720"/>
        <w:tab w:val="left" w:pos="1440"/>
      </w:tabs>
    </w:pPr>
    <w:rPr>
      <w:snapToGrid w:val="0"/>
      <w:sz w:val="22"/>
      <w:szCs w:val="22"/>
      <w:lang w:eastAsia="zh-TW"/>
    </w:rPr>
  </w:style>
  <w:style w:type="paragraph" w:customStyle="1" w:styleId="Paralevel10">
    <w:name w:val="Para level1"/>
    <w:basedOn w:val="Normal"/>
    <w:rsid w:val="00371363"/>
    <w:pPr>
      <w:numPr>
        <w:numId w:val="3"/>
      </w:numPr>
      <w:spacing w:after="120"/>
    </w:pPr>
  </w:style>
  <w:style w:type="paragraph" w:customStyle="1" w:styleId="StyleParalevel110ptAfter6pt">
    <w:name w:val="Style Para level1 + 10 pt After:  6 pt"/>
    <w:basedOn w:val="Paralevel10"/>
    <w:rsid w:val="00371363"/>
  </w:style>
  <w:style w:type="paragraph" w:styleId="BodyTextIndent">
    <w:name w:val="Body Text Indent"/>
    <w:basedOn w:val="Normal"/>
    <w:link w:val="BodyTextIndentChar"/>
    <w:rsid w:val="00371363"/>
    <w:pPr>
      <w:spacing w:after="120"/>
      <w:ind w:left="360"/>
    </w:pPr>
    <w:rPr>
      <w:sz w:val="24"/>
      <w:szCs w:val="24"/>
      <w:lang w:eastAsia="x-none"/>
    </w:rPr>
  </w:style>
  <w:style w:type="character" w:customStyle="1" w:styleId="BodyTextIndentChar">
    <w:name w:val="Body Text Indent Char"/>
    <w:basedOn w:val="DefaultParagraphFont"/>
    <w:link w:val="BodyTextIndent"/>
    <w:rsid w:val="00371363"/>
    <w:rPr>
      <w:sz w:val="24"/>
      <w:szCs w:val="24"/>
      <w:lang w:val="fr-FR" w:eastAsia="x-none"/>
    </w:rPr>
  </w:style>
  <w:style w:type="paragraph" w:customStyle="1" w:styleId="HCh">
    <w:name w:val="_ H _Ch"/>
    <w:basedOn w:val="Normal"/>
    <w:next w:val="Normal"/>
    <w:rsid w:val="00371363"/>
    <w:pPr>
      <w:keepNext/>
      <w:keepLines/>
      <w:suppressAutoHyphens/>
      <w:spacing w:line="300" w:lineRule="exact"/>
      <w:outlineLvl w:val="0"/>
    </w:pPr>
    <w:rPr>
      <w:b/>
      <w:spacing w:val="-2"/>
      <w:w w:val="103"/>
      <w:kern w:val="14"/>
      <w:sz w:val="28"/>
    </w:rPr>
  </w:style>
  <w:style w:type="paragraph" w:customStyle="1" w:styleId="H1">
    <w:name w:val="_ H_1"/>
    <w:basedOn w:val="Normal"/>
    <w:next w:val="Normal"/>
    <w:rsid w:val="00371363"/>
    <w:pPr>
      <w:keepNext/>
      <w:keepLines/>
      <w:suppressAutoHyphens/>
      <w:spacing w:line="270" w:lineRule="exact"/>
      <w:outlineLvl w:val="0"/>
    </w:pPr>
    <w:rPr>
      <w:b/>
      <w:spacing w:val="4"/>
      <w:w w:val="103"/>
      <w:kern w:val="14"/>
      <w:sz w:val="24"/>
    </w:rPr>
  </w:style>
  <w:style w:type="character" w:styleId="Strong">
    <w:name w:val="Strong"/>
    <w:qFormat/>
    <w:rsid w:val="00371363"/>
    <w:rPr>
      <w:b/>
      <w:bCs/>
      <w:lang w:val="fr-FR"/>
    </w:rPr>
  </w:style>
  <w:style w:type="paragraph" w:customStyle="1" w:styleId="main">
    <w:name w:val="main"/>
    <w:basedOn w:val="Normal"/>
    <w:autoRedefine/>
    <w:rsid w:val="00371363"/>
    <w:pPr>
      <w:widowControl w:val="0"/>
      <w:tabs>
        <w:tab w:val="left" w:pos="720"/>
      </w:tabs>
      <w:spacing w:line="360" w:lineRule="auto"/>
    </w:pPr>
    <w:rPr>
      <w:snapToGrid w:val="0"/>
    </w:rPr>
  </w:style>
  <w:style w:type="paragraph" w:styleId="BodyText2">
    <w:name w:val="Body Text 2"/>
    <w:basedOn w:val="Normal"/>
    <w:link w:val="BodyText2Char"/>
    <w:rsid w:val="00371363"/>
    <w:pPr>
      <w:spacing w:after="120" w:line="480" w:lineRule="auto"/>
    </w:pPr>
    <w:rPr>
      <w:sz w:val="22"/>
    </w:rPr>
  </w:style>
  <w:style w:type="character" w:customStyle="1" w:styleId="BodyText2Char">
    <w:name w:val="Body Text 2 Char"/>
    <w:basedOn w:val="DefaultParagraphFont"/>
    <w:link w:val="BodyText2"/>
    <w:rsid w:val="00371363"/>
    <w:rPr>
      <w:sz w:val="22"/>
      <w:lang w:val="fr-FR"/>
    </w:rPr>
  </w:style>
  <w:style w:type="paragraph" w:customStyle="1" w:styleId="Anxsubhead">
    <w:name w:val="Anx subhead"/>
    <w:basedOn w:val="Normal"/>
    <w:rsid w:val="00371363"/>
    <w:pPr>
      <w:ind w:left="1247"/>
    </w:pPr>
    <w:rPr>
      <w:b/>
      <w:bCs/>
      <w:sz w:val="24"/>
      <w:szCs w:val="24"/>
    </w:rPr>
  </w:style>
  <w:style w:type="paragraph" w:styleId="EndnoteText">
    <w:name w:val="endnote text"/>
    <w:basedOn w:val="Normal"/>
    <w:link w:val="EndnoteTextChar"/>
    <w:rsid w:val="00371363"/>
    <w:pPr>
      <w:widowControl w:val="0"/>
    </w:pPr>
    <w:rPr>
      <w:rFonts w:ascii="Courier New" w:hAnsi="Courier New"/>
      <w:snapToGrid w:val="0"/>
      <w:sz w:val="24"/>
    </w:rPr>
  </w:style>
  <w:style w:type="character" w:customStyle="1" w:styleId="EndnoteTextChar">
    <w:name w:val="Endnote Text Char"/>
    <w:basedOn w:val="DefaultParagraphFont"/>
    <w:link w:val="EndnoteText"/>
    <w:rsid w:val="00371363"/>
    <w:rPr>
      <w:rFonts w:ascii="Courier New" w:hAnsi="Courier New"/>
      <w:snapToGrid w:val="0"/>
      <w:sz w:val="24"/>
      <w:lang w:val="fr-FR"/>
    </w:rPr>
  </w:style>
  <w:style w:type="paragraph" w:styleId="NormalWeb">
    <w:name w:val="Normal (Web)"/>
    <w:basedOn w:val="Normal"/>
    <w:rsid w:val="00371363"/>
    <w:pPr>
      <w:spacing w:before="100" w:beforeAutospacing="1" w:after="100" w:afterAutospacing="1"/>
    </w:pPr>
    <w:rPr>
      <w:sz w:val="24"/>
      <w:szCs w:val="24"/>
    </w:rPr>
  </w:style>
  <w:style w:type="character" w:customStyle="1" w:styleId="Paralevel1Char">
    <w:name w:val="Para level1 Char"/>
    <w:rsid w:val="00371363"/>
    <w:rPr>
      <w:lang w:val="fr-FR" w:eastAsia="en-US" w:bidi="ar-SA"/>
    </w:rPr>
  </w:style>
  <w:style w:type="paragraph" w:customStyle="1" w:styleId="SingleTxt">
    <w:name w:val="__Single Txt"/>
    <w:basedOn w:val="Normal"/>
    <w:rsid w:val="00371363"/>
    <w:pPr>
      <w:tabs>
        <w:tab w:val="clear" w:pos="1247"/>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spacing w:val="4"/>
      <w:w w:val="103"/>
      <w:kern w:val="14"/>
    </w:rPr>
  </w:style>
  <w:style w:type="paragraph" w:customStyle="1" w:styleId="Paralevel2">
    <w:name w:val="Para level2"/>
    <w:basedOn w:val="Paralevel10"/>
    <w:autoRedefine/>
    <w:rsid w:val="00371363"/>
    <w:pPr>
      <w:numPr>
        <w:numId w:val="0"/>
      </w:numPr>
      <w:suppressAutoHyphens/>
      <w:ind w:left="1247" w:firstLine="624"/>
    </w:pPr>
  </w:style>
  <w:style w:type="character" w:customStyle="1" w:styleId="Paralevel2Char">
    <w:name w:val="Para level2 Char"/>
    <w:basedOn w:val="Paralevel1Char"/>
    <w:rsid w:val="00371363"/>
    <w:rPr>
      <w:lang w:val="fr-FR" w:eastAsia="en-US" w:bidi="ar-SA"/>
    </w:rPr>
  </w:style>
  <w:style w:type="paragraph" w:customStyle="1" w:styleId="Paralevel3">
    <w:name w:val="Para level3"/>
    <w:basedOn w:val="Paralevel2"/>
    <w:rsid w:val="00371363"/>
    <w:pPr>
      <w:numPr>
        <w:numId w:val="4"/>
      </w:numPr>
      <w:tabs>
        <w:tab w:val="clear" w:pos="2892"/>
      </w:tabs>
      <w:ind w:left="3119" w:hanging="624"/>
    </w:pPr>
  </w:style>
  <w:style w:type="paragraph" w:styleId="BodyTextIndent2">
    <w:name w:val="Body Text Indent 2"/>
    <w:basedOn w:val="Normal"/>
    <w:link w:val="BodyTextIndent2Char"/>
    <w:rsid w:val="00371363"/>
    <w:pPr>
      <w:spacing w:before="120"/>
      <w:ind w:left="1248" w:firstLine="624"/>
    </w:pPr>
  </w:style>
  <w:style w:type="character" w:customStyle="1" w:styleId="BodyTextIndent2Char">
    <w:name w:val="Body Text Indent 2 Char"/>
    <w:basedOn w:val="DefaultParagraphFont"/>
    <w:link w:val="BodyTextIndent2"/>
    <w:rsid w:val="00371363"/>
    <w:rPr>
      <w:lang w:val="fr-FR"/>
    </w:rPr>
  </w:style>
  <w:style w:type="paragraph" w:styleId="BodyText3">
    <w:name w:val="Body Text 3"/>
    <w:basedOn w:val="Normal"/>
    <w:link w:val="BodyText3Char"/>
    <w:rsid w:val="00371363"/>
    <w:pPr>
      <w:spacing w:after="120"/>
    </w:pPr>
    <w:rPr>
      <w:sz w:val="16"/>
      <w:szCs w:val="16"/>
    </w:rPr>
  </w:style>
  <w:style w:type="character" w:customStyle="1" w:styleId="BodyText3Char">
    <w:name w:val="Body Text 3 Char"/>
    <w:basedOn w:val="DefaultParagraphFont"/>
    <w:link w:val="BodyText3"/>
    <w:rsid w:val="00371363"/>
    <w:rPr>
      <w:sz w:val="16"/>
      <w:szCs w:val="16"/>
      <w:lang w:val="fr-FR"/>
    </w:rPr>
  </w:style>
  <w:style w:type="paragraph" w:customStyle="1" w:styleId="Level3">
    <w:name w:val="Level3"/>
    <w:basedOn w:val="Level2"/>
    <w:rsid w:val="00371363"/>
    <w:pPr>
      <w:numPr>
        <w:numId w:val="0"/>
      </w:numPr>
    </w:pPr>
    <w:rPr>
      <w:szCs w:val="22"/>
    </w:rPr>
  </w:style>
  <w:style w:type="paragraph" w:styleId="BodyTextIndent3">
    <w:name w:val="Body Text Indent 3"/>
    <w:basedOn w:val="Normal"/>
    <w:link w:val="BodyTextIndent3Char"/>
    <w:rsid w:val="00371363"/>
    <w:pPr>
      <w:ind w:left="567"/>
    </w:pPr>
    <w:rPr>
      <w:sz w:val="22"/>
      <w:szCs w:val="22"/>
    </w:rPr>
  </w:style>
  <w:style w:type="character" w:customStyle="1" w:styleId="BodyTextIndent3Char">
    <w:name w:val="Body Text Indent 3 Char"/>
    <w:basedOn w:val="DefaultParagraphFont"/>
    <w:link w:val="BodyTextIndent3"/>
    <w:rsid w:val="00371363"/>
    <w:rPr>
      <w:sz w:val="22"/>
      <w:szCs w:val="22"/>
      <w:lang w:val="fr-FR"/>
    </w:rPr>
  </w:style>
  <w:style w:type="paragraph" w:customStyle="1" w:styleId="Spacer">
    <w:name w:val="Spacer"/>
    <w:basedOn w:val="Normal"/>
    <w:rsid w:val="00371363"/>
    <w:pPr>
      <w:tabs>
        <w:tab w:val="left" w:pos="-720"/>
        <w:tab w:val="left" w:pos="0"/>
        <w:tab w:val="left" w:pos="720"/>
      </w:tabs>
      <w:suppressAutoHyphens/>
    </w:pPr>
    <w:rPr>
      <w:sz w:val="10"/>
    </w:rPr>
  </w:style>
  <w:style w:type="paragraph" w:customStyle="1" w:styleId="Spacer1">
    <w:name w:val="Spacer1"/>
    <w:basedOn w:val="Normal"/>
    <w:rsid w:val="00371363"/>
    <w:rPr>
      <w:b/>
    </w:rPr>
  </w:style>
  <w:style w:type="paragraph" w:customStyle="1" w:styleId="Listings">
    <w:name w:val="Listings"/>
    <w:basedOn w:val="Normal"/>
    <w:rsid w:val="00371363"/>
    <w:pPr>
      <w:spacing w:after="40"/>
    </w:pPr>
  </w:style>
  <w:style w:type="paragraph" w:customStyle="1" w:styleId="ListBold">
    <w:name w:val="ListBold"/>
    <w:basedOn w:val="Listings"/>
    <w:rsid w:val="00371363"/>
    <w:rPr>
      <w:b/>
    </w:rPr>
  </w:style>
  <w:style w:type="paragraph" w:customStyle="1" w:styleId="Ripeat">
    <w:name w:val="Ripeat"/>
    <w:basedOn w:val="Normal"/>
    <w:next w:val="Normal"/>
    <w:rsid w:val="00371363"/>
    <w:rPr>
      <w:i/>
    </w:rPr>
  </w:style>
  <w:style w:type="paragraph" w:customStyle="1" w:styleId="biblio">
    <w:name w:val="biblio"/>
    <w:basedOn w:val="Normal"/>
    <w:rsid w:val="00371363"/>
    <w:pPr>
      <w:widowControl w:val="0"/>
      <w:tabs>
        <w:tab w:val="left" w:pos="90"/>
      </w:tabs>
    </w:pPr>
    <w:rPr>
      <w:snapToGrid w:val="0"/>
      <w:color w:val="000000"/>
      <w:sz w:val="22"/>
    </w:rPr>
  </w:style>
  <w:style w:type="paragraph" w:customStyle="1" w:styleId="TH">
    <w:name w:val="TH"/>
    <w:basedOn w:val="Normal"/>
    <w:next w:val="Normal"/>
    <w:rsid w:val="00371363"/>
    <w:pPr>
      <w:widowControl w:val="0"/>
      <w:spacing w:before="80"/>
    </w:pPr>
    <w:rPr>
      <w:rFonts w:ascii="Arial Narrow" w:hAnsi="Arial Narrow"/>
      <w:b/>
      <w:snapToGrid w:val="0"/>
      <w:color w:val="000000"/>
      <w:sz w:val="24"/>
    </w:rPr>
  </w:style>
  <w:style w:type="character" w:customStyle="1" w:styleId="EmailStyle62">
    <w:name w:val="EmailStyle62"/>
    <w:rsid w:val="00371363"/>
    <w:rPr>
      <w:rFonts w:ascii="Arial" w:hAnsi="Arial" w:cs="Arial"/>
      <w:color w:val="000000"/>
      <w:sz w:val="20"/>
      <w:lang w:val="fr-FR"/>
    </w:rPr>
  </w:style>
  <w:style w:type="paragraph" w:customStyle="1" w:styleId="Special2">
    <w:name w:val="Special 2"/>
    <w:basedOn w:val="Special1"/>
    <w:rsid w:val="00371363"/>
    <w:pPr>
      <w:tabs>
        <w:tab w:val="num" w:pos="360"/>
      </w:tabs>
      <w:spacing w:before="120"/>
      <w:ind w:left="1985" w:hanging="284"/>
    </w:pPr>
  </w:style>
  <w:style w:type="paragraph" w:customStyle="1" w:styleId="Special1">
    <w:name w:val="Special 1"/>
    <w:basedOn w:val="BodyText"/>
    <w:rsid w:val="00371363"/>
    <w:pPr>
      <w:tabs>
        <w:tab w:val="clear" w:pos="-1417"/>
        <w:tab w:val="clear" w:pos="-1134"/>
        <w:tab w:val="clear" w:pos="-851"/>
        <w:tab w:val="clear" w:pos="-566"/>
        <w:tab w:val="clear" w:pos="-283"/>
        <w:tab w:val="clear" w:pos="0"/>
        <w:tab w:val="clear" w:pos="283"/>
        <w:tab w:val="clear" w:pos="566"/>
        <w:tab w:val="clear" w:pos="851"/>
        <w:tab w:val="clear" w:pos="1134"/>
        <w:tab w:val="clear" w:pos="1417"/>
        <w:tab w:val="clear" w:pos="1700"/>
        <w:tab w:val="clear" w:pos="1985"/>
        <w:tab w:val="clear" w:pos="2268"/>
        <w:tab w:val="clear" w:pos="2551"/>
        <w:tab w:val="clear" w:pos="2834"/>
        <w:tab w:val="clear" w:pos="3118"/>
        <w:tab w:val="clear" w:pos="3402"/>
        <w:tab w:val="clear" w:pos="3685"/>
        <w:tab w:val="clear" w:pos="3968"/>
        <w:tab w:val="clear" w:pos="4252"/>
        <w:tab w:val="clear" w:pos="4535"/>
        <w:tab w:val="clear" w:pos="4819"/>
        <w:tab w:val="clear" w:pos="5102"/>
        <w:tab w:val="clear" w:pos="5386"/>
        <w:tab w:val="clear" w:pos="5669"/>
        <w:tab w:val="clear" w:pos="5953"/>
        <w:tab w:val="clear" w:pos="6236"/>
        <w:tab w:val="clear" w:pos="6520"/>
        <w:tab w:val="clear" w:pos="6803"/>
        <w:tab w:val="clear" w:pos="7086"/>
        <w:tab w:val="clear" w:pos="7370"/>
        <w:tab w:val="clear" w:pos="7654"/>
        <w:tab w:val="clear" w:pos="7937"/>
        <w:tab w:val="clear" w:pos="8220"/>
        <w:tab w:val="clear" w:pos="8504"/>
        <w:tab w:val="clear" w:pos="8788"/>
        <w:tab w:val="clear" w:pos="9071"/>
        <w:tab w:val="clear" w:pos="9354"/>
        <w:tab w:val="clear" w:pos="9637"/>
      </w:tabs>
      <w:spacing w:before="240" w:line="240" w:lineRule="auto"/>
      <w:ind w:left="1701" w:hanging="1701"/>
      <w:jc w:val="both"/>
    </w:pPr>
    <w:rPr>
      <w:rFonts w:ascii="Arial" w:hAnsi="Arial" w:cs="Arial"/>
      <w:b w:val="0"/>
      <w:sz w:val="24"/>
    </w:rPr>
  </w:style>
  <w:style w:type="paragraph" w:customStyle="1" w:styleId="BodyText4">
    <w:name w:val="Body Text 4"/>
    <w:basedOn w:val="Normal"/>
    <w:next w:val="Normal"/>
    <w:rsid w:val="00371363"/>
    <w:pPr>
      <w:autoSpaceDE w:val="0"/>
      <w:autoSpaceDN w:val="0"/>
      <w:adjustRightInd w:val="0"/>
      <w:spacing w:before="160"/>
    </w:pPr>
    <w:rPr>
      <w:rFonts w:ascii="TimesNewRoman" w:hAnsi="TimesNewRoman"/>
      <w:sz w:val="24"/>
      <w:szCs w:val="24"/>
    </w:rPr>
  </w:style>
  <w:style w:type="paragraph" w:customStyle="1" w:styleId="Default">
    <w:name w:val="Default"/>
    <w:rsid w:val="00371363"/>
    <w:pPr>
      <w:autoSpaceDE w:val="0"/>
      <w:autoSpaceDN w:val="0"/>
      <w:adjustRightInd w:val="0"/>
    </w:pPr>
    <w:rPr>
      <w:rFonts w:ascii="TimesNewRoman" w:hAnsi="TimesNewRoman"/>
      <w:lang w:val="fr-FR"/>
    </w:rPr>
  </w:style>
  <w:style w:type="paragraph" w:styleId="HTMLPreformatted">
    <w:name w:val="HTML Preformatted"/>
    <w:basedOn w:val="Normal"/>
    <w:link w:val="HTMLPreformattedChar"/>
    <w:rsid w:val="00371363"/>
    <w:pPr>
      <w:tabs>
        <w:tab w:val="clear" w:pos="181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rPr>
  </w:style>
  <w:style w:type="character" w:customStyle="1" w:styleId="HTMLPreformattedChar">
    <w:name w:val="HTML Preformatted Char"/>
    <w:basedOn w:val="DefaultParagraphFont"/>
    <w:link w:val="HTMLPreformatted"/>
    <w:rsid w:val="00371363"/>
    <w:rPr>
      <w:rFonts w:ascii="Arial Unicode MS" w:eastAsia="Arial Unicode MS" w:hAnsi="Arial Unicode MS"/>
      <w:lang w:val="fr-FR"/>
    </w:rPr>
  </w:style>
  <w:style w:type="paragraph" w:styleId="DocumentMap">
    <w:name w:val="Document Map"/>
    <w:basedOn w:val="Normal"/>
    <w:link w:val="DocumentMapChar"/>
    <w:rsid w:val="00371363"/>
    <w:pPr>
      <w:shd w:val="clear" w:color="auto" w:fill="000080"/>
    </w:pPr>
    <w:rPr>
      <w:rFonts w:ascii="Tahoma" w:hAnsi="Tahoma"/>
    </w:rPr>
  </w:style>
  <w:style w:type="character" w:customStyle="1" w:styleId="DocumentMapChar">
    <w:name w:val="Document Map Char"/>
    <w:basedOn w:val="DefaultParagraphFont"/>
    <w:link w:val="DocumentMap"/>
    <w:rsid w:val="00371363"/>
    <w:rPr>
      <w:rFonts w:ascii="Tahoma" w:hAnsi="Tahoma"/>
      <w:shd w:val="clear" w:color="auto" w:fill="000080"/>
      <w:lang w:val="fr-FR"/>
    </w:rPr>
  </w:style>
  <w:style w:type="character" w:customStyle="1" w:styleId="NormalnumberChar">
    <w:name w:val="Normal_number Char"/>
    <w:link w:val="Normalnumber"/>
    <w:locked/>
    <w:rsid w:val="00371363"/>
    <w:rPr>
      <w:lang w:val="fr-FR" w:eastAsia="zh-CN"/>
    </w:rPr>
  </w:style>
  <w:style w:type="character" w:customStyle="1" w:styleId="Normal-poolChar">
    <w:name w:val="Normal-pool Char"/>
    <w:link w:val="Normal-pool"/>
    <w:rsid w:val="00371363"/>
    <w:rPr>
      <w:rFonts w:eastAsia="SimSun"/>
      <w:lang w:val="fr-FR" w:eastAsia="zh-CN"/>
    </w:rPr>
  </w:style>
  <w:style w:type="character" w:customStyle="1" w:styleId="NormalNonumberChar">
    <w:name w:val="Normal_No_number Char"/>
    <w:link w:val="NormalNonumber"/>
    <w:locked/>
    <w:rsid w:val="00371363"/>
    <w:rPr>
      <w:rFonts w:eastAsia="SimSun"/>
      <w:lang w:val="fr-FR" w:eastAsia="zh-CN"/>
    </w:rPr>
  </w:style>
  <w:style w:type="paragraph" w:customStyle="1" w:styleId="std">
    <w:name w:val="std"/>
    <w:basedOn w:val="Normal"/>
    <w:rsid w:val="00371363"/>
    <w:rPr>
      <w:sz w:val="24"/>
      <w:szCs w:val="24"/>
      <w:lang w:eastAsia="fr-FR"/>
    </w:rPr>
  </w:style>
  <w:style w:type="paragraph" w:customStyle="1" w:styleId="paralevel1">
    <w:name w:val="para level 1"/>
    <w:basedOn w:val="Normal"/>
    <w:rsid w:val="00371363"/>
    <w:pPr>
      <w:numPr>
        <w:numId w:val="6"/>
      </w:numPr>
    </w:pPr>
    <w:rPr>
      <w:sz w:val="22"/>
    </w:rPr>
  </w:style>
  <w:style w:type="numbering" w:customStyle="1" w:styleId="NoList1">
    <w:name w:val="No List1"/>
    <w:next w:val="NoList"/>
    <w:uiPriority w:val="99"/>
    <w:semiHidden/>
    <w:unhideWhenUsed/>
    <w:rsid w:val="00371363"/>
  </w:style>
  <w:style w:type="paragraph" w:customStyle="1" w:styleId="StyleParalevel2Left0cmFirstline0cm">
    <w:name w:val="Style Para level 2 + Left:  0 cm First line:  0 cm"/>
    <w:basedOn w:val="Normal"/>
    <w:rsid w:val="00371363"/>
    <w:pPr>
      <w:suppressAutoHyphens/>
      <w:spacing w:after="120"/>
      <w:ind w:left="1247" w:firstLine="624"/>
    </w:pPr>
  </w:style>
  <w:style w:type="paragraph" w:customStyle="1" w:styleId="StyleAnxheadAfter12pt">
    <w:name w:val="Style Anx head + After:  12 pt"/>
    <w:basedOn w:val="Normal"/>
    <w:rsid w:val="00371363"/>
    <w:pPr>
      <w:spacing w:after="240"/>
      <w:ind w:left="1247"/>
    </w:pPr>
    <w:rPr>
      <w:b/>
      <w:bCs/>
      <w:sz w:val="28"/>
    </w:rPr>
  </w:style>
  <w:style w:type="paragraph" w:customStyle="1" w:styleId="ListAD">
    <w:name w:val="ListAD"/>
    <w:basedOn w:val="Listings"/>
    <w:rsid w:val="00371363"/>
    <w:pPr>
      <w:spacing w:after="0"/>
    </w:pPr>
  </w:style>
  <w:style w:type="paragraph" w:customStyle="1" w:styleId="Substance">
    <w:name w:val="Substance"/>
    <w:basedOn w:val="Heading1"/>
    <w:rsid w:val="00371363"/>
    <w:pPr>
      <w:spacing w:before="160" w:after="160"/>
      <w:ind w:left="0" w:firstLine="0"/>
      <w:outlineLvl w:val="9"/>
    </w:pPr>
    <w:rPr>
      <w:bCs/>
      <w:kern w:val="28"/>
      <w:sz w:val="48"/>
      <w:szCs w:val="48"/>
    </w:rPr>
  </w:style>
  <w:style w:type="paragraph" w:customStyle="1" w:styleId="RefNo">
    <w:name w:val="RefNo"/>
    <w:basedOn w:val="Listings"/>
    <w:rsid w:val="00371363"/>
    <w:pPr>
      <w:spacing w:after="0"/>
      <w:jc w:val="right"/>
    </w:pPr>
    <w:rPr>
      <w:i/>
      <w:iCs/>
    </w:rPr>
  </w:style>
  <w:style w:type="paragraph" w:customStyle="1" w:styleId="Annex">
    <w:name w:val="Annex"/>
    <w:basedOn w:val="Normal"/>
    <w:next w:val="Normal"/>
    <w:autoRedefine/>
    <w:rsid w:val="00371363"/>
    <w:rPr>
      <w:sz w:val="22"/>
      <w:szCs w:val="22"/>
    </w:rPr>
  </w:style>
  <w:style w:type="paragraph" w:customStyle="1" w:styleId="ca">
    <w:name w:val="ca"/>
    <w:basedOn w:val="Normal"/>
    <w:autoRedefine/>
    <w:rsid w:val="00371363"/>
    <w:pPr>
      <w:widowControl w:val="0"/>
    </w:pPr>
    <w:rPr>
      <w:color w:val="000000"/>
    </w:rPr>
  </w:style>
  <w:style w:type="paragraph" w:customStyle="1" w:styleId="ad">
    <w:name w:val="ad"/>
    <w:basedOn w:val="Normal"/>
    <w:rsid w:val="00371363"/>
    <w:pPr>
      <w:widowControl w:val="0"/>
      <w:tabs>
        <w:tab w:val="left" w:pos="6480"/>
        <w:tab w:val="left" w:pos="7200"/>
      </w:tabs>
    </w:pPr>
    <w:rPr>
      <w:rFonts w:ascii="Abadi MT Condensed" w:hAnsi="Abadi MT Condensed"/>
      <w:color w:val="000000"/>
    </w:rPr>
  </w:style>
  <w:style w:type="character" w:styleId="Emphasis">
    <w:name w:val="Emphasis"/>
    <w:qFormat/>
    <w:rsid w:val="00371363"/>
    <w:rPr>
      <w:rFonts w:cs="Times New Roman"/>
      <w:i/>
      <w:iCs/>
      <w:lang w:val="fr-FR"/>
    </w:rPr>
  </w:style>
  <w:style w:type="character" w:customStyle="1" w:styleId="EmailStyle49">
    <w:name w:val="EmailStyle49"/>
    <w:rsid w:val="00371363"/>
    <w:rPr>
      <w:rFonts w:ascii="Arial" w:hAnsi="Arial" w:cs="Arial"/>
      <w:color w:val="000000"/>
      <w:sz w:val="20"/>
      <w:szCs w:val="20"/>
      <w:lang w:val="fr-FR"/>
    </w:rPr>
  </w:style>
  <w:style w:type="character" w:styleId="EndnoteReference">
    <w:name w:val="endnote reference"/>
    <w:rsid w:val="00371363"/>
    <w:rPr>
      <w:rFonts w:cs="Times New Roman"/>
      <w:vertAlign w:val="superscript"/>
      <w:lang w:val="fr-FR"/>
    </w:rPr>
  </w:style>
  <w:style w:type="character" w:customStyle="1" w:styleId="EmailStyle54">
    <w:name w:val="EmailStyle54"/>
    <w:rsid w:val="00371363"/>
    <w:rPr>
      <w:rFonts w:ascii="Arial" w:hAnsi="Arial" w:cs="Arial"/>
      <w:color w:val="000000"/>
      <w:sz w:val="20"/>
      <w:szCs w:val="20"/>
      <w:lang w:val="fr-FR"/>
    </w:rPr>
  </w:style>
  <w:style w:type="numbering" w:customStyle="1" w:styleId="NoList11">
    <w:name w:val="No List11"/>
    <w:next w:val="NoList"/>
    <w:semiHidden/>
    <w:rsid w:val="00371363"/>
  </w:style>
  <w:style w:type="table" w:customStyle="1" w:styleId="TableGrid1">
    <w:name w:val="Table Grid1"/>
    <w:basedOn w:val="TableNormal"/>
    <w:next w:val="TableGrid"/>
    <w:rsid w:val="00371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20">
    <w:name w:val="EmailStyle20"/>
    <w:rsid w:val="00371363"/>
    <w:rPr>
      <w:rFonts w:ascii="Arial" w:hAnsi="Arial" w:cs="Arial"/>
      <w:color w:val="000000"/>
      <w:sz w:val="20"/>
      <w:szCs w:val="20"/>
      <w:lang w:val="fr-FR"/>
    </w:rPr>
  </w:style>
  <w:style w:type="character" w:customStyle="1" w:styleId="emailstyle15">
    <w:name w:val="emailstyle15"/>
    <w:rsid w:val="00371363"/>
    <w:rPr>
      <w:rFonts w:ascii="Arial" w:hAnsi="Arial" w:cs="Arial"/>
      <w:color w:val="000000"/>
      <w:sz w:val="20"/>
      <w:szCs w:val="20"/>
      <w:lang w:val="fr-FR"/>
    </w:rPr>
  </w:style>
  <w:style w:type="numbering" w:customStyle="1" w:styleId="Normallist1">
    <w:name w:val="Normal_list1"/>
    <w:basedOn w:val="NoList"/>
    <w:rsid w:val="00371363"/>
  </w:style>
  <w:style w:type="numbering" w:customStyle="1" w:styleId="Normallist2">
    <w:name w:val="Normal_list2"/>
    <w:basedOn w:val="NoList"/>
    <w:rsid w:val="00371363"/>
  </w:style>
  <w:style w:type="numbering" w:customStyle="1" w:styleId="NoList2">
    <w:name w:val="No List2"/>
    <w:next w:val="NoList"/>
    <w:semiHidden/>
    <w:rsid w:val="00371363"/>
  </w:style>
  <w:style w:type="table" w:customStyle="1" w:styleId="TableGrid2">
    <w:name w:val="Table Grid2"/>
    <w:basedOn w:val="TableNormal"/>
    <w:next w:val="TableGrid"/>
    <w:rsid w:val="00371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next w:val="TableNormal"/>
    <w:semiHidden/>
    <w:rsid w:val="00371363"/>
    <w:rPr>
      <w:lang w:val="fr-FR" w:eastAsia="en-GB"/>
    </w:rPr>
    <w:tblPr>
      <w:tblInd w:w="0" w:type="dxa"/>
      <w:tblCellMar>
        <w:top w:w="0" w:type="dxa"/>
        <w:left w:w="108" w:type="dxa"/>
        <w:bottom w:w="0" w:type="dxa"/>
        <w:right w:w="108" w:type="dxa"/>
      </w:tblCellMar>
    </w:tblPr>
  </w:style>
  <w:style w:type="numbering" w:customStyle="1" w:styleId="NoList12">
    <w:name w:val="No List12"/>
    <w:next w:val="NoList"/>
    <w:semiHidden/>
    <w:rsid w:val="00371363"/>
  </w:style>
  <w:style w:type="character" w:styleId="HTMLCite">
    <w:name w:val="HTML Cite"/>
    <w:rsid w:val="00371363"/>
    <w:rPr>
      <w:i/>
      <w:iCs/>
      <w:lang w:val="fr-FR"/>
    </w:rPr>
  </w:style>
  <w:style w:type="table" w:customStyle="1" w:styleId="AATable1">
    <w:name w:val="AA_Table1"/>
    <w:basedOn w:val="TableNormal"/>
    <w:rsid w:val="00371363"/>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numbering" w:customStyle="1" w:styleId="Normallist3">
    <w:name w:val="Normal_list3"/>
    <w:basedOn w:val="NoList"/>
    <w:rsid w:val="00371363"/>
    <w:pPr>
      <w:numPr>
        <w:numId w:val="5"/>
      </w:numPr>
    </w:pPr>
  </w:style>
  <w:style w:type="numbering" w:customStyle="1" w:styleId="NoList3">
    <w:name w:val="No List3"/>
    <w:next w:val="NoList"/>
    <w:semiHidden/>
    <w:rsid w:val="00371363"/>
  </w:style>
  <w:style w:type="table" w:customStyle="1" w:styleId="TableGrid3">
    <w:name w:val="Table Grid3"/>
    <w:basedOn w:val="TableNormal"/>
    <w:next w:val="TableGrid"/>
    <w:rsid w:val="00371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semiHidden/>
    <w:rsid w:val="00371363"/>
  </w:style>
  <w:style w:type="paragraph" w:customStyle="1" w:styleId="Ingenmellomrom1">
    <w:name w:val="Ingen mellomrom1"/>
    <w:qFormat/>
    <w:rsid w:val="00371363"/>
    <w:rPr>
      <w:rFonts w:eastAsia="SimSun"/>
      <w:sz w:val="24"/>
      <w:szCs w:val="24"/>
      <w:lang w:val="fr-FR" w:eastAsia="zh-CN"/>
    </w:rPr>
  </w:style>
  <w:style w:type="paragraph" w:customStyle="1" w:styleId="Char1CharCharCharCharChar">
    <w:name w:val="Char1 Char Char Char Char Char"/>
    <w:basedOn w:val="Normal"/>
    <w:rsid w:val="00371363"/>
    <w:pPr>
      <w:spacing w:after="160" w:line="240" w:lineRule="exact"/>
    </w:pPr>
    <w:rPr>
      <w:rFonts w:ascii="Tahoma" w:hAnsi="Tahoma"/>
    </w:rPr>
  </w:style>
  <w:style w:type="numbering" w:customStyle="1" w:styleId="Ingenliste1">
    <w:name w:val="Ingen liste1"/>
    <w:next w:val="NoList"/>
    <w:semiHidden/>
    <w:unhideWhenUsed/>
    <w:rsid w:val="00371363"/>
  </w:style>
  <w:style w:type="character" w:customStyle="1" w:styleId="colname1">
    <w:name w:val="col_name1"/>
    <w:basedOn w:val="DefaultParagraphFont"/>
    <w:rsid w:val="00371363"/>
    <w:rPr>
      <w:lang w:val="fr-FR"/>
    </w:rPr>
  </w:style>
  <w:style w:type="character" w:customStyle="1" w:styleId="colftyp">
    <w:name w:val="col_ftyp"/>
    <w:basedOn w:val="DefaultParagraphFont"/>
    <w:rsid w:val="00371363"/>
    <w:rPr>
      <w:lang w:val="fr-FR"/>
    </w:rPr>
  </w:style>
  <w:style w:type="character" w:customStyle="1" w:styleId="colland">
    <w:name w:val="col_land"/>
    <w:basedOn w:val="DefaultParagraphFont"/>
    <w:rsid w:val="00371363"/>
    <w:rPr>
      <w:lang w:val="fr-FR"/>
    </w:rPr>
  </w:style>
  <w:style w:type="character" w:customStyle="1" w:styleId="colblank">
    <w:name w:val="col_blank"/>
    <w:basedOn w:val="DefaultParagraphFont"/>
    <w:rsid w:val="00371363"/>
    <w:rPr>
      <w:lang w:val="fr-FR"/>
    </w:rPr>
  </w:style>
  <w:style w:type="character" w:customStyle="1" w:styleId="hrtext">
    <w:name w:val="hr_text"/>
    <w:basedOn w:val="DefaultParagraphFont"/>
    <w:rsid w:val="00371363"/>
    <w:rPr>
      <w:lang w:val="fr-FR"/>
    </w:rPr>
  </w:style>
  <w:style w:type="paragraph" w:customStyle="1" w:styleId="berarbeitung">
    <w:name w:val="Überarbeitung"/>
    <w:hidden/>
    <w:semiHidden/>
    <w:rsid w:val="00371363"/>
    <w:rPr>
      <w:rFonts w:eastAsia="SimSun"/>
      <w:sz w:val="24"/>
      <w:szCs w:val="24"/>
      <w:lang w:val="en-GB" w:eastAsia="zh-CN"/>
    </w:rPr>
  </w:style>
  <w:style w:type="character" w:customStyle="1" w:styleId="url">
    <w:name w:val="url"/>
    <w:basedOn w:val="DefaultParagraphFont"/>
    <w:rsid w:val="00371363"/>
    <w:rPr>
      <w:lang w:val="fr-FR"/>
    </w:rPr>
  </w:style>
  <w:style w:type="table" w:customStyle="1" w:styleId="AATable2">
    <w:name w:val="AA_Table2"/>
    <w:basedOn w:val="TableNormal"/>
    <w:rsid w:val="00371363"/>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beforeLines="0" w:before="120" w:beforeAutospacing="0" w:afterLines="0" w:after="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240" w:afterAutospacing="0"/>
        <w:ind w:rightChars="0" w:right="0"/>
      </w:pPr>
      <w:rPr>
        <w:rFonts w:ascii="Times New Roman" w:hAnsi="Times New Roman"/>
      </w:rPr>
    </w:tblStylePr>
  </w:style>
  <w:style w:type="numbering" w:customStyle="1" w:styleId="Normallist4">
    <w:name w:val="Normal_list4"/>
    <w:basedOn w:val="NoList"/>
    <w:rsid w:val="00371363"/>
  </w:style>
  <w:style w:type="character" w:customStyle="1" w:styleId="CH2Char">
    <w:name w:val="CH2 Char"/>
    <w:link w:val="CH2"/>
    <w:locked/>
    <w:rsid w:val="00513F56"/>
    <w:rPr>
      <w:rFonts w:eastAsia="SimSun"/>
      <w:b/>
      <w:sz w:val="24"/>
      <w:szCs w:val="24"/>
      <w:lang w:val="fr-FR" w:eastAsia="zh-CN"/>
    </w:rPr>
  </w:style>
  <w:style w:type="numbering" w:customStyle="1" w:styleId="NoList4">
    <w:name w:val="No List4"/>
    <w:next w:val="NoList"/>
    <w:uiPriority w:val="99"/>
    <w:semiHidden/>
    <w:unhideWhenUsed/>
    <w:rsid w:val="00371363"/>
  </w:style>
  <w:style w:type="table" w:customStyle="1" w:styleId="TableGrid4">
    <w:name w:val="Table Grid4"/>
    <w:basedOn w:val="TableNormal"/>
    <w:next w:val="TableGrid"/>
    <w:rsid w:val="00371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semiHidden/>
    <w:rsid w:val="00371363"/>
  </w:style>
  <w:style w:type="numbering" w:customStyle="1" w:styleId="Ingenliste11">
    <w:name w:val="Ingen liste11"/>
    <w:next w:val="NoList"/>
    <w:semiHidden/>
    <w:unhideWhenUsed/>
    <w:rsid w:val="00371363"/>
  </w:style>
  <w:style w:type="table" w:customStyle="1" w:styleId="AATable3">
    <w:name w:val="AA_Table3"/>
    <w:basedOn w:val="TableNormal"/>
    <w:rsid w:val="00371363"/>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numbering" w:customStyle="1" w:styleId="Normallist5">
    <w:name w:val="Normal_list5"/>
    <w:basedOn w:val="NoList"/>
    <w:rsid w:val="00371363"/>
  </w:style>
  <w:style w:type="character" w:customStyle="1" w:styleId="EstiloDeEmail511">
    <w:name w:val="EstiloDeEmail511"/>
    <w:rsid w:val="00371363"/>
    <w:rPr>
      <w:rFonts w:ascii="Arial" w:hAnsi="Arial" w:cs="Arial"/>
      <w:color w:val="000000"/>
      <w:sz w:val="20"/>
      <w:szCs w:val="20"/>
      <w:lang w:val="fr-FR"/>
    </w:rPr>
  </w:style>
  <w:style w:type="character" w:customStyle="1" w:styleId="EstiloDeEmail561">
    <w:name w:val="EstiloDeEmail561"/>
    <w:rsid w:val="00371363"/>
    <w:rPr>
      <w:rFonts w:ascii="Arial" w:hAnsi="Arial" w:cs="Arial"/>
      <w:color w:val="000000"/>
      <w:sz w:val="20"/>
      <w:szCs w:val="20"/>
      <w:lang w:val="fr-FR"/>
    </w:rPr>
  </w:style>
  <w:style w:type="paragraph" w:customStyle="1" w:styleId="ListParagraph1">
    <w:name w:val="List Paragraph1"/>
    <w:basedOn w:val="Normal"/>
    <w:rsid w:val="00371363"/>
    <w:pPr>
      <w:ind w:left="720"/>
      <w:contextualSpacing/>
    </w:pPr>
    <w:rPr>
      <w:sz w:val="24"/>
      <w:szCs w:val="24"/>
      <w:lang w:eastAsia="pt-BR"/>
    </w:rPr>
  </w:style>
  <w:style w:type="paragraph" w:customStyle="1" w:styleId="Revision1">
    <w:name w:val="Revision1"/>
    <w:hidden/>
    <w:semiHidden/>
    <w:rsid w:val="00371363"/>
    <w:rPr>
      <w:rFonts w:eastAsia="SimSun"/>
      <w:sz w:val="24"/>
      <w:szCs w:val="24"/>
      <w:lang w:val="pt-BR" w:eastAsia="pt-BR"/>
    </w:rPr>
  </w:style>
  <w:style w:type="numbering" w:customStyle="1" w:styleId="NoList111">
    <w:name w:val="No List111"/>
    <w:next w:val="NoList"/>
    <w:semiHidden/>
    <w:rsid w:val="00371363"/>
  </w:style>
  <w:style w:type="numbering" w:customStyle="1" w:styleId="Normallist11">
    <w:name w:val="Normal_list11"/>
    <w:basedOn w:val="NoList"/>
    <w:rsid w:val="00371363"/>
  </w:style>
  <w:style w:type="numbering" w:customStyle="1" w:styleId="Normallist21">
    <w:name w:val="Normal_list21"/>
    <w:basedOn w:val="NoList"/>
    <w:rsid w:val="00371363"/>
  </w:style>
  <w:style w:type="numbering" w:customStyle="1" w:styleId="NoList21">
    <w:name w:val="No List21"/>
    <w:next w:val="NoList"/>
    <w:semiHidden/>
    <w:rsid w:val="00371363"/>
  </w:style>
  <w:style w:type="numbering" w:customStyle="1" w:styleId="NoList121">
    <w:name w:val="No List121"/>
    <w:next w:val="NoList"/>
    <w:semiHidden/>
    <w:rsid w:val="00371363"/>
  </w:style>
  <w:style w:type="table" w:customStyle="1" w:styleId="AATable11">
    <w:name w:val="AA_Table11"/>
    <w:basedOn w:val="TableNormal"/>
    <w:rsid w:val="00371363"/>
    <w:rPr>
      <w:lang w:eastAsia="ja-JP"/>
    </w:rPr>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Arial" w:hAnsi="Arial"/>
        <w:b/>
        <w:i w:val="0"/>
        <w:caps/>
        <w:smallCaps w:val="0"/>
        <w:color w:val="auto"/>
        <w:sz w:val="27"/>
        <w:szCs w:val="27"/>
      </w:rPr>
    </w:tblStylePr>
    <w:tblStylePr w:type="lastRow">
      <w:pPr>
        <w:wordWrap/>
        <w:spacing w:beforeLines="0" w:beforeAutospacing="0" w:afterLines="0" w:afterAutospacing="0"/>
        <w:ind w:rightChars="0" w:right="567"/>
        <w:contextualSpacing w:val="0"/>
      </w:pPr>
      <w:rPr>
        <w:rFonts w:ascii="Arial" w:hAnsi="Arial"/>
        <w:b/>
        <w:sz w:val="28"/>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numbering" w:customStyle="1" w:styleId="Normallist31">
    <w:name w:val="Normal_list31"/>
    <w:basedOn w:val="NoList"/>
    <w:rsid w:val="00371363"/>
  </w:style>
  <w:style w:type="table" w:styleId="LightList-Accent3">
    <w:name w:val="Light List Accent 3"/>
    <w:basedOn w:val="TableNormal"/>
    <w:uiPriority w:val="61"/>
    <w:rsid w:val="00371363"/>
    <w:rPr>
      <w:rFonts w:ascii="Calibri" w:hAnsi="Calibri"/>
      <w:sz w:val="22"/>
      <w:szCs w:val="22"/>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FooterChar1">
    <w:name w:val="Footer Char1"/>
    <w:basedOn w:val="DefaultParagraphFont"/>
    <w:uiPriority w:val="99"/>
    <w:semiHidden/>
    <w:rsid w:val="00371363"/>
    <w:rPr>
      <w:sz w:val="22"/>
      <w:lang w:val="fr-FR"/>
    </w:rPr>
  </w:style>
  <w:style w:type="character" w:customStyle="1" w:styleId="HeaderChar1">
    <w:name w:val="Header Char1"/>
    <w:basedOn w:val="DefaultParagraphFont"/>
    <w:uiPriority w:val="99"/>
    <w:semiHidden/>
    <w:rsid w:val="00371363"/>
    <w:rPr>
      <w:sz w:val="22"/>
      <w:lang w:val="fr-FR"/>
    </w:rPr>
  </w:style>
  <w:style w:type="paragraph" w:customStyle="1" w:styleId="Footnote-Text">
    <w:name w:val="Footnote-Text"/>
    <w:basedOn w:val="Normal-pool"/>
    <w:rsid w:val="00A87ADC"/>
    <w:pPr>
      <w:spacing w:before="20" w:after="40"/>
      <w:ind w:left="1247"/>
    </w:pPr>
    <w:rPr>
      <w:sz w:val="18"/>
    </w:rPr>
  </w:style>
  <w:style w:type="paragraph" w:customStyle="1" w:styleId="AConvName">
    <w:name w:val="A_ConvName"/>
    <w:basedOn w:val="Normal"/>
    <w:next w:val="Normal"/>
    <w:rsid w:val="00A87ADC"/>
    <w:pPr>
      <w:tabs>
        <w:tab w:val="left" w:pos="624"/>
      </w:tabs>
      <w:spacing w:before="120" w:after="240"/>
    </w:pPr>
    <w:rPr>
      <w:rFonts w:ascii="Arial" w:hAnsi="Arial"/>
      <w:b/>
      <w:sz w:val="28"/>
    </w:rPr>
  </w:style>
  <w:style w:type="paragraph" w:customStyle="1" w:styleId="ASymbol">
    <w:name w:val="A_Symbol"/>
    <w:basedOn w:val="Normal"/>
    <w:rsid w:val="00A87ADC"/>
    <w:pPr>
      <w:tabs>
        <w:tab w:val="left" w:pos="624"/>
      </w:tabs>
    </w:pPr>
  </w:style>
  <w:style w:type="paragraph" w:customStyle="1" w:styleId="AText">
    <w:name w:val="A_Text"/>
    <w:basedOn w:val="Normal"/>
    <w:rsid w:val="00A87ADC"/>
    <w:pPr>
      <w:tabs>
        <w:tab w:val="left" w:pos="624"/>
        <w:tab w:val="left" w:pos="4082"/>
      </w:tabs>
      <w:spacing w:before="120"/>
    </w:pPr>
  </w:style>
  <w:style w:type="paragraph" w:customStyle="1" w:styleId="ATwoLetters">
    <w:name w:val="A_TwoLetters"/>
    <w:basedOn w:val="Normal"/>
    <w:next w:val="Normal"/>
    <w:rsid w:val="00A87ADC"/>
    <w:pPr>
      <w:tabs>
        <w:tab w:val="left" w:pos="624"/>
      </w:tabs>
      <w:jc w:val="right"/>
    </w:pPr>
    <w:rPr>
      <w:rFonts w:ascii="Arial" w:hAnsi="Arial" w:cs="Arial"/>
      <w:b/>
      <w:caps/>
      <w:sz w:val="64"/>
      <w:szCs w:val="64"/>
    </w:rPr>
  </w:style>
  <w:style w:type="paragraph" w:customStyle="1" w:styleId="AUnitedNations">
    <w:name w:val="A_United_Nations"/>
    <w:basedOn w:val="Normal"/>
    <w:next w:val="Normal"/>
    <w:rsid w:val="00A87ADC"/>
    <w:pPr>
      <w:tabs>
        <w:tab w:val="left" w:pos="624"/>
      </w:tabs>
      <w:spacing w:before="20" w:after="20"/>
    </w:pPr>
    <w:rPr>
      <w:rFonts w:ascii="Arial" w:hAnsi="Arial" w:cs="Times New Roman Bold"/>
      <w:b/>
      <w:caps/>
      <w:color w:val="000000" w:themeColor="text1"/>
      <w:sz w:val="27"/>
    </w:rPr>
  </w:style>
  <w:style w:type="paragraph" w:customStyle="1" w:styleId="ALogo">
    <w:name w:val="A_Logo"/>
    <w:basedOn w:val="Normal"/>
    <w:link w:val="ALogoChar"/>
    <w:qFormat/>
    <w:rsid w:val="00A87ADC"/>
    <w:pPr>
      <w:tabs>
        <w:tab w:val="left" w:pos="624"/>
        <w:tab w:val="left" w:pos="4082"/>
      </w:tabs>
      <w:spacing w:before="120" w:after="240"/>
    </w:pPr>
  </w:style>
  <w:style w:type="character" w:customStyle="1" w:styleId="ALogoChar">
    <w:name w:val="A_Logo Char"/>
    <w:basedOn w:val="DefaultParagraphFont"/>
    <w:link w:val="ALogo"/>
    <w:rsid w:val="00A87ADC"/>
    <w:rPr>
      <w:lang w:val="fr-FR"/>
    </w:rPr>
  </w:style>
  <w:style w:type="paragraph" w:customStyle="1" w:styleId="ASpacer">
    <w:name w:val="A_Spacer"/>
    <w:basedOn w:val="Normal"/>
    <w:link w:val="ASpacerChar"/>
    <w:qFormat/>
    <w:rsid w:val="00A87ADC"/>
    <w:pPr>
      <w:tabs>
        <w:tab w:val="left" w:pos="624"/>
        <w:tab w:val="left" w:pos="4082"/>
      </w:tabs>
    </w:pPr>
    <w:rPr>
      <w:sz w:val="2"/>
    </w:rPr>
  </w:style>
  <w:style w:type="character" w:customStyle="1" w:styleId="ASpacerChar">
    <w:name w:val="A_Spacer Char"/>
    <w:basedOn w:val="DefaultParagraphFont"/>
    <w:link w:val="ASpacer"/>
    <w:rsid w:val="00A87ADC"/>
    <w:rPr>
      <w:sz w:val="2"/>
      <w:lang w:val="fr-FR"/>
    </w:rPr>
  </w:style>
  <w:style w:type="paragraph" w:customStyle="1" w:styleId="AATitle1">
    <w:name w:val="AA_Title1"/>
    <w:basedOn w:val="Normal"/>
    <w:qFormat/>
    <w:rsid w:val="00A87ADC"/>
    <w:pPr>
      <w:tabs>
        <w:tab w:val="left" w:pos="624"/>
        <w:tab w:val="left" w:pos="4082"/>
      </w:tabs>
    </w:pPr>
  </w:style>
  <w:style w:type="paragraph" w:customStyle="1" w:styleId="ANormal">
    <w:name w:val="A_Normal"/>
    <w:basedOn w:val="Normal"/>
    <w:qFormat/>
    <w:rsid w:val="00A87ADC"/>
    <w:pPr>
      <w:tabs>
        <w:tab w:val="left" w:pos="624"/>
        <w:tab w:val="left" w:pos="4082"/>
      </w:tabs>
    </w:pPr>
  </w:style>
  <w:style w:type="paragraph" w:customStyle="1" w:styleId="AText0">
    <w:name w:val="A_Text0"/>
    <w:basedOn w:val="Normal"/>
    <w:next w:val="Normal"/>
    <w:qFormat/>
    <w:rsid w:val="00A87ADC"/>
    <w:pPr>
      <w:tabs>
        <w:tab w:val="left" w:pos="624"/>
        <w:tab w:val="left" w:pos="1871"/>
        <w:tab w:val="left" w:pos="2495"/>
        <w:tab w:val="left" w:pos="3119"/>
        <w:tab w:val="left" w:pos="3742"/>
        <w:tab w:val="left" w:pos="4366"/>
      </w:tabs>
      <w:spacing w:after="120"/>
    </w:pPr>
  </w:style>
  <w:style w:type="paragraph" w:customStyle="1" w:styleId="Footer-jobnumber">
    <w:name w:val="Footer-jobnumber"/>
    <w:basedOn w:val="Normal-pool"/>
    <w:qFormat/>
    <w:rsid w:val="00A87ADC"/>
    <w:pPr>
      <w:tabs>
        <w:tab w:val="clear" w:pos="624"/>
        <w:tab w:val="clear" w:pos="1247"/>
        <w:tab w:val="clear" w:pos="1871"/>
        <w:tab w:val="clear" w:pos="2495"/>
        <w:tab w:val="clear" w:pos="3119"/>
        <w:tab w:val="clear" w:pos="3742"/>
        <w:tab w:val="clear" w:pos="4366"/>
        <w:tab w:val="left" w:pos="1701"/>
      </w:tabs>
    </w:pPr>
    <w:rPr>
      <w:rFonts w:eastAsia="Times New Roman"/>
      <w:lang w:eastAsia="en-US"/>
    </w:rPr>
  </w:style>
  <w:style w:type="paragraph" w:customStyle="1" w:styleId="Footnote-Separator">
    <w:name w:val="Footnote-Separator"/>
    <w:basedOn w:val="Normal-pool"/>
    <w:next w:val="Normal"/>
    <w:unhideWhenUsed/>
    <w:qFormat/>
    <w:rsid w:val="00A87ADC"/>
    <w:pPr>
      <w:spacing w:before="60"/>
    </w:pPr>
    <w:rPr>
      <w:sz w:val="18"/>
    </w:rPr>
  </w:style>
  <w:style w:type="paragraph" w:styleId="Bibliography">
    <w:name w:val="Bibliography"/>
    <w:basedOn w:val="Normal"/>
    <w:next w:val="Normal"/>
    <w:uiPriority w:val="37"/>
    <w:semiHidden/>
    <w:unhideWhenUsed/>
    <w:rsid w:val="00A87ADC"/>
  </w:style>
  <w:style w:type="paragraph" w:styleId="BodyTextFirstIndent">
    <w:name w:val="Body Text First Indent"/>
    <w:basedOn w:val="BodyText"/>
    <w:link w:val="BodyTextFirstIndentChar"/>
    <w:semiHidden/>
    <w:unhideWhenUsed/>
    <w:rsid w:val="00A87ADC"/>
    <w:pPr>
      <w:tabs>
        <w:tab w:val="clear" w:pos="-1417"/>
        <w:tab w:val="clear" w:pos="-1134"/>
        <w:tab w:val="clear" w:pos="-851"/>
        <w:tab w:val="clear" w:pos="-566"/>
        <w:tab w:val="clear" w:pos="-283"/>
        <w:tab w:val="clear" w:pos="0"/>
        <w:tab w:val="clear" w:pos="283"/>
        <w:tab w:val="clear" w:pos="566"/>
        <w:tab w:val="clear" w:pos="851"/>
        <w:tab w:val="clear" w:pos="1134"/>
        <w:tab w:val="clear" w:pos="1417"/>
        <w:tab w:val="clear" w:pos="1700"/>
        <w:tab w:val="clear" w:pos="1985"/>
        <w:tab w:val="clear" w:pos="2268"/>
        <w:tab w:val="clear" w:pos="2551"/>
        <w:tab w:val="clear" w:pos="2834"/>
        <w:tab w:val="clear" w:pos="3118"/>
        <w:tab w:val="clear" w:pos="3402"/>
        <w:tab w:val="clear" w:pos="3685"/>
        <w:tab w:val="clear" w:pos="3968"/>
        <w:tab w:val="clear" w:pos="4252"/>
        <w:tab w:val="clear" w:pos="4535"/>
        <w:tab w:val="clear" w:pos="4819"/>
        <w:tab w:val="clear" w:pos="5102"/>
        <w:tab w:val="clear" w:pos="5386"/>
        <w:tab w:val="clear" w:pos="5669"/>
        <w:tab w:val="clear" w:pos="5953"/>
        <w:tab w:val="clear" w:pos="6236"/>
        <w:tab w:val="clear" w:pos="6520"/>
        <w:tab w:val="clear" w:pos="6803"/>
        <w:tab w:val="clear" w:pos="7086"/>
        <w:tab w:val="clear" w:pos="7370"/>
        <w:tab w:val="clear" w:pos="7654"/>
        <w:tab w:val="clear" w:pos="7937"/>
        <w:tab w:val="clear" w:pos="8220"/>
        <w:tab w:val="clear" w:pos="8504"/>
        <w:tab w:val="clear" w:pos="8788"/>
        <w:tab w:val="clear" w:pos="9071"/>
        <w:tab w:val="clear" w:pos="9354"/>
        <w:tab w:val="clear" w:pos="9637"/>
      </w:tabs>
      <w:spacing w:line="240" w:lineRule="auto"/>
      <w:ind w:firstLine="360"/>
    </w:pPr>
    <w:rPr>
      <w:rFonts w:ascii="Times New Roman" w:hAnsi="Times New Roman"/>
      <w:b w:val="0"/>
    </w:rPr>
  </w:style>
  <w:style w:type="character" w:customStyle="1" w:styleId="BodyTextFirstIndentChar">
    <w:name w:val="Body Text First Indent Char"/>
    <w:basedOn w:val="BodyTextChar"/>
    <w:link w:val="BodyTextFirstIndent"/>
    <w:semiHidden/>
    <w:rsid w:val="00A87ADC"/>
    <w:rPr>
      <w:rFonts w:ascii="CG Times (WN)" w:hAnsi="CG Times (WN)"/>
      <w:b w:val="0"/>
      <w:lang w:val="fr-FR"/>
    </w:rPr>
  </w:style>
  <w:style w:type="paragraph" w:styleId="BodyTextFirstIndent2">
    <w:name w:val="Body Text First Indent 2"/>
    <w:basedOn w:val="BodyTextIndent"/>
    <w:link w:val="BodyTextFirstIndent2Char"/>
    <w:semiHidden/>
    <w:unhideWhenUsed/>
    <w:rsid w:val="00A87ADC"/>
    <w:pPr>
      <w:spacing w:after="0"/>
      <w:ind w:firstLine="360"/>
    </w:pPr>
    <w:rPr>
      <w:sz w:val="20"/>
      <w:szCs w:val="20"/>
      <w:lang w:eastAsia="zh-CN"/>
    </w:rPr>
  </w:style>
  <w:style w:type="character" w:customStyle="1" w:styleId="BodyTextFirstIndent2Char">
    <w:name w:val="Body Text First Indent 2 Char"/>
    <w:basedOn w:val="BodyTextIndentChar"/>
    <w:link w:val="BodyTextFirstIndent2"/>
    <w:semiHidden/>
    <w:rsid w:val="00A87ADC"/>
    <w:rPr>
      <w:sz w:val="24"/>
      <w:szCs w:val="24"/>
      <w:lang w:val="fr-FR" w:eastAsia="zh-CN"/>
    </w:rPr>
  </w:style>
  <w:style w:type="character" w:styleId="BookTitle">
    <w:name w:val="Book Title"/>
    <w:basedOn w:val="DefaultParagraphFont"/>
    <w:uiPriority w:val="33"/>
    <w:qFormat/>
    <w:rsid w:val="00A87ADC"/>
    <w:rPr>
      <w:b/>
      <w:bCs/>
      <w:i/>
      <w:iCs/>
      <w:spacing w:val="5"/>
      <w:lang w:val="fr-FR"/>
    </w:rPr>
  </w:style>
  <w:style w:type="paragraph" w:styleId="Closing">
    <w:name w:val="Closing"/>
    <w:basedOn w:val="Normal"/>
    <w:link w:val="ClosingChar"/>
    <w:semiHidden/>
    <w:unhideWhenUsed/>
    <w:rsid w:val="00A87ADC"/>
    <w:pPr>
      <w:ind w:left="4252"/>
    </w:pPr>
  </w:style>
  <w:style w:type="character" w:customStyle="1" w:styleId="ClosingChar">
    <w:name w:val="Closing Char"/>
    <w:basedOn w:val="DefaultParagraphFont"/>
    <w:link w:val="Closing"/>
    <w:semiHidden/>
    <w:rsid w:val="00A87ADC"/>
    <w:rPr>
      <w:lang w:val="fr-FR"/>
    </w:rPr>
  </w:style>
  <w:style w:type="table" w:styleId="ColorfulGrid">
    <w:name w:val="Colorful Grid"/>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A87AD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A87AD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A87AD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A87AD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A87AD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A87AD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A87AD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A87AD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A87AD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A87AD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A87AD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A87AD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A87AD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A87AD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A87AD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A87AD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A87AD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A87AD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A87AD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A87AD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A87AD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A87AD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A87ADC"/>
  </w:style>
  <w:style w:type="character" w:customStyle="1" w:styleId="DateChar">
    <w:name w:val="Date Char"/>
    <w:basedOn w:val="DefaultParagraphFont"/>
    <w:link w:val="Date"/>
    <w:semiHidden/>
    <w:rsid w:val="00A87ADC"/>
    <w:rPr>
      <w:lang w:val="fr-FR"/>
    </w:rPr>
  </w:style>
  <w:style w:type="paragraph" w:styleId="E-mailSignature">
    <w:name w:val="E-mail Signature"/>
    <w:basedOn w:val="Normal"/>
    <w:link w:val="E-mailSignatureChar"/>
    <w:semiHidden/>
    <w:unhideWhenUsed/>
    <w:rsid w:val="00A87ADC"/>
  </w:style>
  <w:style w:type="character" w:customStyle="1" w:styleId="E-mailSignatureChar">
    <w:name w:val="E-mail Signature Char"/>
    <w:basedOn w:val="DefaultParagraphFont"/>
    <w:link w:val="E-mailSignature"/>
    <w:semiHidden/>
    <w:rsid w:val="00A87ADC"/>
    <w:rPr>
      <w:lang w:val="fr-FR"/>
    </w:rPr>
  </w:style>
  <w:style w:type="paragraph" w:styleId="EnvelopeAddress">
    <w:name w:val="envelope address"/>
    <w:basedOn w:val="Normal"/>
    <w:semiHidden/>
    <w:unhideWhenUsed/>
    <w:rsid w:val="00A87ADC"/>
    <w:pPr>
      <w:framePr w:w="7920" w:h="1980" w:hRule="exact" w:hSpace="180" w:wrap="auto" w:hAnchor="page" w:xAlign="center" w:yAlign="bottom"/>
      <w:ind w:left="2880"/>
    </w:pPr>
    <w:rPr>
      <w:rFonts w:asciiTheme="majorHAnsi" w:eastAsiaTheme="majorEastAsia" w:hAnsiTheme="majorHAnsi" w:cstheme="majorBidi"/>
      <w:sz w:val="24"/>
      <w:szCs w:val="24"/>
    </w:rPr>
  </w:style>
  <w:style w:type="table" w:styleId="GridTable1Light">
    <w:name w:val="Grid Table 1 Light"/>
    <w:basedOn w:val="TableNormal"/>
    <w:rsid w:val="00A87AD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A87AD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A87AD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A87AD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A87AD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A87AD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A87AD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A87AD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A87AD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A87AD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A87AD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A87AD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A87AD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A87AD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A87AD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A87AD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A87AD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A87AD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A87AD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A87AD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A87AD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A87AD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A87AD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A87AD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A87AD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A87AD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A87AD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A87AD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A87AD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A87AD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A87AD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A87AD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A87AD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A87AD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A87AD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A87AD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A87AD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A87AD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A87AD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A87AD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A87AD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A87AD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A87AD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A87ADC"/>
    <w:rPr>
      <w:color w:val="2B579A"/>
      <w:shd w:val="clear" w:color="auto" w:fill="E1DFDD"/>
      <w:lang w:val="fr-FR"/>
    </w:rPr>
  </w:style>
  <w:style w:type="character" w:styleId="HTMLAcronym">
    <w:name w:val="HTML Acronym"/>
    <w:basedOn w:val="DefaultParagraphFont"/>
    <w:semiHidden/>
    <w:unhideWhenUsed/>
    <w:rsid w:val="00A87ADC"/>
    <w:rPr>
      <w:lang w:val="fr-FR"/>
    </w:rPr>
  </w:style>
  <w:style w:type="paragraph" w:styleId="HTMLAddress">
    <w:name w:val="HTML Address"/>
    <w:basedOn w:val="Normal"/>
    <w:link w:val="HTMLAddressChar"/>
    <w:semiHidden/>
    <w:unhideWhenUsed/>
    <w:rsid w:val="00A87ADC"/>
    <w:rPr>
      <w:i/>
      <w:iCs/>
    </w:rPr>
  </w:style>
  <w:style w:type="character" w:customStyle="1" w:styleId="HTMLAddressChar">
    <w:name w:val="HTML Address Char"/>
    <w:basedOn w:val="DefaultParagraphFont"/>
    <w:link w:val="HTMLAddress"/>
    <w:semiHidden/>
    <w:rsid w:val="00A87ADC"/>
    <w:rPr>
      <w:i/>
      <w:iCs/>
      <w:lang w:val="fr-FR"/>
    </w:rPr>
  </w:style>
  <w:style w:type="character" w:styleId="HTMLCode">
    <w:name w:val="HTML Code"/>
    <w:basedOn w:val="DefaultParagraphFont"/>
    <w:semiHidden/>
    <w:unhideWhenUsed/>
    <w:rsid w:val="00A87ADC"/>
    <w:rPr>
      <w:rFonts w:ascii="Consolas" w:hAnsi="Consolas"/>
      <w:sz w:val="20"/>
      <w:szCs w:val="20"/>
      <w:lang w:val="fr-FR"/>
    </w:rPr>
  </w:style>
  <w:style w:type="character" w:styleId="HTMLDefinition">
    <w:name w:val="HTML Definition"/>
    <w:basedOn w:val="DefaultParagraphFont"/>
    <w:semiHidden/>
    <w:unhideWhenUsed/>
    <w:rsid w:val="00A87ADC"/>
    <w:rPr>
      <w:i/>
      <w:iCs/>
      <w:lang w:val="fr-FR"/>
    </w:rPr>
  </w:style>
  <w:style w:type="character" w:styleId="HTMLKeyboard">
    <w:name w:val="HTML Keyboard"/>
    <w:basedOn w:val="DefaultParagraphFont"/>
    <w:semiHidden/>
    <w:unhideWhenUsed/>
    <w:rsid w:val="00A87ADC"/>
    <w:rPr>
      <w:rFonts w:ascii="Consolas" w:hAnsi="Consolas"/>
      <w:sz w:val="20"/>
      <w:szCs w:val="20"/>
      <w:lang w:val="fr-FR"/>
    </w:rPr>
  </w:style>
  <w:style w:type="character" w:styleId="HTMLSample">
    <w:name w:val="HTML Sample"/>
    <w:basedOn w:val="DefaultParagraphFont"/>
    <w:semiHidden/>
    <w:unhideWhenUsed/>
    <w:rsid w:val="00A87ADC"/>
    <w:rPr>
      <w:rFonts w:ascii="Consolas" w:hAnsi="Consolas"/>
      <w:sz w:val="24"/>
      <w:szCs w:val="24"/>
      <w:lang w:val="fr-FR"/>
    </w:rPr>
  </w:style>
  <w:style w:type="character" w:styleId="HTMLTypewriter">
    <w:name w:val="HTML Typewriter"/>
    <w:basedOn w:val="DefaultParagraphFont"/>
    <w:semiHidden/>
    <w:unhideWhenUsed/>
    <w:rsid w:val="00A87ADC"/>
    <w:rPr>
      <w:rFonts w:ascii="Consolas" w:hAnsi="Consolas"/>
      <w:sz w:val="20"/>
      <w:szCs w:val="20"/>
      <w:lang w:val="fr-FR"/>
    </w:rPr>
  </w:style>
  <w:style w:type="character" w:styleId="HTMLVariable">
    <w:name w:val="HTML Variable"/>
    <w:basedOn w:val="DefaultParagraphFont"/>
    <w:semiHidden/>
    <w:unhideWhenUsed/>
    <w:rsid w:val="00A87ADC"/>
    <w:rPr>
      <w:i/>
      <w:iCs/>
      <w:lang w:val="fr-FR"/>
    </w:rPr>
  </w:style>
  <w:style w:type="paragraph" w:styleId="Index1">
    <w:name w:val="index 1"/>
    <w:basedOn w:val="Normal"/>
    <w:next w:val="Normal"/>
    <w:autoRedefine/>
    <w:semiHidden/>
    <w:unhideWhenUsed/>
    <w:rsid w:val="00A87ADC"/>
    <w:pPr>
      <w:ind w:left="200" w:hanging="200"/>
    </w:pPr>
  </w:style>
  <w:style w:type="paragraph" w:styleId="Index2">
    <w:name w:val="index 2"/>
    <w:basedOn w:val="Normal"/>
    <w:next w:val="Normal"/>
    <w:autoRedefine/>
    <w:semiHidden/>
    <w:unhideWhenUsed/>
    <w:rsid w:val="00A87ADC"/>
    <w:pPr>
      <w:ind w:left="400" w:hanging="200"/>
    </w:pPr>
  </w:style>
  <w:style w:type="paragraph" w:styleId="Index3">
    <w:name w:val="index 3"/>
    <w:basedOn w:val="Normal"/>
    <w:next w:val="Normal"/>
    <w:autoRedefine/>
    <w:semiHidden/>
    <w:unhideWhenUsed/>
    <w:rsid w:val="00A87ADC"/>
    <w:pPr>
      <w:ind w:left="600" w:hanging="200"/>
    </w:pPr>
  </w:style>
  <w:style w:type="paragraph" w:styleId="Index4">
    <w:name w:val="index 4"/>
    <w:basedOn w:val="Normal"/>
    <w:next w:val="Normal"/>
    <w:autoRedefine/>
    <w:semiHidden/>
    <w:unhideWhenUsed/>
    <w:rsid w:val="00A87ADC"/>
    <w:pPr>
      <w:ind w:left="800" w:hanging="200"/>
    </w:pPr>
  </w:style>
  <w:style w:type="paragraph" w:styleId="Index5">
    <w:name w:val="index 5"/>
    <w:basedOn w:val="Normal"/>
    <w:next w:val="Normal"/>
    <w:autoRedefine/>
    <w:semiHidden/>
    <w:unhideWhenUsed/>
    <w:rsid w:val="00A87ADC"/>
    <w:pPr>
      <w:ind w:left="1000" w:hanging="200"/>
    </w:pPr>
  </w:style>
  <w:style w:type="paragraph" w:styleId="Index6">
    <w:name w:val="index 6"/>
    <w:basedOn w:val="Normal"/>
    <w:next w:val="Normal"/>
    <w:autoRedefine/>
    <w:semiHidden/>
    <w:unhideWhenUsed/>
    <w:rsid w:val="00A87ADC"/>
    <w:pPr>
      <w:ind w:left="1200" w:hanging="200"/>
    </w:pPr>
  </w:style>
  <w:style w:type="paragraph" w:styleId="Index7">
    <w:name w:val="index 7"/>
    <w:basedOn w:val="Normal"/>
    <w:next w:val="Normal"/>
    <w:autoRedefine/>
    <w:semiHidden/>
    <w:unhideWhenUsed/>
    <w:rsid w:val="00A87ADC"/>
    <w:pPr>
      <w:ind w:left="1400" w:hanging="200"/>
    </w:pPr>
  </w:style>
  <w:style w:type="paragraph" w:styleId="Index8">
    <w:name w:val="index 8"/>
    <w:basedOn w:val="Normal"/>
    <w:next w:val="Normal"/>
    <w:autoRedefine/>
    <w:semiHidden/>
    <w:unhideWhenUsed/>
    <w:rsid w:val="00A87ADC"/>
    <w:pPr>
      <w:ind w:left="1600" w:hanging="200"/>
    </w:pPr>
  </w:style>
  <w:style w:type="paragraph" w:styleId="Index9">
    <w:name w:val="index 9"/>
    <w:basedOn w:val="Normal"/>
    <w:next w:val="Normal"/>
    <w:autoRedefine/>
    <w:semiHidden/>
    <w:unhideWhenUsed/>
    <w:rsid w:val="00A87ADC"/>
    <w:pPr>
      <w:ind w:left="1800" w:hanging="200"/>
    </w:pPr>
  </w:style>
  <w:style w:type="paragraph" w:styleId="IndexHeading">
    <w:name w:val="index heading"/>
    <w:basedOn w:val="Normal"/>
    <w:next w:val="Index1"/>
    <w:semiHidden/>
    <w:unhideWhenUsed/>
    <w:rsid w:val="00A87ADC"/>
    <w:rPr>
      <w:rFonts w:asciiTheme="majorHAnsi" w:eastAsiaTheme="majorEastAsia" w:hAnsiTheme="majorHAnsi" w:cstheme="majorBidi"/>
      <w:b/>
      <w:bCs/>
    </w:rPr>
  </w:style>
  <w:style w:type="character" w:styleId="IntenseEmphasis">
    <w:name w:val="Intense Emphasis"/>
    <w:basedOn w:val="DefaultParagraphFont"/>
    <w:uiPriority w:val="21"/>
    <w:qFormat/>
    <w:rsid w:val="00A87ADC"/>
    <w:rPr>
      <w:i/>
      <w:iCs/>
      <w:color w:val="4F81BD" w:themeColor="accent1"/>
      <w:lang w:val="fr-FR"/>
    </w:rPr>
  </w:style>
  <w:style w:type="paragraph" w:styleId="IntenseQuote">
    <w:name w:val="Intense Quote"/>
    <w:basedOn w:val="Normal"/>
    <w:next w:val="Normal"/>
    <w:link w:val="IntenseQuoteChar"/>
    <w:uiPriority w:val="30"/>
    <w:qFormat/>
    <w:rsid w:val="00A87ADC"/>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87ADC"/>
    <w:rPr>
      <w:i/>
      <w:iCs/>
      <w:color w:val="4F81BD" w:themeColor="accent1"/>
      <w:lang w:val="fr-FR"/>
    </w:rPr>
  </w:style>
  <w:style w:type="table" w:styleId="LightGrid">
    <w:name w:val="Light Grid"/>
    <w:basedOn w:val="TableNormal"/>
    <w:uiPriority w:val="62"/>
    <w:semiHidden/>
    <w:unhideWhenUsed/>
    <w:rsid w:val="00A87AD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A87AD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A87AD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A87AD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A87AD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A87AD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A87AD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A87AD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A87AD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A87AD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4">
    <w:name w:val="Light List Accent 4"/>
    <w:basedOn w:val="TableNormal"/>
    <w:uiPriority w:val="61"/>
    <w:semiHidden/>
    <w:unhideWhenUsed/>
    <w:rsid w:val="00A87AD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A87AD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A87AD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A87AD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A87AD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A87AD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A87AD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A87AD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A87AD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A87AD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A87ADC"/>
    <w:rPr>
      <w:lang w:val="fr-FR"/>
    </w:rPr>
  </w:style>
  <w:style w:type="paragraph" w:styleId="List">
    <w:name w:val="List"/>
    <w:basedOn w:val="Normal"/>
    <w:semiHidden/>
    <w:unhideWhenUsed/>
    <w:rsid w:val="00A87ADC"/>
    <w:pPr>
      <w:ind w:left="283" w:hanging="283"/>
      <w:contextualSpacing/>
    </w:pPr>
  </w:style>
  <w:style w:type="paragraph" w:styleId="List2">
    <w:name w:val="List 2"/>
    <w:basedOn w:val="Normal"/>
    <w:semiHidden/>
    <w:unhideWhenUsed/>
    <w:rsid w:val="00A87ADC"/>
    <w:pPr>
      <w:ind w:left="566" w:hanging="283"/>
      <w:contextualSpacing/>
    </w:pPr>
  </w:style>
  <w:style w:type="paragraph" w:styleId="List3">
    <w:name w:val="List 3"/>
    <w:basedOn w:val="Normal"/>
    <w:semiHidden/>
    <w:unhideWhenUsed/>
    <w:rsid w:val="00A87ADC"/>
    <w:pPr>
      <w:ind w:left="849" w:hanging="283"/>
      <w:contextualSpacing/>
    </w:pPr>
  </w:style>
  <w:style w:type="paragraph" w:styleId="List4">
    <w:name w:val="List 4"/>
    <w:basedOn w:val="Normal"/>
    <w:semiHidden/>
    <w:unhideWhenUsed/>
    <w:rsid w:val="00A87ADC"/>
    <w:pPr>
      <w:ind w:left="1132" w:hanging="283"/>
      <w:contextualSpacing/>
    </w:pPr>
  </w:style>
  <w:style w:type="paragraph" w:styleId="List5">
    <w:name w:val="List 5"/>
    <w:basedOn w:val="Normal"/>
    <w:semiHidden/>
    <w:unhideWhenUsed/>
    <w:rsid w:val="00A87ADC"/>
    <w:pPr>
      <w:ind w:left="1415" w:hanging="283"/>
      <w:contextualSpacing/>
    </w:pPr>
  </w:style>
  <w:style w:type="paragraph" w:styleId="ListBullet">
    <w:name w:val="List Bullet"/>
    <w:basedOn w:val="Normal"/>
    <w:rsid w:val="00A87ADC"/>
    <w:pPr>
      <w:numPr>
        <w:numId w:val="15"/>
      </w:numPr>
      <w:contextualSpacing/>
    </w:pPr>
  </w:style>
  <w:style w:type="paragraph" w:styleId="ListBullet2">
    <w:name w:val="List Bullet 2"/>
    <w:basedOn w:val="Normal"/>
    <w:semiHidden/>
    <w:unhideWhenUsed/>
    <w:rsid w:val="00A87ADC"/>
    <w:pPr>
      <w:numPr>
        <w:numId w:val="16"/>
      </w:numPr>
      <w:contextualSpacing/>
    </w:pPr>
  </w:style>
  <w:style w:type="paragraph" w:styleId="ListBullet3">
    <w:name w:val="List Bullet 3"/>
    <w:basedOn w:val="Normal"/>
    <w:semiHidden/>
    <w:unhideWhenUsed/>
    <w:rsid w:val="00A87ADC"/>
    <w:pPr>
      <w:numPr>
        <w:numId w:val="17"/>
      </w:numPr>
      <w:contextualSpacing/>
    </w:pPr>
  </w:style>
  <w:style w:type="paragraph" w:styleId="ListBullet4">
    <w:name w:val="List Bullet 4"/>
    <w:basedOn w:val="Normal"/>
    <w:semiHidden/>
    <w:unhideWhenUsed/>
    <w:rsid w:val="00A87ADC"/>
    <w:pPr>
      <w:numPr>
        <w:numId w:val="8"/>
      </w:numPr>
      <w:contextualSpacing/>
    </w:pPr>
  </w:style>
  <w:style w:type="paragraph" w:styleId="ListBullet5">
    <w:name w:val="List Bullet 5"/>
    <w:basedOn w:val="Normal"/>
    <w:semiHidden/>
    <w:unhideWhenUsed/>
    <w:rsid w:val="00A87ADC"/>
    <w:pPr>
      <w:numPr>
        <w:numId w:val="18"/>
      </w:numPr>
      <w:contextualSpacing/>
    </w:pPr>
  </w:style>
  <w:style w:type="paragraph" w:styleId="ListContinue">
    <w:name w:val="List Continue"/>
    <w:basedOn w:val="Normal"/>
    <w:semiHidden/>
    <w:unhideWhenUsed/>
    <w:rsid w:val="00A87ADC"/>
    <w:pPr>
      <w:spacing w:after="120"/>
      <w:ind w:left="283"/>
      <w:contextualSpacing/>
    </w:pPr>
  </w:style>
  <w:style w:type="paragraph" w:styleId="ListContinue2">
    <w:name w:val="List Continue 2"/>
    <w:basedOn w:val="Normal"/>
    <w:semiHidden/>
    <w:unhideWhenUsed/>
    <w:rsid w:val="00A87ADC"/>
    <w:pPr>
      <w:spacing w:after="120"/>
      <w:ind w:left="566"/>
      <w:contextualSpacing/>
    </w:pPr>
  </w:style>
  <w:style w:type="paragraph" w:styleId="ListContinue3">
    <w:name w:val="List Continue 3"/>
    <w:basedOn w:val="Normal"/>
    <w:rsid w:val="00A87ADC"/>
    <w:pPr>
      <w:spacing w:after="120"/>
      <w:ind w:left="849"/>
      <w:contextualSpacing/>
    </w:pPr>
  </w:style>
  <w:style w:type="paragraph" w:styleId="ListContinue4">
    <w:name w:val="List Continue 4"/>
    <w:basedOn w:val="Normal"/>
    <w:rsid w:val="00A87ADC"/>
    <w:pPr>
      <w:spacing w:after="120"/>
      <w:ind w:left="1132"/>
      <w:contextualSpacing/>
    </w:pPr>
  </w:style>
  <w:style w:type="paragraph" w:styleId="ListContinue5">
    <w:name w:val="List Continue 5"/>
    <w:basedOn w:val="Normal"/>
    <w:rsid w:val="00A87ADC"/>
    <w:pPr>
      <w:spacing w:after="120"/>
      <w:ind w:left="1415"/>
      <w:contextualSpacing/>
    </w:pPr>
  </w:style>
  <w:style w:type="paragraph" w:styleId="ListNumber">
    <w:name w:val="List Number"/>
    <w:basedOn w:val="Normal"/>
    <w:rsid w:val="00A87ADC"/>
    <w:pPr>
      <w:numPr>
        <w:numId w:val="19"/>
      </w:numPr>
      <w:contextualSpacing/>
    </w:pPr>
  </w:style>
  <w:style w:type="paragraph" w:styleId="ListNumber2">
    <w:name w:val="List Number 2"/>
    <w:basedOn w:val="Normal"/>
    <w:semiHidden/>
    <w:unhideWhenUsed/>
    <w:rsid w:val="00A87ADC"/>
    <w:pPr>
      <w:numPr>
        <w:numId w:val="20"/>
      </w:numPr>
      <w:contextualSpacing/>
    </w:pPr>
  </w:style>
  <w:style w:type="paragraph" w:styleId="ListNumber3">
    <w:name w:val="List Number 3"/>
    <w:basedOn w:val="Normal"/>
    <w:semiHidden/>
    <w:unhideWhenUsed/>
    <w:rsid w:val="00A87ADC"/>
    <w:pPr>
      <w:numPr>
        <w:numId w:val="21"/>
      </w:numPr>
      <w:contextualSpacing/>
    </w:pPr>
  </w:style>
  <w:style w:type="paragraph" w:styleId="ListNumber4">
    <w:name w:val="List Number 4"/>
    <w:basedOn w:val="Normal"/>
    <w:semiHidden/>
    <w:unhideWhenUsed/>
    <w:rsid w:val="00A87ADC"/>
    <w:pPr>
      <w:numPr>
        <w:numId w:val="22"/>
      </w:numPr>
      <w:contextualSpacing/>
    </w:pPr>
  </w:style>
  <w:style w:type="paragraph" w:styleId="ListNumber5">
    <w:name w:val="List Number 5"/>
    <w:basedOn w:val="Normal"/>
    <w:semiHidden/>
    <w:unhideWhenUsed/>
    <w:rsid w:val="00A87ADC"/>
    <w:pPr>
      <w:numPr>
        <w:numId w:val="23"/>
      </w:numPr>
      <w:contextualSpacing/>
    </w:pPr>
  </w:style>
  <w:style w:type="table" w:styleId="ListTable1Light">
    <w:name w:val="List Table 1 Light"/>
    <w:basedOn w:val="TableNormal"/>
    <w:uiPriority w:val="46"/>
    <w:rsid w:val="00A87AD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A87AD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A87AD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A87AD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A87AD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A87AD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A87AD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A87AD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A87AD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A87AD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A87AD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A87AD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A87AD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A87AD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A87AD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A87AD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A87AD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A87AD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A87AD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A87AD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A87AD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A87AD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A87AD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A87AD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A87AD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A87AD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A87AD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A87AD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A87AD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A87AD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A87AD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A87AD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A87AD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A87AD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A87AD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A87AD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A87AD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A87AD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A87AD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A87AD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A87AD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A87AD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A87AD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A87AD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A87AD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A87AD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A87AD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A87AD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A87AD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A87ADC"/>
    <w:pPr>
      <w:tabs>
        <w:tab w:val="left" w:pos="480"/>
        <w:tab w:val="left" w:pos="960"/>
        <w:tab w:val="left" w:pos="1440"/>
        <w:tab w:val="left" w:pos="1920"/>
        <w:tab w:val="left" w:pos="2400"/>
        <w:tab w:val="left" w:pos="2880"/>
        <w:tab w:val="left" w:pos="3360"/>
        <w:tab w:val="left" w:pos="3840"/>
        <w:tab w:val="left" w:pos="4320"/>
      </w:tabs>
    </w:pPr>
    <w:rPr>
      <w:rFonts w:ascii="Consolas" w:eastAsia="SimSun" w:hAnsi="Consolas"/>
      <w:lang w:val="fr-FR" w:eastAsia="zh-CN"/>
    </w:rPr>
  </w:style>
  <w:style w:type="character" w:customStyle="1" w:styleId="MacroTextChar">
    <w:name w:val="Macro Text Char"/>
    <w:basedOn w:val="DefaultParagraphFont"/>
    <w:link w:val="MacroText"/>
    <w:rsid w:val="00A87ADC"/>
    <w:rPr>
      <w:rFonts w:ascii="Consolas" w:eastAsia="SimSun" w:hAnsi="Consolas"/>
      <w:lang w:val="fr-FR" w:eastAsia="zh-CN"/>
    </w:rPr>
  </w:style>
  <w:style w:type="table" w:styleId="MediumGrid1">
    <w:name w:val="Medium Grid 1"/>
    <w:basedOn w:val="TableNormal"/>
    <w:uiPriority w:val="67"/>
    <w:semiHidden/>
    <w:unhideWhenUsed/>
    <w:rsid w:val="00A87AD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A87AD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A87AD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A87AD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A87AD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A87AD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A87AD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A87AD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A87AD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A87AD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A87AD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A87AD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A87AD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A87AD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A87AD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A87AD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A87AD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A87AD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A87AD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A87AD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A87AD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A87AD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A87AD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A87AD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A87ADC"/>
    <w:rPr>
      <w:color w:val="2B579A"/>
      <w:shd w:val="clear" w:color="auto" w:fill="E1DFDD"/>
      <w:lang w:val="fr-FR"/>
    </w:rPr>
  </w:style>
  <w:style w:type="paragraph" w:styleId="MessageHeader">
    <w:name w:val="Message Header"/>
    <w:basedOn w:val="Normal"/>
    <w:link w:val="MessageHeaderChar"/>
    <w:rsid w:val="00A87ADC"/>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A87ADC"/>
    <w:rPr>
      <w:rFonts w:asciiTheme="majorHAnsi" w:eastAsiaTheme="majorEastAsia" w:hAnsiTheme="majorHAnsi" w:cstheme="majorBidi"/>
      <w:sz w:val="24"/>
      <w:szCs w:val="24"/>
      <w:shd w:val="pct20" w:color="auto" w:fill="auto"/>
      <w:lang w:val="fr-FR"/>
    </w:rPr>
  </w:style>
  <w:style w:type="paragraph" w:styleId="NoSpacing">
    <w:name w:val="No Spacing"/>
    <w:uiPriority w:val="1"/>
    <w:qFormat/>
    <w:rsid w:val="00A87ADC"/>
    <w:rPr>
      <w:rFonts w:eastAsia="SimSun"/>
      <w:lang w:val="fr-FR" w:eastAsia="zh-CN"/>
    </w:rPr>
  </w:style>
  <w:style w:type="paragraph" w:styleId="NoteHeading">
    <w:name w:val="Note Heading"/>
    <w:basedOn w:val="Normal"/>
    <w:next w:val="Normal"/>
    <w:link w:val="NoteHeadingChar"/>
    <w:semiHidden/>
    <w:unhideWhenUsed/>
    <w:rsid w:val="00A87ADC"/>
  </w:style>
  <w:style w:type="character" w:customStyle="1" w:styleId="NoteHeadingChar">
    <w:name w:val="Note Heading Char"/>
    <w:basedOn w:val="DefaultParagraphFont"/>
    <w:link w:val="NoteHeading"/>
    <w:semiHidden/>
    <w:rsid w:val="00A87ADC"/>
    <w:rPr>
      <w:lang w:val="fr-FR"/>
    </w:rPr>
  </w:style>
  <w:style w:type="character" w:styleId="PlaceholderText">
    <w:name w:val="Placeholder Text"/>
    <w:basedOn w:val="DefaultParagraphFont"/>
    <w:uiPriority w:val="99"/>
    <w:semiHidden/>
    <w:rsid w:val="00A87ADC"/>
    <w:rPr>
      <w:color w:val="666666"/>
      <w:lang w:val="fr-FR"/>
    </w:rPr>
  </w:style>
  <w:style w:type="table" w:styleId="PlainTable1">
    <w:name w:val="Plain Table 1"/>
    <w:basedOn w:val="TableNormal"/>
    <w:rsid w:val="00A87AD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A87AD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A87AD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A87AD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A87AD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A87ADC"/>
    <w:rPr>
      <w:rFonts w:ascii="Consolas" w:hAnsi="Consolas"/>
      <w:sz w:val="21"/>
      <w:szCs w:val="21"/>
    </w:rPr>
  </w:style>
  <w:style w:type="character" w:customStyle="1" w:styleId="PlainTextChar">
    <w:name w:val="Plain Text Char"/>
    <w:basedOn w:val="DefaultParagraphFont"/>
    <w:link w:val="PlainText"/>
    <w:semiHidden/>
    <w:rsid w:val="00A87ADC"/>
    <w:rPr>
      <w:rFonts w:ascii="Consolas" w:hAnsi="Consolas"/>
      <w:sz w:val="21"/>
      <w:szCs w:val="21"/>
      <w:lang w:val="fr-FR"/>
    </w:rPr>
  </w:style>
  <w:style w:type="paragraph" w:styleId="Quote">
    <w:name w:val="Quote"/>
    <w:basedOn w:val="Normal"/>
    <w:next w:val="Normal"/>
    <w:link w:val="QuoteChar"/>
    <w:uiPriority w:val="29"/>
    <w:qFormat/>
    <w:rsid w:val="00A87AD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87ADC"/>
    <w:rPr>
      <w:i/>
      <w:iCs/>
      <w:color w:val="404040" w:themeColor="text1" w:themeTint="BF"/>
      <w:lang w:val="fr-FR"/>
    </w:rPr>
  </w:style>
  <w:style w:type="paragraph" w:styleId="Salutation">
    <w:name w:val="Salutation"/>
    <w:basedOn w:val="Normal"/>
    <w:next w:val="Normal"/>
    <w:link w:val="SalutationChar"/>
    <w:semiHidden/>
    <w:unhideWhenUsed/>
    <w:rsid w:val="00A87ADC"/>
  </w:style>
  <w:style w:type="character" w:customStyle="1" w:styleId="SalutationChar">
    <w:name w:val="Salutation Char"/>
    <w:basedOn w:val="DefaultParagraphFont"/>
    <w:link w:val="Salutation"/>
    <w:semiHidden/>
    <w:rsid w:val="00A87ADC"/>
    <w:rPr>
      <w:lang w:val="fr-FR"/>
    </w:rPr>
  </w:style>
  <w:style w:type="paragraph" w:styleId="Signature">
    <w:name w:val="Signature"/>
    <w:basedOn w:val="Normal"/>
    <w:link w:val="SignatureChar"/>
    <w:semiHidden/>
    <w:unhideWhenUsed/>
    <w:rsid w:val="00A87ADC"/>
    <w:pPr>
      <w:ind w:left="4252"/>
    </w:pPr>
  </w:style>
  <w:style w:type="character" w:customStyle="1" w:styleId="SignatureChar">
    <w:name w:val="Signature Char"/>
    <w:basedOn w:val="DefaultParagraphFont"/>
    <w:link w:val="Signature"/>
    <w:semiHidden/>
    <w:rsid w:val="00A87ADC"/>
    <w:rPr>
      <w:lang w:val="fr-FR"/>
    </w:rPr>
  </w:style>
  <w:style w:type="character" w:styleId="SmartHyperlink">
    <w:name w:val="Smart Hyperlink"/>
    <w:basedOn w:val="DefaultParagraphFont"/>
    <w:uiPriority w:val="99"/>
    <w:semiHidden/>
    <w:unhideWhenUsed/>
    <w:rsid w:val="00A87ADC"/>
    <w:rPr>
      <w:u w:val="dotted"/>
      <w:lang w:val="fr-FR"/>
    </w:rPr>
  </w:style>
  <w:style w:type="character" w:styleId="SmartLink">
    <w:name w:val="Smart Link"/>
    <w:basedOn w:val="DefaultParagraphFont"/>
    <w:uiPriority w:val="99"/>
    <w:semiHidden/>
    <w:unhideWhenUsed/>
    <w:rsid w:val="00A87ADC"/>
    <w:rPr>
      <w:color w:val="0000FF"/>
      <w:u w:val="single"/>
      <w:shd w:val="clear" w:color="auto" w:fill="F3F2F1"/>
      <w:lang w:val="fr-FR"/>
    </w:rPr>
  </w:style>
  <w:style w:type="character" w:styleId="SubtleEmphasis">
    <w:name w:val="Subtle Emphasis"/>
    <w:basedOn w:val="DefaultParagraphFont"/>
    <w:uiPriority w:val="19"/>
    <w:qFormat/>
    <w:rsid w:val="00A87ADC"/>
    <w:rPr>
      <w:i/>
      <w:iCs/>
      <w:color w:val="404040" w:themeColor="text1" w:themeTint="BF"/>
      <w:lang w:val="fr-FR"/>
    </w:rPr>
  </w:style>
  <w:style w:type="character" w:styleId="SubtleReference">
    <w:name w:val="Subtle Reference"/>
    <w:basedOn w:val="DefaultParagraphFont"/>
    <w:uiPriority w:val="31"/>
    <w:qFormat/>
    <w:rsid w:val="00A87ADC"/>
    <w:rPr>
      <w:smallCaps/>
      <w:color w:val="5A5A5A" w:themeColor="text1" w:themeTint="A5"/>
      <w:lang w:val="fr-FR"/>
    </w:rPr>
  </w:style>
  <w:style w:type="table" w:styleId="Table3Deffects1">
    <w:name w:val="Table 3D effects 1"/>
    <w:basedOn w:val="TableNormal"/>
    <w:semiHidden/>
    <w:unhideWhenUsed/>
    <w:rsid w:val="00A87ADC"/>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A87ADC"/>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A87ADC"/>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A87ADC"/>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A87ADC"/>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A87ADC"/>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A87ADC"/>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A87ADC"/>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A87ADC"/>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A87ADC"/>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A87ADC"/>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A87ADC"/>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A87ADC"/>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A87ADC"/>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A87ADC"/>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A87AD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A87ADC"/>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0">
    <w:name w:val="Table Grid 1"/>
    <w:basedOn w:val="TableNormal"/>
    <w:semiHidden/>
    <w:unhideWhenUsed/>
    <w:rsid w:val="00A87ADC"/>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unhideWhenUsed/>
    <w:rsid w:val="00A87ADC"/>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unhideWhenUsed/>
    <w:rsid w:val="00A87ADC"/>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unhideWhenUsed/>
    <w:rsid w:val="00A87ADC"/>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A87ADC"/>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A87ADC"/>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A87ADC"/>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A87ADC"/>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A87AD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A87ADC"/>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A87ADC"/>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A87ADC"/>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A87ADC"/>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A87ADC"/>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A87ADC"/>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A87ADC"/>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A87ADC"/>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A87ADC"/>
    <w:pPr>
      <w:ind w:left="200" w:hanging="200"/>
    </w:pPr>
  </w:style>
  <w:style w:type="table" w:styleId="TableProfessional">
    <w:name w:val="Table Professional"/>
    <w:basedOn w:val="TableNormal"/>
    <w:semiHidden/>
    <w:unhideWhenUsed/>
    <w:rsid w:val="00A87ADC"/>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A87ADC"/>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A87ADC"/>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A87ADC"/>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A87ADC"/>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A87ADC"/>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A87A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A87ADC"/>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A87ADC"/>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A87ADC"/>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A87ADC"/>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A87ADC"/>
    <w:pPr>
      <w:numPr>
        <w:numId w:val="0"/>
      </w:numPr>
      <w:tabs>
        <w:tab w:val="clear" w:pos="1871"/>
        <w:tab w:val="clear" w:pos="2495"/>
        <w:tab w:val="clear" w:pos="3119"/>
        <w:tab w:val="clear" w:pos="3742"/>
        <w:tab w:val="clear" w:pos="4366"/>
      </w:tabs>
      <w:suppressAutoHyphens w:val="0"/>
      <w:spacing w:after="0"/>
      <w:ind w:right="0"/>
      <w:outlineLvl w:val="9"/>
    </w:pPr>
    <w:rPr>
      <w:rFonts w:asciiTheme="majorHAnsi" w:eastAsiaTheme="majorEastAsia" w:hAnsiTheme="majorHAnsi" w:cstheme="majorBidi"/>
      <w:b w:val="0"/>
      <w:color w:val="365F91" w:themeColor="accent1" w:themeShade="BF"/>
      <w:sz w:val="32"/>
      <w:szCs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3.wmf"/><Relationship Id="rId26" Type="http://schemas.openxmlformats.org/officeDocument/2006/relationships/hyperlink" Target="http://www.atsdr.cdc.gov/consultations/west_nile_virus/fenthion.html" TargetMode="External"/><Relationship Id="rId3" Type="http://schemas.openxmlformats.org/officeDocument/2006/relationships/customXml" Target="../customXml/item3.xml"/><Relationship Id="rId21" Type="http://schemas.openxmlformats.org/officeDocument/2006/relationships/hyperlink" Target="http://www.inchem.org/"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hyperlink" Target="http://www.apvma.gov.au/products/review/current/fenthion.php" TargetMode="External"/><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pic.int/TheConvention/ChemicalReviewCommittee/Meetingsanddocuments/CRC9/" TargetMode="External"/><Relationship Id="rId29" Type="http://schemas.openxmlformats.org/officeDocument/2006/relationships/hyperlink" Target="http://www.who.int/ipcs/publications/pesticides_hazard/e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apvma.gov.au/products/review/docs/fenthion_part_2_toxicology_report.pdf" TargetMode="External"/><Relationship Id="rId32" Type="http://schemas.openxmlformats.org/officeDocument/2006/relationships/hyperlink" Target="http://www.epa.gov/pesticides/reregistration/REDs/0290ired.pdf"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5.png"/><Relationship Id="rId28" Type="http://schemas.openxmlformats.org/officeDocument/2006/relationships/hyperlink" Target="http://toxnet.nlm.nih.gov/cgi-bin/sis/htmlgen" TargetMode="External"/><Relationship Id="rId10" Type="http://schemas.openxmlformats.org/officeDocument/2006/relationships/endnotes" Target="endnotes.xml"/><Relationship Id="rId19" Type="http://schemas.openxmlformats.org/officeDocument/2006/relationships/hyperlink" Target="http://www.pic.int" TargetMode="External"/><Relationship Id="rId31" Type="http://schemas.openxmlformats.org/officeDocument/2006/relationships/hyperlink" Target="http://ec.europa.eu/sanco_pesticides/public/?event=activesubstance.ViewReview&amp;id=17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4.jpeg"/><Relationship Id="rId27" Type="http://schemas.openxmlformats.org/officeDocument/2006/relationships/hyperlink" Target="http://extoxnet.orst.edu/pips/fenthion.htm" TargetMode="External"/><Relationship Id="rId30" Type="http://schemas.openxmlformats.org/officeDocument/2006/relationships/hyperlink" Target="http://sitem.herts.ac.uk/aeru/ppdb/en/index.htm" TargetMode="Externa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6f0b1e67-b749-4846-8c2c-7485d5586c1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AE7F64B7898D8448A294D653041AEC1" ma:contentTypeVersion="18" ma:contentTypeDescription="Create a new document." ma:contentTypeScope="" ma:versionID="50935a4596cdc91115b5417454a138bb">
  <xsd:schema xmlns:xsd="http://www.w3.org/2001/XMLSchema" xmlns:xs="http://www.w3.org/2001/XMLSchema" xmlns:p="http://schemas.microsoft.com/office/2006/metadata/properties" xmlns:ns2="6f0b1e67-b749-4846-8c2c-7485d5586c10" xmlns:ns3="985ec44e-1bab-4c0b-9df0-6ba128686fc9" xmlns:ns4="7f93443f-b1c3-42c8-94f5-ed15656364b3" targetNamespace="http://schemas.microsoft.com/office/2006/metadata/properties" ma:root="true" ma:fieldsID="b63eaafd6ec0fa7f3f799c7b947df72e" ns2:_="" ns3:_="" ns4:_="">
    <xsd:import namespace="6f0b1e67-b749-4846-8c2c-7485d5586c10"/>
    <xsd:import namespace="985ec44e-1bab-4c0b-9df0-6ba128686fc9"/>
    <xsd:import namespace="7f93443f-b1c3-42c8-94f5-ed15656364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0b1e67-b749-4846-8c2c-7485d5586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09b722-a7f8-452c-8e1b-05b8dd0fee40}" ma:internalName="TaxCatchAll" ma:showField="CatchAllData" ma:web="7f93443f-b1c3-42c8-94f5-ed15656364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93443f-b1c3-42c8-94f5-ed15656364b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F10565-FD87-4765-87BB-DB19CF113827}">
  <ds:schemaRefs>
    <ds:schemaRef ds:uri="http://schemas.microsoft.com/sharepoint/v3/contenttype/forms"/>
  </ds:schemaRefs>
</ds:datastoreItem>
</file>

<file path=customXml/itemProps2.xml><?xml version="1.0" encoding="utf-8"?>
<ds:datastoreItem xmlns:ds="http://schemas.openxmlformats.org/officeDocument/2006/customXml" ds:itemID="{F768C427-0DB8-41B7-9E74-D3A0EF430C8D}">
  <ds:schemaRefs>
    <ds:schemaRef ds:uri="http://schemas.openxmlformats.org/officeDocument/2006/bibliography"/>
  </ds:schemaRefs>
</ds:datastoreItem>
</file>

<file path=customXml/itemProps3.xml><?xml version="1.0" encoding="utf-8"?>
<ds:datastoreItem xmlns:ds="http://schemas.openxmlformats.org/officeDocument/2006/customXml" ds:itemID="{85C71465-CFF7-4397-8843-B9C313D26581}">
  <ds:schemaRefs>
    <ds:schemaRef ds:uri="http://schemas.microsoft.com/office/2006/metadata/properties"/>
    <ds:schemaRef ds:uri="http://schemas.microsoft.com/office/infopath/2007/PartnerControls"/>
    <ds:schemaRef ds:uri="786100a8-bbaa-48b6-aa10-6d2082f346b4"/>
    <ds:schemaRef ds:uri="985ec44e-1bab-4c0b-9df0-6ba128686fc9"/>
  </ds:schemaRefs>
</ds:datastoreItem>
</file>

<file path=customXml/itemProps4.xml><?xml version="1.0" encoding="utf-8"?>
<ds:datastoreItem xmlns:ds="http://schemas.openxmlformats.org/officeDocument/2006/customXml" ds:itemID="{E9C7707B-F6EF-441A-81CA-9216909262AE}"/>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4</TotalTime>
  <Pages>39</Pages>
  <Words>15345</Words>
  <Characters>93245</Characters>
  <Application>Microsoft Office Word</Application>
  <DocSecurity>0</DocSecurity>
  <PresentationFormat/>
  <Lines>777</Lines>
  <Paragraphs>216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108374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Herimalala Raveloarinjato</dc:creator>
  <cp:keywords/>
  <dc:description/>
  <cp:lastModifiedBy>Leslie Angeles</cp:lastModifiedBy>
  <cp:revision>4</cp:revision>
  <cp:lastPrinted>2024-12-24T12:37:00Z</cp:lastPrinted>
  <dcterms:created xsi:type="dcterms:W3CDTF">2024-12-24T12:37:00Z</dcterms:created>
  <dcterms:modified xsi:type="dcterms:W3CDTF">2025-06-13T10:49:00Z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Category">
    <vt:lpwstr>UNEP-FAO-RC-COP</vt:lpwstr>
  </property>
  <property fmtid="{D5CDD505-2E9C-101B-9397-08002B2CF9AE}" pid="4" name="UNONDCSTES-Language">
    <vt:lpwstr>FR</vt:lpwstr>
  </property>
  <property fmtid="{D5CDD505-2E9C-101B-9397-08002B2CF9AE}" pid="5" name="UNONDCSTES-NoSymbol">
    <vt:lpwstr>1</vt:lpwstr>
  </property>
  <property fmtid="{D5CDD505-2E9C-101B-9397-08002B2CF9AE}" pid="6" name="UNONDCSTES-LangDistr">
    <vt:lpwstr/>
  </property>
  <property fmtid="{D5CDD505-2E9C-101B-9397-08002B2CF9AE}" pid="7" name="UNONDCSTES-Distr">
    <vt:lpwstr>Distr</vt:lpwstr>
  </property>
  <property fmtid="{D5CDD505-2E9C-101B-9397-08002B2CF9AE}" pid="8" name="ContentTypeId">
    <vt:lpwstr>0x0101002AE7F64B7898D8448A294D653041AEC1</vt:lpwstr>
  </property>
  <property fmtid="{D5CDD505-2E9C-101B-9397-08002B2CF9AE}" pid="9" name="MediaServiceImageTags">
    <vt:lpwstr/>
  </property>
</Properties>
</file>