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96" w:type="dxa"/>
        <w:tblLayout w:type="fixed"/>
        <w:tblLook w:val="0000" w:firstRow="0" w:lastRow="0" w:firstColumn="0" w:lastColumn="0" w:noHBand="0" w:noVBand="0"/>
      </w:tblPr>
      <w:tblGrid>
        <w:gridCol w:w="1559"/>
        <w:gridCol w:w="6236"/>
        <w:gridCol w:w="1701"/>
      </w:tblGrid>
      <w:tr w:rsidR="00A81EB1" w:rsidRPr="00DF2323" w14:paraId="66192CCA" w14:textId="77777777" w:rsidTr="00A81EB1">
        <w:trPr>
          <w:trHeight w:val="850"/>
        </w:trPr>
        <w:tc>
          <w:tcPr>
            <w:tcW w:w="1559" w:type="dxa"/>
            <w:shd w:val="clear" w:color="auto" w:fill="auto"/>
          </w:tcPr>
          <w:p w14:paraId="55962F9A" w14:textId="06A4713B" w:rsidR="00A81EB1" w:rsidRPr="00DF2323" w:rsidRDefault="00A81EB1" w:rsidP="00A81EB1">
            <w:pPr>
              <w:pStyle w:val="AUnitedNations"/>
              <w:rPr>
                <w:lang w:val="en-GB"/>
              </w:rPr>
            </w:pPr>
            <w:r w:rsidRPr="00DF2323">
              <w:rPr>
                <w:lang w:val="en-GB"/>
              </w:rPr>
              <w:t xml:space="preserve">United </w:t>
            </w:r>
            <w:r w:rsidRPr="00DF2323">
              <w:rPr>
                <w:lang w:val="en-GB"/>
              </w:rPr>
              <w:br/>
              <w:t>Nations</w:t>
            </w:r>
          </w:p>
        </w:tc>
        <w:tc>
          <w:tcPr>
            <w:tcW w:w="6236" w:type="dxa"/>
            <w:shd w:val="clear" w:color="auto" w:fill="auto"/>
          </w:tcPr>
          <w:p w14:paraId="7DAD14A3" w14:textId="1CCFD3E4" w:rsidR="00A81EB1" w:rsidRPr="00DF2323" w:rsidRDefault="00A81EB1" w:rsidP="00A81EB1">
            <w:pPr>
              <w:pStyle w:val="Normal-pool"/>
              <w:rPr>
                <w:lang w:val="en-GB"/>
              </w:rPr>
            </w:pPr>
            <w:r w:rsidRPr="00DF2323">
              <w:rPr>
                <w:noProof/>
                <w:lang w:val="en-GB"/>
                <w14:ligatures w14:val="standardContextual"/>
              </w:rPr>
              <w:drawing>
                <wp:anchor distT="0" distB="0" distL="114300" distR="114300" simplePos="0" relativeHeight="251658240" behindDoc="0" locked="0" layoutInCell="1" allowOverlap="1" wp14:anchorId="6C00A42C" wp14:editId="1D3758E8">
                  <wp:simplePos x="0" y="0"/>
                  <wp:positionH relativeFrom="column">
                    <wp:posOffset>3175</wp:posOffset>
                  </wp:positionH>
                  <wp:positionV relativeFrom="paragraph">
                    <wp:posOffset>-4445</wp:posOffset>
                  </wp:positionV>
                  <wp:extent cx="3822700" cy="485140"/>
                  <wp:effectExtent l="0" t="0" r="6350" b="0"/>
                  <wp:wrapNone/>
                  <wp:docPr id="1722074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7419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22700" cy="485140"/>
                          </a:xfrm>
                          <a:prstGeom prst="rect">
                            <a:avLst/>
                          </a:prstGeom>
                        </pic:spPr>
                      </pic:pic>
                    </a:graphicData>
                  </a:graphic>
                </wp:anchor>
              </w:drawing>
            </w:r>
          </w:p>
        </w:tc>
        <w:tc>
          <w:tcPr>
            <w:tcW w:w="1701" w:type="dxa"/>
            <w:shd w:val="clear" w:color="auto" w:fill="auto"/>
          </w:tcPr>
          <w:p w14:paraId="73FDAE6B" w14:textId="77777777" w:rsidR="00A81EB1" w:rsidRPr="00DF2323" w:rsidRDefault="00A81EB1" w:rsidP="00A81EB1">
            <w:pPr>
              <w:pStyle w:val="Normal-pool"/>
              <w:rPr>
                <w:lang w:val="en-GB"/>
              </w:rPr>
            </w:pPr>
          </w:p>
        </w:tc>
      </w:tr>
    </w:tbl>
    <w:p w14:paraId="494572D6" w14:textId="77777777" w:rsidR="0028484D" w:rsidRPr="00DF2323" w:rsidRDefault="0028484D" w:rsidP="00A81EB1">
      <w:pPr>
        <w:pStyle w:val="ASpacer"/>
        <w:rPr>
          <w:lang w:val="en-GB"/>
        </w:rPr>
      </w:pPr>
    </w:p>
    <w:tbl>
      <w:tblPr>
        <w:tblW w:w="9496" w:type="dxa"/>
        <w:tblLook w:val="0000" w:firstRow="0" w:lastRow="0" w:firstColumn="0" w:lastColumn="0" w:noHBand="0" w:noVBand="0"/>
      </w:tblPr>
      <w:tblGrid>
        <w:gridCol w:w="6665"/>
        <w:gridCol w:w="2831"/>
      </w:tblGrid>
      <w:tr w:rsidR="00A81EB1" w:rsidRPr="00DF2323" w14:paraId="19AB24D4" w14:textId="77777777" w:rsidTr="00A81EB1">
        <w:trPr>
          <w:trHeight w:val="340"/>
        </w:trPr>
        <w:tc>
          <w:tcPr>
            <w:tcW w:w="3657" w:type="pct"/>
            <w:shd w:val="clear" w:color="auto" w:fill="auto"/>
            <w:vAlign w:val="bottom"/>
          </w:tcPr>
          <w:p w14:paraId="00B01373" w14:textId="77777777" w:rsidR="00A81EB1" w:rsidRPr="00DF2323" w:rsidRDefault="00A81EB1" w:rsidP="00A81EB1">
            <w:pPr>
              <w:pStyle w:val="Normal-pool"/>
              <w:rPr>
                <w:lang w:val="en-GB"/>
              </w:rPr>
            </w:pPr>
          </w:p>
        </w:tc>
        <w:tc>
          <w:tcPr>
            <w:tcW w:w="1343" w:type="pct"/>
            <w:shd w:val="clear" w:color="auto" w:fill="auto"/>
            <w:noWrap/>
            <w:vAlign w:val="bottom"/>
          </w:tcPr>
          <w:p w14:paraId="7DE6C89D" w14:textId="7366805A" w:rsidR="00A81EB1" w:rsidRPr="00DF2323" w:rsidRDefault="00A81EB1" w:rsidP="00A81EB1">
            <w:pPr>
              <w:pStyle w:val="ASymbol"/>
              <w:rPr>
                <w:lang w:val="en-GB"/>
              </w:rPr>
            </w:pPr>
            <w:r w:rsidRPr="00DF2323">
              <w:rPr>
                <w:b/>
                <w:sz w:val="28"/>
                <w:lang w:val="en-GB"/>
              </w:rPr>
              <w:t>UNEP/FAO</w:t>
            </w:r>
            <w:r w:rsidRPr="00DF2323">
              <w:rPr>
                <w:lang w:val="en-GB"/>
              </w:rPr>
              <w:t>/RC/CRC.</w:t>
            </w:r>
            <w:bookmarkStart w:id="0" w:name="Symbol1A"/>
            <w:r w:rsidRPr="00DF2323">
              <w:rPr>
                <w:lang w:val="en-GB"/>
              </w:rPr>
              <w:t>19</w:t>
            </w:r>
            <w:bookmarkStart w:id="1" w:name="Symbol1B"/>
            <w:bookmarkEnd w:id="0"/>
            <w:r w:rsidR="00761FB8" w:rsidRPr="00DF2323">
              <w:rPr>
                <w:lang w:val="en-GB"/>
              </w:rPr>
              <w:t>/4</w:t>
            </w:r>
            <w:bookmarkEnd w:id="1"/>
          </w:p>
        </w:tc>
      </w:tr>
    </w:tbl>
    <w:p w14:paraId="4D5E0D93" w14:textId="77777777" w:rsidR="00A81EB1" w:rsidRPr="00DF2323" w:rsidRDefault="00A81EB1" w:rsidP="00A81EB1">
      <w:pPr>
        <w:pStyle w:val="ASpacer"/>
        <w:rPr>
          <w:lang w:val="en-GB"/>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1559"/>
        <w:gridCol w:w="5386"/>
        <w:gridCol w:w="2551"/>
      </w:tblGrid>
      <w:tr w:rsidR="00A81EB1" w:rsidRPr="00DF2323" w14:paraId="5D101739" w14:textId="77777777" w:rsidTr="00A81EB1">
        <w:trPr>
          <w:trHeight w:val="2098"/>
        </w:trPr>
        <w:tc>
          <w:tcPr>
            <w:tcW w:w="1559" w:type="dxa"/>
            <w:shd w:val="clear" w:color="auto" w:fill="auto"/>
          </w:tcPr>
          <w:p w14:paraId="460B452A" w14:textId="15360448" w:rsidR="00A81EB1" w:rsidRPr="00DF2323" w:rsidRDefault="00A81EB1" w:rsidP="00A81EB1">
            <w:pPr>
              <w:pStyle w:val="ALogo"/>
              <w:rPr>
                <w:lang w:val="en-GB"/>
              </w:rPr>
            </w:pPr>
            <w:r w:rsidRPr="00DF2323">
              <w:rPr>
                <w:noProof/>
                <w:lang w:val="en-GB"/>
                <w14:ligatures w14:val="standardContextual"/>
              </w:rPr>
              <w:drawing>
                <wp:inline distT="0" distB="0" distL="0" distR="0" wp14:anchorId="544EFCA5" wp14:editId="3B9B6D33">
                  <wp:extent cx="852805" cy="807085"/>
                  <wp:effectExtent l="0" t="0" r="4445" b="0"/>
                  <wp:docPr id="1592089199" name="Picture 2"/>
                  <wp:cNvGraphicFramePr/>
                  <a:graphic xmlns:a="http://schemas.openxmlformats.org/drawingml/2006/main">
                    <a:graphicData uri="http://schemas.openxmlformats.org/drawingml/2006/picture">
                      <pic:pic xmlns:pic="http://schemas.openxmlformats.org/drawingml/2006/picture">
                        <pic:nvPicPr>
                          <pic:cNvPr id="1592089199" name=""/>
                          <pic:cNvPicPr/>
                        </pic:nvPicPr>
                        <pic:blipFill>
                          <a:blip r:embed="rId12">
                            <a:extLst>
                              <a:ext uri="{28A0092B-C50C-407E-A947-70E740481C1C}">
                                <a14:useLocalDpi xmlns:a14="http://schemas.microsoft.com/office/drawing/2010/main" val="0"/>
                              </a:ext>
                            </a:extLst>
                          </a:blip>
                          <a:stretch>
                            <a:fillRect/>
                          </a:stretch>
                        </pic:blipFill>
                        <pic:spPr>
                          <a:xfrm>
                            <a:off x="0" y="0"/>
                            <a:ext cx="852805" cy="807085"/>
                          </a:xfrm>
                          <a:prstGeom prst="rect">
                            <a:avLst/>
                          </a:prstGeom>
                        </pic:spPr>
                      </pic:pic>
                    </a:graphicData>
                  </a:graphic>
                </wp:inline>
              </w:drawing>
            </w:r>
            <w:r w:rsidRPr="00DF2323">
              <w:rPr>
                <w:lang w:val="en-GB"/>
              </w:rPr>
              <w:t xml:space="preserve"> </w:t>
            </w:r>
          </w:p>
          <w:p w14:paraId="12238938" w14:textId="1E372ECE" w:rsidR="00A81EB1" w:rsidRPr="00DF2323" w:rsidRDefault="00A81EB1" w:rsidP="00A81EB1">
            <w:pPr>
              <w:pStyle w:val="ALogo"/>
              <w:rPr>
                <w:lang w:val="en-GB"/>
              </w:rPr>
            </w:pPr>
          </w:p>
        </w:tc>
        <w:tc>
          <w:tcPr>
            <w:tcW w:w="5386" w:type="dxa"/>
            <w:shd w:val="clear" w:color="auto" w:fill="auto"/>
          </w:tcPr>
          <w:p w14:paraId="7853E416" w14:textId="7DFB4963" w:rsidR="00A81EB1" w:rsidRPr="00DF2323" w:rsidRDefault="00A81EB1" w:rsidP="00A81EB1">
            <w:pPr>
              <w:pStyle w:val="AConvName"/>
              <w:rPr>
                <w:lang w:val="en-GB"/>
              </w:rPr>
            </w:pPr>
            <w:r w:rsidRPr="00DF2323">
              <w:rPr>
                <w:lang w:val="en-GB"/>
              </w:rPr>
              <w:t xml:space="preserve">Rotterdam Convention on the Prior </w:t>
            </w:r>
            <w:r w:rsidRPr="00DF2323">
              <w:rPr>
                <w:lang w:val="en-GB"/>
              </w:rPr>
              <w:br/>
              <w:t xml:space="preserve">Informed Consent Procedure for </w:t>
            </w:r>
            <w:r w:rsidRPr="00DF2323">
              <w:rPr>
                <w:lang w:val="en-GB"/>
              </w:rPr>
              <w:br/>
              <w:t xml:space="preserve">Certain Hazardous Chemicals and </w:t>
            </w:r>
            <w:r w:rsidRPr="00DF2323">
              <w:rPr>
                <w:lang w:val="en-GB"/>
              </w:rPr>
              <w:br/>
              <w:t>Pesticides in International Trade</w:t>
            </w:r>
          </w:p>
        </w:tc>
        <w:tc>
          <w:tcPr>
            <w:tcW w:w="2551" w:type="dxa"/>
            <w:shd w:val="clear" w:color="auto" w:fill="auto"/>
          </w:tcPr>
          <w:p w14:paraId="6036E0AA" w14:textId="0E647A03" w:rsidR="00DC2EC2" w:rsidRPr="00DF2323" w:rsidRDefault="00A81EB1" w:rsidP="00A81EB1">
            <w:pPr>
              <w:pStyle w:val="AText"/>
              <w:rPr>
                <w:lang w:val="en-GB"/>
              </w:rPr>
            </w:pPr>
            <w:r w:rsidRPr="00DF2323">
              <w:rPr>
                <w:lang w:val="en-GB"/>
              </w:rPr>
              <w:t xml:space="preserve">Distr.: </w:t>
            </w:r>
            <w:bookmarkStart w:id="2" w:name="Distribution"/>
            <w:r w:rsidR="00761FB8" w:rsidRPr="00DF2323">
              <w:rPr>
                <w:lang w:val="en-GB"/>
              </w:rPr>
              <w:t>General</w:t>
            </w:r>
            <w:bookmarkEnd w:id="2"/>
          </w:p>
          <w:p w14:paraId="3E15F038" w14:textId="6546700B" w:rsidR="00A81EB1" w:rsidRPr="00DF2323" w:rsidRDefault="00761FB8" w:rsidP="00DC2EC2">
            <w:pPr>
              <w:pStyle w:val="AText0"/>
              <w:rPr>
                <w:lang w:val="en-GB"/>
              </w:rPr>
            </w:pPr>
            <w:bookmarkStart w:id="3" w:name="DistributionDate"/>
            <w:r w:rsidRPr="00DF2323">
              <w:rPr>
                <w:lang w:val="en-GB"/>
              </w:rPr>
              <w:t>15 June 2023</w:t>
            </w:r>
            <w:bookmarkEnd w:id="3"/>
            <w:r w:rsidR="00A81EB1" w:rsidRPr="00DF2323">
              <w:rPr>
                <w:lang w:val="en-GB"/>
              </w:rPr>
              <w:t xml:space="preserve"> </w:t>
            </w:r>
          </w:p>
          <w:p w14:paraId="4562096B" w14:textId="42C779ED" w:rsidR="00A81EB1" w:rsidRPr="00DF2323" w:rsidRDefault="001244DE" w:rsidP="00A81EB1">
            <w:pPr>
              <w:pStyle w:val="AText"/>
              <w:rPr>
                <w:lang w:val="en-GB"/>
              </w:rPr>
            </w:pPr>
            <w:r w:rsidRPr="00DF2323">
              <w:rPr>
                <w:lang w:val="en-GB"/>
              </w:rPr>
              <w:t>Original: English</w:t>
            </w:r>
          </w:p>
        </w:tc>
      </w:tr>
    </w:tbl>
    <w:p w14:paraId="18ED0D8E" w14:textId="77777777" w:rsidR="00A81EB1" w:rsidRPr="00DF2323" w:rsidRDefault="00A81EB1" w:rsidP="00A81EB1">
      <w:pPr>
        <w:pStyle w:val="ASpacer"/>
        <w:rPr>
          <w:lang w:val="en-GB"/>
        </w:rPr>
      </w:pPr>
    </w:p>
    <w:tbl>
      <w:tblPr>
        <w:tblW w:w="9497" w:type="dxa"/>
        <w:tblLayout w:type="fixed"/>
        <w:tblCellMar>
          <w:left w:w="0" w:type="dxa"/>
          <w:right w:w="0" w:type="dxa"/>
        </w:tblCellMar>
        <w:tblLook w:val="0000" w:firstRow="0" w:lastRow="0" w:firstColumn="0" w:lastColumn="0" w:noHBand="0" w:noVBand="0"/>
      </w:tblPr>
      <w:tblGrid>
        <w:gridCol w:w="5528"/>
        <w:gridCol w:w="3969"/>
      </w:tblGrid>
      <w:tr w:rsidR="00A81EB1" w:rsidRPr="00DF2323" w14:paraId="780BFE40" w14:textId="77777777" w:rsidTr="00A81EB1">
        <w:trPr>
          <w:trHeight w:val="57"/>
        </w:trPr>
        <w:tc>
          <w:tcPr>
            <w:tcW w:w="5528" w:type="dxa"/>
            <w:shd w:val="clear" w:color="auto" w:fill="auto"/>
          </w:tcPr>
          <w:p w14:paraId="550CF00C" w14:textId="77777777" w:rsidR="00A81EB1" w:rsidRPr="00DF2323" w:rsidRDefault="00A81EB1" w:rsidP="00A81EB1">
            <w:pPr>
              <w:pStyle w:val="AATitle"/>
              <w:rPr>
                <w:lang w:val="en-GB"/>
              </w:rPr>
            </w:pPr>
            <w:bookmarkStart w:id="4" w:name="CorNot1Text"/>
            <w:r w:rsidRPr="00DF2323">
              <w:rPr>
                <w:lang w:val="en-GB"/>
              </w:rPr>
              <w:t xml:space="preserve">Chemical Review Committee </w:t>
            </w:r>
          </w:p>
          <w:p w14:paraId="6C0938E7" w14:textId="004395A0" w:rsidR="00A81EB1" w:rsidRPr="00DF2323" w:rsidRDefault="00A81EB1" w:rsidP="00A81EB1">
            <w:pPr>
              <w:pStyle w:val="AATitle"/>
              <w:rPr>
                <w:lang w:val="en-GB"/>
              </w:rPr>
            </w:pPr>
            <w:r w:rsidRPr="00DF2323">
              <w:rPr>
                <w:lang w:val="en-GB"/>
              </w:rPr>
              <w:t>Nineteenth meeting</w:t>
            </w:r>
            <w:bookmarkEnd w:id="4"/>
            <w:r w:rsidRPr="00DF2323">
              <w:rPr>
                <w:lang w:val="en-GB"/>
              </w:rPr>
              <w:t xml:space="preserve"> </w:t>
            </w:r>
          </w:p>
          <w:p w14:paraId="4B0227AD" w14:textId="2F32B03D" w:rsidR="00A81EB1" w:rsidRPr="00DF2323" w:rsidRDefault="00A81EB1" w:rsidP="00A81EB1">
            <w:pPr>
              <w:pStyle w:val="AATitle1"/>
              <w:rPr>
                <w:lang w:val="en-GB"/>
              </w:rPr>
            </w:pPr>
            <w:bookmarkStart w:id="5" w:name="CorNot1VenueDate"/>
            <w:r w:rsidRPr="00DF2323">
              <w:rPr>
                <w:lang w:val="en-GB"/>
              </w:rPr>
              <w:t>Rome, 3–6 October 2023</w:t>
            </w:r>
            <w:bookmarkEnd w:id="5"/>
            <w:r w:rsidRPr="00DF2323">
              <w:rPr>
                <w:lang w:val="en-GB"/>
              </w:rPr>
              <w:t xml:space="preserve"> </w:t>
            </w:r>
          </w:p>
          <w:p w14:paraId="74798DF5" w14:textId="2C8E8D4D" w:rsidR="00A81EB1" w:rsidRPr="00DF2323" w:rsidRDefault="00B55200" w:rsidP="00A81EB1">
            <w:pPr>
              <w:pStyle w:val="AATitle1"/>
              <w:rPr>
                <w:lang w:val="en-GB"/>
              </w:rPr>
            </w:pPr>
            <w:bookmarkStart w:id="6" w:name="CorNot1AgItem"/>
            <w:r w:rsidRPr="00DF2323">
              <w:rPr>
                <w:lang w:val="en-GB"/>
              </w:rPr>
              <w:t>Item 5 (a) (ii) of the provisional agenda</w:t>
            </w:r>
            <w:bookmarkEnd w:id="6"/>
            <w:r w:rsidR="005828C4" w:rsidRPr="00DF2323">
              <w:rPr>
                <w:szCs w:val="18"/>
                <w:lang w:val="en-GB"/>
              </w:rPr>
              <w:footnoteReference w:customMarkFollows="1" w:id="1"/>
              <w:t>*</w:t>
            </w:r>
            <w:r w:rsidR="00A81EB1" w:rsidRPr="00DF2323">
              <w:rPr>
                <w:lang w:val="en-GB"/>
              </w:rPr>
              <w:t xml:space="preserve"> </w:t>
            </w:r>
          </w:p>
          <w:p w14:paraId="5E4CE114" w14:textId="030D05F4" w:rsidR="00A81EB1" w:rsidRPr="00DF2323" w:rsidRDefault="00B55200" w:rsidP="00A81EB1">
            <w:pPr>
              <w:pStyle w:val="AATitle2"/>
              <w:rPr>
                <w:lang w:val="en-GB"/>
              </w:rPr>
            </w:pPr>
            <w:bookmarkStart w:id="7" w:name="CorNot1AgTitle"/>
            <w:r w:rsidRPr="00DF2323">
              <w:rPr>
                <w:lang w:val="en-GB"/>
              </w:rPr>
              <w:t>Technical work: consideration of draft decision guidance documents: paraquat</w:t>
            </w:r>
            <w:bookmarkEnd w:id="7"/>
          </w:p>
        </w:tc>
        <w:tc>
          <w:tcPr>
            <w:tcW w:w="3969" w:type="dxa"/>
            <w:shd w:val="clear" w:color="auto" w:fill="auto"/>
          </w:tcPr>
          <w:p w14:paraId="4663A70A" w14:textId="77777777" w:rsidR="00A81EB1" w:rsidRPr="00DF2323" w:rsidRDefault="00A81EB1" w:rsidP="00A81EB1">
            <w:pPr>
              <w:pStyle w:val="Normal-pool"/>
              <w:rPr>
                <w:lang w:val="en-GB"/>
              </w:rPr>
            </w:pPr>
          </w:p>
        </w:tc>
      </w:tr>
    </w:tbl>
    <w:p w14:paraId="06A6670F" w14:textId="77777777" w:rsidR="009C38E1" w:rsidRPr="00DF2323" w:rsidRDefault="009C38E1" w:rsidP="009C38E1">
      <w:pPr>
        <w:pStyle w:val="BBTitle"/>
        <w:rPr>
          <w:lang w:val="en-GB"/>
        </w:rPr>
      </w:pPr>
      <w:r w:rsidRPr="00DF2323">
        <w:rPr>
          <w:lang w:val="en-GB"/>
        </w:rPr>
        <w:t xml:space="preserve">Draft decision guidance document for paraquat </w:t>
      </w:r>
    </w:p>
    <w:p w14:paraId="38CC560F" w14:textId="77777777" w:rsidR="009C38E1" w:rsidRPr="00DF2323" w:rsidRDefault="009C38E1" w:rsidP="009C38E1">
      <w:pPr>
        <w:keepNext/>
        <w:keepLines/>
        <w:tabs>
          <w:tab w:val="right" w:pos="851"/>
          <w:tab w:val="left" w:pos="1247"/>
          <w:tab w:val="left" w:pos="1814"/>
          <w:tab w:val="left" w:pos="2381"/>
          <w:tab w:val="left" w:pos="2948"/>
          <w:tab w:val="left" w:pos="3515"/>
          <w:tab w:val="left" w:pos="4082"/>
        </w:tabs>
        <w:suppressAutoHyphens/>
        <w:spacing w:before="240" w:after="120"/>
        <w:ind w:left="2494" w:right="284" w:hanging="1247"/>
        <w:rPr>
          <w:rFonts w:eastAsia="Times New Roman"/>
          <w:b/>
          <w:lang w:eastAsia="en-GB"/>
        </w:rPr>
      </w:pPr>
      <w:r w:rsidRPr="00DF2323">
        <w:rPr>
          <w:rFonts w:eastAsia="Times New Roman"/>
          <w:b/>
          <w:lang w:eastAsia="en-GB"/>
        </w:rPr>
        <w:t>Note by the Secretariat</w:t>
      </w:r>
    </w:p>
    <w:p w14:paraId="120E4C5A" w14:textId="77777777" w:rsidR="009C38E1" w:rsidRPr="00DF2323" w:rsidRDefault="009C38E1" w:rsidP="009C38E1">
      <w:pPr>
        <w:pStyle w:val="CH1"/>
        <w:rPr>
          <w:b w:val="0"/>
          <w:lang w:val="en-GB"/>
        </w:rPr>
      </w:pPr>
      <w:r w:rsidRPr="00DF2323">
        <w:rPr>
          <w:lang w:val="en-GB"/>
        </w:rPr>
        <w:tab/>
        <w:t>I.</w:t>
      </w:r>
      <w:r w:rsidRPr="00DF2323">
        <w:rPr>
          <w:lang w:val="en-GB"/>
        </w:rPr>
        <w:tab/>
        <w:t>Introduction</w:t>
      </w:r>
    </w:p>
    <w:p w14:paraId="4993D670" w14:textId="77777777" w:rsidR="009C38E1" w:rsidRPr="00DF2323" w:rsidRDefault="009C38E1" w:rsidP="00A220EF">
      <w:pPr>
        <w:pStyle w:val="Normalnumber"/>
        <w:numPr>
          <w:ilvl w:val="0"/>
          <w:numId w:val="34"/>
        </w:numPr>
        <w:tabs>
          <w:tab w:val="clear" w:pos="567"/>
          <w:tab w:val="num" w:pos="624"/>
        </w:tabs>
        <w:rPr>
          <w:rFonts w:eastAsia="Times New Roman"/>
          <w:sz w:val="20"/>
          <w:szCs w:val="20"/>
          <w:lang w:eastAsia="en-US"/>
        </w:rPr>
      </w:pPr>
      <w:r w:rsidRPr="00DF2323">
        <w:rPr>
          <w:rFonts w:eastAsia="Times New Roman"/>
          <w:sz w:val="20"/>
          <w:szCs w:val="20"/>
          <w:lang w:eastAsia="en-US"/>
        </w:rPr>
        <w:t xml:space="preserve">At its eighteenth meeting, the Chemical Review Committee reviewed notifications of final regulatory action for paraquat submitted by Malaysia and Mozambique, together with the supporting documentation referred to therein, and concluded that the notifications met all the criteria of Annex II to the Rotterdam Convention on the Prior Informed Consent Procedure for Certain Hazardous Chemicals and Pesticides in International Trade. </w:t>
      </w:r>
    </w:p>
    <w:p w14:paraId="479653F0" w14:textId="02A59F8E" w:rsidR="009C38E1" w:rsidRPr="00DF2323" w:rsidRDefault="009C38E1" w:rsidP="00A220EF">
      <w:pPr>
        <w:pStyle w:val="Normalnumber"/>
        <w:numPr>
          <w:ilvl w:val="0"/>
          <w:numId w:val="34"/>
        </w:numPr>
        <w:tabs>
          <w:tab w:val="clear" w:pos="567"/>
          <w:tab w:val="num" w:pos="624"/>
        </w:tabs>
        <w:rPr>
          <w:rFonts w:eastAsia="Times New Roman"/>
          <w:sz w:val="20"/>
          <w:szCs w:val="20"/>
          <w:lang w:eastAsia="en-US"/>
        </w:rPr>
      </w:pPr>
      <w:r w:rsidRPr="00DF2323">
        <w:rPr>
          <w:rFonts w:eastAsia="Times New Roman"/>
          <w:sz w:val="20"/>
          <w:szCs w:val="20"/>
          <w:lang w:eastAsia="en-US"/>
        </w:rPr>
        <w:t xml:space="preserve">In decision CRC-18/4, the Committee adopted a rationale for its conclusion related to the notifications from Malaysia and Mozambique and recommended, in accordance with paragraph 6 of Article 5 of the Convention, that the Conference of the Parties list paraquat in Annex III to the Convention as a pesticide. By paragraph 4 of that decision, the Committee decided, in accordance with paragraph 1 of Article 7 of the Convention, to prepare a draft decision guidance document for paraquat. </w:t>
      </w:r>
    </w:p>
    <w:p w14:paraId="6D1F0270" w14:textId="26E6C209" w:rsidR="009C38E1" w:rsidRPr="00DF2323" w:rsidRDefault="009C38E1" w:rsidP="00A220EF">
      <w:pPr>
        <w:pStyle w:val="Normalnumber"/>
        <w:numPr>
          <w:ilvl w:val="0"/>
          <w:numId w:val="34"/>
        </w:numPr>
        <w:tabs>
          <w:tab w:val="clear" w:pos="567"/>
          <w:tab w:val="num" w:pos="624"/>
        </w:tabs>
        <w:rPr>
          <w:rFonts w:eastAsia="Times New Roman"/>
          <w:sz w:val="20"/>
          <w:szCs w:val="20"/>
          <w:lang w:eastAsia="en-US"/>
        </w:rPr>
      </w:pPr>
      <w:r w:rsidRPr="00DF2323">
        <w:rPr>
          <w:rFonts w:eastAsia="Times New Roman"/>
          <w:sz w:val="20"/>
          <w:szCs w:val="20"/>
          <w:lang w:eastAsia="en-US"/>
        </w:rPr>
        <w:t>Pursuant to decision CRC-18/4 and the workplan for the preparation of draft decision guidance documents adopted by the Committee (UNEP/FAO/RC/CRC.18/15, annex III), the intersessional drafting group established at the eighteenth meeting has prepared a draft decision guidance document for paraquat, which is set out in the annex to the present note</w:t>
      </w:r>
      <w:r w:rsidR="00311E7A" w:rsidRPr="00DF2323">
        <w:rPr>
          <w:rFonts w:eastAsia="Times New Roman"/>
          <w:sz w:val="20"/>
          <w:szCs w:val="20"/>
          <w:lang w:eastAsia="en-US"/>
        </w:rPr>
        <w:t>,</w:t>
      </w:r>
      <w:r w:rsidRPr="00DF2323">
        <w:rPr>
          <w:rFonts w:eastAsia="Times New Roman"/>
          <w:sz w:val="20"/>
          <w:szCs w:val="20"/>
          <w:lang w:eastAsia="en-US"/>
        </w:rPr>
        <w:t xml:space="preserve"> without formal editing. A compilation of comments relating to the draft decision guidance document received from Committee members and observers, including information on how th</w:t>
      </w:r>
      <w:r w:rsidR="00A41185" w:rsidRPr="00DF2323">
        <w:rPr>
          <w:rFonts w:eastAsia="Times New Roman"/>
          <w:sz w:val="20"/>
          <w:szCs w:val="20"/>
          <w:lang w:eastAsia="en-US"/>
        </w:rPr>
        <w:t>ose comments</w:t>
      </w:r>
      <w:r w:rsidRPr="00DF2323">
        <w:rPr>
          <w:rFonts w:eastAsia="Times New Roman"/>
          <w:sz w:val="20"/>
          <w:szCs w:val="20"/>
          <w:lang w:eastAsia="en-US"/>
        </w:rPr>
        <w:t xml:space="preserve"> were addressed, is set out in document UNEP/FAO/RC/CRC.18/INF/5.</w:t>
      </w:r>
    </w:p>
    <w:p w14:paraId="59AD843D" w14:textId="77777777" w:rsidR="009C38E1" w:rsidRPr="00DF2323" w:rsidRDefault="009C38E1" w:rsidP="009C38E1">
      <w:pPr>
        <w:pStyle w:val="CH1"/>
        <w:rPr>
          <w:b w:val="0"/>
          <w:lang w:val="en-GB" w:eastAsia="en-GB"/>
        </w:rPr>
      </w:pPr>
      <w:r w:rsidRPr="00DF2323">
        <w:rPr>
          <w:lang w:val="en-GB" w:eastAsia="en-GB"/>
        </w:rPr>
        <w:tab/>
        <w:t>II.</w:t>
      </w:r>
      <w:r w:rsidRPr="00DF2323">
        <w:rPr>
          <w:lang w:val="en-GB" w:eastAsia="en-GB"/>
        </w:rPr>
        <w:tab/>
        <w:t>Proposed action</w:t>
      </w:r>
    </w:p>
    <w:p w14:paraId="70B6F43F" w14:textId="77777777" w:rsidR="009C38E1" w:rsidRPr="00DF2323" w:rsidRDefault="009C38E1" w:rsidP="00A220EF">
      <w:pPr>
        <w:pStyle w:val="Normalnumber"/>
        <w:numPr>
          <w:ilvl w:val="0"/>
          <w:numId w:val="34"/>
        </w:numPr>
        <w:tabs>
          <w:tab w:val="clear" w:pos="567"/>
          <w:tab w:val="num" w:pos="624"/>
        </w:tabs>
        <w:rPr>
          <w:rFonts w:eastAsia="Times New Roman"/>
          <w:sz w:val="20"/>
          <w:szCs w:val="20"/>
          <w:lang w:eastAsia="en-US"/>
        </w:rPr>
      </w:pPr>
      <w:r w:rsidRPr="00DF2323">
        <w:rPr>
          <w:rFonts w:eastAsia="Times New Roman"/>
          <w:sz w:val="20"/>
          <w:szCs w:val="20"/>
          <w:lang w:eastAsia="en-US"/>
        </w:rPr>
        <w:t>The Committee may wish to finalize the draft decision guidance document and to forward it, together with its recommendation to list paraquat in Annex III to the Convention as a pesticide, for consideration by the Conference of the Parties at its twelfth meeting.</w:t>
      </w:r>
    </w:p>
    <w:p w14:paraId="35C4F7CB" w14:textId="77777777" w:rsidR="009C38E1" w:rsidRPr="00DF2323" w:rsidRDefault="009C38E1" w:rsidP="009C38E1">
      <w:pPr>
        <w:pStyle w:val="Normal-pool"/>
        <w:rPr>
          <w:lang w:val="en-GB"/>
        </w:rPr>
      </w:pPr>
      <w:r w:rsidRPr="00DF2323">
        <w:rPr>
          <w:lang w:val="en-GB"/>
        </w:rPr>
        <w:br w:type="page"/>
      </w:r>
    </w:p>
    <w:p w14:paraId="6062F798" w14:textId="7DAE96A1" w:rsidR="009C38E1" w:rsidRPr="00DF2323" w:rsidRDefault="009C38E1" w:rsidP="009C38E1">
      <w:pPr>
        <w:pStyle w:val="ZZAnxheader"/>
        <w:rPr>
          <w:lang w:val="en-GB"/>
        </w:rPr>
      </w:pPr>
      <w:r w:rsidRPr="00DF2323">
        <w:rPr>
          <w:lang w:val="en-GB"/>
        </w:rPr>
        <w:lastRenderedPageBreak/>
        <w:t>Annex</w:t>
      </w:r>
    </w:p>
    <w:p w14:paraId="4FC15BAF" w14:textId="77777777" w:rsidR="009C38E1" w:rsidRPr="00DF2323" w:rsidRDefault="009C38E1" w:rsidP="009C38E1">
      <w:pPr>
        <w:pStyle w:val="ZZAnxheader"/>
        <w:rPr>
          <w:lang w:val="en-GB"/>
        </w:rPr>
      </w:pPr>
    </w:p>
    <w:p w14:paraId="47E71DC4" w14:textId="77777777" w:rsidR="009C38E1" w:rsidRPr="00DF2323" w:rsidRDefault="009C38E1" w:rsidP="009C38E1">
      <w:pPr>
        <w:pStyle w:val="ZZAnxheader"/>
        <w:rPr>
          <w:lang w:val="en-GB"/>
        </w:rPr>
      </w:pPr>
    </w:p>
    <w:p w14:paraId="086DD634" w14:textId="77777777" w:rsidR="009C38E1" w:rsidRPr="00DF2323" w:rsidRDefault="009C38E1" w:rsidP="009C38E1">
      <w:pPr>
        <w:pStyle w:val="ZZAnxheader"/>
        <w:rPr>
          <w:lang w:val="en-GB"/>
        </w:rPr>
      </w:pPr>
    </w:p>
    <w:p w14:paraId="78BF2EE0" w14:textId="77777777" w:rsidR="009C38E1" w:rsidRPr="00DF2323" w:rsidRDefault="009C38E1" w:rsidP="009C38E1">
      <w:pPr>
        <w:pStyle w:val="ZZAnxheader"/>
        <w:rPr>
          <w:lang w:val="en-GB"/>
        </w:rPr>
      </w:pPr>
    </w:p>
    <w:p w14:paraId="59764B19" w14:textId="77777777" w:rsidR="009C38E1" w:rsidRPr="00DF2323" w:rsidRDefault="009C38E1" w:rsidP="009C38E1">
      <w:pPr>
        <w:pStyle w:val="ZZAnxheader"/>
        <w:rPr>
          <w:lang w:val="en-GB"/>
        </w:rPr>
      </w:pPr>
    </w:p>
    <w:p w14:paraId="2A2BE483" w14:textId="77777777" w:rsidR="009C38E1" w:rsidRPr="00DF2323" w:rsidRDefault="009C38E1" w:rsidP="009C38E1">
      <w:pPr>
        <w:pStyle w:val="ZZAnxheader"/>
        <w:rPr>
          <w:lang w:val="en-GB"/>
        </w:rPr>
      </w:pPr>
    </w:p>
    <w:p w14:paraId="70EA34AD" w14:textId="77777777" w:rsidR="009C38E1" w:rsidRPr="00DF2323" w:rsidRDefault="009C38E1" w:rsidP="009C38E1">
      <w:pPr>
        <w:pStyle w:val="ZZAnxheader"/>
        <w:rPr>
          <w:lang w:val="en-GB"/>
        </w:rPr>
      </w:pPr>
    </w:p>
    <w:p w14:paraId="63F3CECD" w14:textId="77777777" w:rsidR="009C38E1" w:rsidRPr="00DF2323" w:rsidRDefault="009C38E1" w:rsidP="009C38E1">
      <w:pPr>
        <w:spacing w:line="240" w:lineRule="atLeast"/>
        <w:jc w:val="center"/>
        <w:rPr>
          <w:rFonts w:eastAsia="Times New Roman"/>
          <w:sz w:val="48"/>
          <w:szCs w:val="38"/>
          <w:lang w:eastAsia="en-US"/>
        </w:rPr>
      </w:pPr>
      <w:r w:rsidRPr="00DF2323">
        <w:rPr>
          <w:rFonts w:eastAsia="Times New Roman"/>
          <w:sz w:val="48"/>
          <w:szCs w:val="38"/>
          <w:lang w:eastAsia="en-US"/>
        </w:rPr>
        <w:t>Draft Decision Guidance Document</w:t>
      </w:r>
    </w:p>
    <w:p w14:paraId="1B51755A" w14:textId="77777777" w:rsidR="009C38E1" w:rsidRPr="00DF2323" w:rsidRDefault="009C38E1" w:rsidP="009C38E1">
      <w:pPr>
        <w:spacing w:line="240" w:lineRule="atLeast"/>
        <w:jc w:val="center"/>
        <w:rPr>
          <w:rFonts w:eastAsia="Times New Roman"/>
          <w:sz w:val="48"/>
          <w:szCs w:val="38"/>
          <w:lang w:eastAsia="en-US"/>
        </w:rPr>
      </w:pPr>
    </w:p>
    <w:p w14:paraId="1F0FC03C" w14:textId="77777777" w:rsidR="009C38E1" w:rsidRPr="00DF2323" w:rsidRDefault="009C38E1" w:rsidP="009C38E1">
      <w:pPr>
        <w:spacing w:line="240" w:lineRule="atLeast"/>
        <w:jc w:val="center"/>
        <w:rPr>
          <w:rFonts w:eastAsia="Times New Roman"/>
          <w:sz w:val="48"/>
          <w:szCs w:val="38"/>
          <w:lang w:eastAsia="en-US"/>
        </w:rPr>
      </w:pPr>
      <w:r w:rsidRPr="00DF2323">
        <w:rPr>
          <w:rFonts w:eastAsia="Times New Roman"/>
          <w:sz w:val="48"/>
          <w:szCs w:val="38"/>
          <w:lang w:eastAsia="en-US"/>
        </w:rPr>
        <w:t>Paraquat</w:t>
      </w:r>
    </w:p>
    <w:p w14:paraId="3A4E7CAA" w14:textId="77777777" w:rsidR="009C38E1" w:rsidRPr="00DF2323" w:rsidRDefault="009C38E1" w:rsidP="009C38E1">
      <w:pPr>
        <w:spacing w:line="240" w:lineRule="atLeast"/>
        <w:ind w:left="-143" w:right="-69"/>
        <w:jc w:val="center"/>
        <w:rPr>
          <w:rFonts w:eastAsia="Times New Roman"/>
          <w:sz w:val="36"/>
          <w:szCs w:val="18"/>
          <w:lang w:eastAsia="en-US"/>
        </w:rPr>
      </w:pPr>
    </w:p>
    <w:p w14:paraId="70114871" w14:textId="77777777" w:rsidR="009C38E1" w:rsidRPr="00DF2323" w:rsidRDefault="009C38E1" w:rsidP="009C38E1">
      <w:pPr>
        <w:spacing w:line="240" w:lineRule="atLeast"/>
        <w:ind w:left="-143" w:right="-69"/>
        <w:jc w:val="center"/>
        <w:rPr>
          <w:rFonts w:eastAsia="Times New Roman"/>
          <w:sz w:val="36"/>
          <w:szCs w:val="18"/>
          <w:lang w:eastAsia="en-US"/>
        </w:rPr>
      </w:pPr>
    </w:p>
    <w:p w14:paraId="62150A37" w14:textId="77777777" w:rsidR="009C38E1" w:rsidRPr="00DF2323" w:rsidRDefault="009C38E1" w:rsidP="009C38E1">
      <w:pPr>
        <w:spacing w:line="240" w:lineRule="atLeast"/>
        <w:ind w:left="-143" w:right="-69"/>
        <w:jc w:val="center"/>
        <w:rPr>
          <w:rFonts w:eastAsia="Times New Roman"/>
          <w:sz w:val="36"/>
          <w:szCs w:val="18"/>
          <w:lang w:eastAsia="en-US"/>
        </w:rPr>
      </w:pPr>
    </w:p>
    <w:p w14:paraId="5C35C0DD" w14:textId="77777777" w:rsidR="009C38E1" w:rsidRPr="00DF2323" w:rsidRDefault="009C38E1" w:rsidP="009C38E1">
      <w:pPr>
        <w:spacing w:line="240" w:lineRule="atLeast"/>
        <w:ind w:left="-143" w:right="-69"/>
        <w:jc w:val="center"/>
        <w:rPr>
          <w:rFonts w:eastAsia="Times New Roman"/>
          <w:sz w:val="36"/>
          <w:szCs w:val="18"/>
          <w:lang w:eastAsia="en-US"/>
        </w:rPr>
      </w:pPr>
    </w:p>
    <w:p w14:paraId="1534B2CF" w14:textId="77777777" w:rsidR="009C38E1" w:rsidRPr="00DF2323" w:rsidRDefault="009C38E1" w:rsidP="009C38E1">
      <w:pPr>
        <w:spacing w:line="240" w:lineRule="atLeast"/>
        <w:ind w:left="-143" w:right="-69"/>
        <w:jc w:val="center"/>
        <w:rPr>
          <w:rFonts w:eastAsia="Times New Roman"/>
          <w:sz w:val="36"/>
          <w:szCs w:val="18"/>
          <w:lang w:eastAsia="en-US"/>
        </w:rPr>
      </w:pPr>
    </w:p>
    <w:p w14:paraId="21BC5E7B" w14:textId="77777777" w:rsidR="009C38E1" w:rsidRPr="00DF2323" w:rsidRDefault="009C38E1" w:rsidP="009C38E1">
      <w:pPr>
        <w:spacing w:line="240" w:lineRule="atLeast"/>
        <w:ind w:left="-143" w:right="-69"/>
        <w:jc w:val="center"/>
        <w:rPr>
          <w:rFonts w:eastAsia="Times New Roman"/>
          <w:sz w:val="36"/>
          <w:szCs w:val="18"/>
          <w:lang w:eastAsia="en-US"/>
        </w:rPr>
      </w:pPr>
      <w:r w:rsidRPr="00DF2323">
        <w:rPr>
          <w:rFonts w:eastAsia="Times New Roman"/>
          <w:sz w:val="36"/>
          <w:szCs w:val="18"/>
          <w:lang w:eastAsia="en-US"/>
        </w:rPr>
        <w:t>Rotterdam Convention</w:t>
      </w:r>
    </w:p>
    <w:p w14:paraId="52815FC3" w14:textId="77777777" w:rsidR="009C38E1" w:rsidRPr="00DF2323" w:rsidRDefault="009C38E1" w:rsidP="009C38E1">
      <w:pPr>
        <w:spacing w:line="240" w:lineRule="atLeast"/>
        <w:ind w:left="-143" w:right="-69"/>
        <w:jc w:val="center"/>
        <w:rPr>
          <w:rFonts w:eastAsia="Times New Roman"/>
          <w:sz w:val="36"/>
          <w:szCs w:val="18"/>
          <w:lang w:eastAsia="en-US"/>
        </w:rPr>
      </w:pPr>
    </w:p>
    <w:p w14:paraId="484395D4" w14:textId="77777777" w:rsidR="009C38E1" w:rsidRPr="00DF2323" w:rsidRDefault="009C38E1" w:rsidP="009C38E1">
      <w:pPr>
        <w:spacing w:line="240" w:lineRule="atLeast"/>
        <w:ind w:left="-143" w:right="-69"/>
        <w:jc w:val="center"/>
        <w:rPr>
          <w:rFonts w:eastAsia="Times New Roman"/>
          <w:sz w:val="36"/>
          <w:szCs w:val="18"/>
          <w:lang w:eastAsia="en-US"/>
        </w:rPr>
      </w:pPr>
      <w:r w:rsidRPr="00DF2323">
        <w:rPr>
          <w:rFonts w:eastAsia="Times New Roman"/>
          <w:sz w:val="36"/>
          <w:szCs w:val="18"/>
          <w:lang w:eastAsia="en-US"/>
        </w:rPr>
        <w:t xml:space="preserve">Operation of the prior informed consent procedure </w:t>
      </w:r>
      <w:r w:rsidRPr="00DF2323">
        <w:rPr>
          <w:rFonts w:eastAsia="Times New Roman"/>
          <w:sz w:val="36"/>
          <w:szCs w:val="18"/>
          <w:lang w:eastAsia="en-US"/>
        </w:rPr>
        <w:br/>
        <w:t>for banned or severely restricted chemicals</w:t>
      </w:r>
    </w:p>
    <w:p w14:paraId="63D7C59F" w14:textId="77777777" w:rsidR="009C38E1" w:rsidRPr="00DF2323" w:rsidRDefault="009C38E1" w:rsidP="009C38E1">
      <w:pPr>
        <w:spacing w:line="240" w:lineRule="atLeast"/>
        <w:ind w:left="-143"/>
        <w:rPr>
          <w:rFonts w:eastAsia="Times New Roman"/>
          <w:sz w:val="38"/>
          <w:szCs w:val="38"/>
          <w:lang w:eastAsia="en-US"/>
        </w:rPr>
      </w:pPr>
    </w:p>
    <w:p w14:paraId="67C55C45" w14:textId="77777777" w:rsidR="009C38E1" w:rsidRPr="00DF2323" w:rsidRDefault="009C38E1" w:rsidP="009C38E1">
      <w:pPr>
        <w:spacing w:line="240" w:lineRule="atLeast"/>
        <w:ind w:left="-426"/>
        <w:rPr>
          <w:rFonts w:eastAsia="Times New Roman"/>
          <w:sz w:val="38"/>
          <w:szCs w:val="38"/>
          <w:lang w:eastAsia="en-US"/>
        </w:rPr>
      </w:pPr>
    </w:p>
    <w:p w14:paraId="1971B868" w14:textId="77777777" w:rsidR="009C38E1" w:rsidRPr="00DF2323" w:rsidRDefault="009C38E1" w:rsidP="009C38E1">
      <w:pPr>
        <w:spacing w:line="240" w:lineRule="atLeast"/>
        <w:ind w:left="-426"/>
        <w:rPr>
          <w:rFonts w:eastAsia="Times New Roman"/>
          <w:sz w:val="38"/>
          <w:szCs w:val="38"/>
          <w:lang w:eastAsia="en-US"/>
        </w:rPr>
      </w:pPr>
    </w:p>
    <w:p w14:paraId="3ABC327E" w14:textId="77777777" w:rsidR="009C38E1" w:rsidRPr="00DF2323" w:rsidRDefault="009C38E1" w:rsidP="009C38E1">
      <w:pPr>
        <w:ind w:left="-426"/>
        <w:rPr>
          <w:rFonts w:eastAsia="Times New Roman"/>
          <w:sz w:val="20"/>
          <w:szCs w:val="20"/>
          <w:lang w:eastAsia="en-US"/>
        </w:rPr>
      </w:pPr>
    </w:p>
    <w:p w14:paraId="60E9D4E7" w14:textId="77777777" w:rsidR="009C38E1" w:rsidRPr="00DF2323" w:rsidRDefault="009C38E1" w:rsidP="009C38E1">
      <w:pPr>
        <w:ind w:left="-426"/>
        <w:rPr>
          <w:rFonts w:eastAsia="Times New Roman"/>
          <w:sz w:val="20"/>
          <w:szCs w:val="20"/>
          <w:lang w:eastAsia="en-US"/>
        </w:rPr>
      </w:pPr>
    </w:p>
    <w:p w14:paraId="0599868D" w14:textId="77777777" w:rsidR="009C38E1" w:rsidRPr="00DF2323" w:rsidRDefault="009C38E1" w:rsidP="009C38E1">
      <w:pPr>
        <w:ind w:left="-426"/>
        <w:rPr>
          <w:rFonts w:eastAsia="Times New Roman"/>
          <w:sz w:val="20"/>
          <w:szCs w:val="20"/>
          <w:lang w:eastAsia="en-US"/>
        </w:rPr>
      </w:pPr>
    </w:p>
    <w:p w14:paraId="6DCB8086" w14:textId="77777777" w:rsidR="009C38E1" w:rsidRPr="00DF2323" w:rsidRDefault="009C38E1" w:rsidP="009C38E1">
      <w:pPr>
        <w:ind w:left="-426"/>
        <w:rPr>
          <w:rFonts w:eastAsia="Times New Roman"/>
          <w:sz w:val="20"/>
          <w:szCs w:val="20"/>
          <w:lang w:eastAsia="en-US"/>
        </w:rPr>
      </w:pPr>
    </w:p>
    <w:p w14:paraId="330E8273" w14:textId="77777777" w:rsidR="009C38E1" w:rsidRPr="00DF2323" w:rsidRDefault="009C38E1" w:rsidP="009C38E1">
      <w:pPr>
        <w:ind w:left="-426"/>
        <w:rPr>
          <w:rFonts w:eastAsia="Times New Roman"/>
          <w:sz w:val="20"/>
          <w:szCs w:val="20"/>
          <w:lang w:eastAsia="en-US"/>
        </w:rPr>
      </w:pPr>
    </w:p>
    <w:p w14:paraId="4EAF53A9" w14:textId="77777777" w:rsidR="009C38E1" w:rsidRPr="00DF2323" w:rsidRDefault="009C38E1" w:rsidP="009C38E1">
      <w:pPr>
        <w:ind w:left="-426"/>
        <w:rPr>
          <w:rFonts w:eastAsia="Times New Roman"/>
          <w:sz w:val="20"/>
          <w:szCs w:val="20"/>
          <w:lang w:eastAsia="en-US"/>
        </w:rPr>
      </w:pPr>
    </w:p>
    <w:p w14:paraId="37296B16" w14:textId="77777777" w:rsidR="009C38E1" w:rsidRPr="00DF2323" w:rsidRDefault="009C38E1" w:rsidP="009C38E1">
      <w:pPr>
        <w:ind w:left="-426"/>
        <w:rPr>
          <w:rFonts w:eastAsia="Times New Roman"/>
          <w:sz w:val="20"/>
          <w:szCs w:val="20"/>
          <w:lang w:eastAsia="en-US"/>
        </w:rPr>
      </w:pPr>
    </w:p>
    <w:p w14:paraId="4AFE0C06" w14:textId="77777777" w:rsidR="009C38E1" w:rsidRPr="00DF2323" w:rsidRDefault="009C38E1" w:rsidP="009C38E1">
      <w:pPr>
        <w:ind w:left="-426"/>
        <w:rPr>
          <w:rFonts w:eastAsia="Times New Roman"/>
          <w:sz w:val="20"/>
          <w:szCs w:val="20"/>
          <w:lang w:eastAsia="en-US"/>
        </w:rPr>
      </w:pPr>
    </w:p>
    <w:tbl>
      <w:tblPr>
        <w:tblW w:w="0" w:type="auto"/>
        <w:tblInd w:w="-318" w:type="dxa"/>
        <w:tblLayout w:type="fixed"/>
        <w:tblLook w:val="0000" w:firstRow="0" w:lastRow="0" w:firstColumn="0" w:lastColumn="0" w:noHBand="0" w:noVBand="0"/>
      </w:tblPr>
      <w:tblGrid>
        <w:gridCol w:w="1419"/>
        <w:gridCol w:w="8221"/>
      </w:tblGrid>
      <w:tr w:rsidR="009C38E1" w:rsidRPr="00DF2323" w14:paraId="49027FBF" w14:textId="77777777" w:rsidTr="00BE0479">
        <w:trPr>
          <w:trHeight w:val="2238"/>
        </w:trPr>
        <w:tc>
          <w:tcPr>
            <w:tcW w:w="1419" w:type="dxa"/>
          </w:tcPr>
          <w:p w14:paraId="0F2024A4"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fldChar w:fldCharType="begin" w:fldLock="1"/>
            </w:r>
            <w:r w:rsidRPr="00DF2323">
              <w:rPr>
                <w:rFonts w:eastAsia="Times New Roman"/>
                <w:sz w:val="20"/>
                <w:szCs w:val="20"/>
                <w:lang w:eastAsia="en-US"/>
              </w:rPr>
              <w:instrText>IMPORT S:\\Marin\\Agenda\\!OLEGENE.WPG</w:instrText>
            </w:r>
            <w:r w:rsidRPr="00DF2323">
              <w:rPr>
                <w:rFonts w:eastAsia="Times New Roman"/>
                <w:sz w:val="20"/>
                <w:szCs w:val="20"/>
                <w:lang w:eastAsia="en-US"/>
              </w:rPr>
              <w:fldChar w:fldCharType="separate"/>
            </w:r>
            <w:r w:rsidRPr="00DF2323">
              <w:rPr>
                <w:rFonts w:eastAsia="Times New Roman"/>
                <w:noProof/>
                <w:sz w:val="20"/>
                <w:szCs w:val="20"/>
                <w:lang w:eastAsia="en-US"/>
              </w:rPr>
              <w:drawing>
                <wp:inline distT="0" distB="0" distL="0" distR="0" wp14:anchorId="4C1CF747" wp14:editId="0E4737A9">
                  <wp:extent cx="612775" cy="612775"/>
                  <wp:effectExtent l="0" t="0" r="0" b="0"/>
                  <wp:docPr id="2" name="Picture 2" descr="A black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logo&#10;&#10;Description automatically generated with medium confidence"/>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612775" cy="612775"/>
                          </a:xfrm>
                          <a:prstGeom prst="rect">
                            <a:avLst/>
                          </a:prstGeom>
                          <a:noFill/>
                          <a:ln>
                            <a:noFill/>
                          </a:ln>
                        </pic:spPr>
                      </pic:pic>
                    </a:graphicData>
                  </a:graphic>
                </wp:inline>
              </w:drawing>
            </w:r>
            <w:r w:rsidRPr="00DF2323">
              <w:rPr>
                <w:rFonts w:eastAsia="Times New Roman"/>
                <w:sz w:val="20"/>
                <w:szCs w:val="20"/>
                <w:lang w:eastAsia="en-US"/>
              </w:rPr>
              <w:fldChar w:fldCharType="end"/>
            </w:r>
          </w:p>
          <w:p w14:paraId="5F2A4E9D" w14:textId="77777777" w:rsidR="009C38E1" w:rsidRPr="00DF2323" w:rsidRDefault="009C38E1" w:rsidP="00BE0479">
            <w:pPr>
              <w:rPr>
                <w:rFonts w:eastAsia="Times New Roman"/>
                <w:sz w:val="20"/>
                <w:szCs w:val="20"/>
                <w:lang w:eastAsia="en-US"/>
              </w:rPr>
            </w:pPr>
          </w:p>
          <w:p w14:paraId="7516CF3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fldChar w:fldCharType="begin" w:fldLock="1"/>
            </w:r>
            <w:r w:rsidRPr="00DF2323">
              <w:rPr>
                <w:rFonts w:eastAsia="Times New Roman"/>
                <w:sz w:val="20"/>
                <w:szCs w:val="20"/>
                <w:lang w:eastAsia="en-US"/>
              </w:rPr>
              <w:instrText>IMPORT S:\\Marin\\Agenda\\!UNEP.WPG</w:instrText>
            </w:r>
            <w:r w:rsidRPr="00DF2323">
              <w:rPr>
                <w:rFonts w:eastAsia="Times New Roman"/>
                <w:sz w:val="20"/>
                <w:szCs w:val="20"/>
                <w:lang w:eastAsia="en-US"/>
              </w:rPr>
              <w:fldChar w:fldCharType="separate"/>
            </w:r>
            <w:r w:rsidRPr="00DF2323">
              <w:rPr>
                <w:rFonts w:eastAsia="Times New Roman"/>
                <w:noProof/>
                <w:sz w:val="20"/>
                <w:szCs w:val="20"/>
                <w:lang w:eastAsia="en-US"/>
              </w:rPr>
              <w:drawing>
                <wp:inline distT="0" distB="0" distL="0" distR="0" wp14:anchorId="5D2F1234" wp14:editId="71DA3D7D">
                  <wp:extent cx="673100" cy="733425"/>
                  <wp:effectExtent l="0" t="0" r="0" b="0"/>
                  <wp:docPr id="3" name="Picture 3" descr="A black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white logo&#10;&#10;Description automatically generated with medium confidence"/>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673100" cy="733425"/>
                          </a:xfrm>
                          <a:prstGeom prst="rect">
                            <a:avLst/>
                          </a:prstGeom>
                          <a:noFill/>
                          <a:ln>
                            <a:noFill/>
                          </a:ln>
                        </pic:spPr>
                      </pic:pic>
                    </a:graphicData>
                  </a:graphic>
                </wp:inline>
              </w:drawing>
            </w:r>
            <w:r w:rsidRPr="00DF2323">
              <w:rPr>
                <w:rFonts w:eastAsia="Times New Roman"/>
                <w:sz w:val="20"/>
                <w:szCs w:val="20"/>
                <w:lang w:eastAsia="en-US"/>
              </w:rPr>
              <w:fldChar w:fldCharType="end"/>
            </w:r>
          </w:p>
        </w:tc>
        <w:tc>
          <w:tcPr>
            <w:tcW w:w="8221" w:type="dxa"/>
          </w:tcPr>
          <w:p w14:paraId="0718B705" w14:textId="77777777" w:rsidR="009C38E1" w:rsidRPr="00DF2323" w:rsidRDefault="009C38E1" w:rsidP="00BE0479">
            <w:pPr>
              <w:rPr>
                <w:rFonts w:eastAsia="Times New Roman"/>
                <w:sz w:val="16"/>
                <w:szCs w:val="28"/>
                <w:lang w:eastAsia="en-US"/>
              </w:rPr>
            </w:pPr>
          </w:p>
          <w:p w14:paraId="5A31F14A" w14:textId="77777777" w:rsidR="009C38E1" w:rsidRPr="00DF2323" w:rsidRDefault="009C38E1" w:rsidP="00BE0479">
            <w:pPr>
              <w:spacing w:before="40" w:after="60"/>
              <w:outlineLvl w:val="0"/>
              <w:rPr>
                <w:rFonts w:eastAsia="Times New Roman"/>
                <w:b/>
                <w:bCs/>
                <w:kern w:val="28"/>
                <w:sz w:val="29"/>
                <w:szCs w:val="29"/>
                <w:lang w:eastAsia="en-US"/>
              </w:rPr>
            </w:pPr>
            <w:r w:rsidRPr="00DF2323">
              <w:rPr>
                <w:rFonts w:eastAsia="Times New Roman"/>
                <w:b/>
                <w:bCs/>
                <w:kern w:val="28"/>
                <w:sz w:val="36"/>
                <w:szCs w:val="29"/>
                <w:lang w:eastAsia="en-US"/>
              </w:rPr>
              <w:t>Secretariat of the Rotterdam Convention</w:t>
            </w:r>
            <w:r w:rsidRPr="00DF2323">
              <w:rPr>
                <w:rFonts w:eastAsia="Times New Roman"/>
                <w:b/>
                <w:bCs/>
                <w:kern w:val="28"/>
                <w:sz w:val="36"/>
                <w:szCs w:val="29"/>
                <w:lang w:eastAsia="en-US"/>
              </w:rPr>
              <w:br/>
              <w:t xml:space="preserve">on the Prior Informed Consent Procedure for </w:t>
            </w:r>
            <w:r w:rsidRPr="00DF2323">
              <w:rPr>
                <w:rFonts w:eastAsia="Times New Roman"/>
                <w:b/>
                <w:bCs/>
                <w:kern w:val="28"/>
                <w:sz w:val="36"/>
                <w:szCs w:val="29"/>
                <w:lang w:eastAsia="en-US"/>
              </w:rPr>
              <w:br/>
              <w:t>Certain Hazardous Chemicals and Pesticides in International Trade</w:t>
            </w:r>
          </w:p>
        </w:tc>
      </w:tr>
    </w:tbl>
    <w:p w14:paraId="7FEB9062" w14:textId="77777777" w:rsidR="009C38E1" w:rsidRPr="00DF2323" w:rsidRDefault="009C38E1" w:rsidP="009C38E1">
      <w:pPr>
        <w:rPr>
          <w:rFonts w:eastAsia="Times New Roman"/>
          <w:sz w:val="36"/>
          <w:szCs w:val="28"/>
          <w:lang w:eastAsia="en-US"/>
        </w:rPr>
        <w:sectPr w:rsidR="009C38E1" w:rsidRPr="00DF2323" w:rsidSect="00274D41">
          <w:headerReference w:type="even" r:id="rId17"/>
          <w:headerReference w:type="default" r:id="rId18"/>
          <w:footerReference w:type="even" r:id="rId19"/>
          <w:footerReference w:type="default" r:id="rId20"/>
          <w:headerReference w:type="first" r:id="rId21"/>
          <w:footerReference w:type="first" r:id="rId22"/>
          <w:pgSz w:w="11907" w:h="16840" w:code="9"/>
          <w:pgMar w:top="907" w:right="994" w:bottom="1411" w:left="1411" w:header="533" w:footer="979" w:gutter="0"/>
          <w:cols w:space="708"/>
          <w:titlePg/>
          <w:docGrid w:linePitch="326"/>
        </w:sectPr>
      </w:pPr>
    </w:p>
    <w:p w14:paraId="0B0F032E" w14:textId="77777777" w:rsidR="009C38E1" w:rsidRPr="00DF2323" w:rsidRDefault="009C38E1" w:rsidP="009C38E1">
      <w:pPr>
        <w:spacing w:after="120"/>
        <w:rPr>
          <w:rFonts w:eastAsia="Times New Roman"/>
          <w:b/>
          <w:sz w:val="22"/>
          <w:szCs w:val="22"/>
          <w:lang w:eastAsia="en-US"/>
        </w:rPr>
      </w:pPr>
      <w:r w:rsidRPr="00DF2323">
        <w:rPr>
          <w:rFonts w:eastAsia="Times New Roman"/>
          <w:b/>
          <w:sz w:val="22"/>
          <w:szCs w:val="22"/>
          <w:lang w:eastAsia="en-US"/>
        </w:rPr>
        <w:lastRenderedPageBreak/>
        <w:t>Introduction</w:t>
      </w:r>
    </w:p>
    <w:p w14:paraId="59F9ADB0" w14:textId="77777777" w:rsidR="009C38E1" w:rsidRPr="00DF2323" w:rsidRDefault="009C38E1" w:rsidP="009C38E1">
      <w:pPr>
        <w:pStyle w:val="Normal-pool"/>
        <w:spacing w:after="120"/>
        <w:rPr>
          <w:sz w:val="22"/>
          <w:szCs w:val="22"/>
          <w:lang w:val="en-GB"/>
        </w:rPr>
      </w:pPr>
      <w:r w:rsidRPr="00DF2323">
        <w:rPr>
          <w:sz w:val="22"/>
          <w:szCs w:val="22"/>
          <w:lang w:val="en-GB"/>
        </w:rPr>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5A8918B2" w14:textId="77777777" w:rsidR="009C38E1" w:rsidRPr="00DF2323" w:rsidRDefault="009C38E1" w:rsidP="009C38E1">
      <w:pPr>
        <w:pStyle w:val="Normal-pool"/>
        <w:spacing w:after="120"/>
        <w:rPr>
          <w:sz w:val="22"/>
          <w:szCs w:val="22"/>
          <w:lang w:val="en-GB"/>
        </w:rPr>
      </w:pPr>
      <w:r w:rsidRPr="00DF2323">
        <w:rPr>
          <w:sz w:val="22"/>
          <w:szCs w:val="22"/>
          <w:lang w:val="en-GB"/>
        </w:rPr>
        <w:t>Candidate chemicals</w:t>
      </w:r>
      <w:r w:rsidRPr="00DF2323">
        <w:rPr>
          <w:sz w:val="22"/>
          <w:vertAlign w:val="superscript"/>
          <w:lang w:val="en-GB"/>
        </w:rPr>
        <w:footnoteReference w:id="2"/>
      </w:r>
      <w:r w:rsidRPr="00DF2323">
        <w:rPr>
          <w:sz w:val="22"/>
          <w:szCs w:val="22"/>
          <w:lang w:val="en-GB"/>
        </w:rPr>
        <w:t xml:space="preserve"> for inclusion in the prior informed consent (</w:t>
      </w:r>
      <w:smartTag w:uri="urn:schemas-microsoft-com:office:smarttags" w:element="stockticker">
        <w:r w:rsidRPr="00DF2323">
          <w:rPr>
            <w:sz w:val="22"/>
            <w:szCs w:val="22"/>
            <w:lang w:val="en-GB"/>
          </w:rPr>
          <w:t>PIC</w:t>
        </w:r>
      </w:smartTag>
      <w:r w:rsidRPr="00DF2323">
        <w:rPr>
          <w:sz w:val="22"/>
          <w:szCs w:val="22"/>
          <w:lang w:val="en-GB"/>
        </w:rPr>
        <w:t>) procedure under the Rotterdam Convention include those that have been banned or severely restricted by national regulatory actions in two or more Parties</w:t>
      </w:r>
      <w:r w:rsidRPr="00DF2323">
        <w:rPr>
          <w:sz w:val="22"/>
          <w:vertAlign w:val="superscript"/>
          <w:lang w:val="en-GB"/>
        </w:rPr>
        <w:footnoteReference w:id="3"/>
      </w:r>
      <w:r w:rsidRPr="00DF2323">
        <w:rPr>
          <w:sz w:val="22"/>
          <w:szCs w:val="22"/>
          <w:lang w:val="en-GB"/>
        </w:rPr>
        <w:t xml:space="preserve"> in two different regions. Inclusion of a chemical in the </w:t>
      </w:r>
      <w:smartTag w:uri="urn:schemas-microsoft-com:office:smarttags" w:element="stockticker">
        <w:r w:rsidRPr="00DF2323">
          <w:rPr>
            <w:sz w:val="22"/>
            <w:szCs w:val="22"/>
            <w:lang w:val="en-GB"/>
          </w:rPr>
          <w:t>PIC</w:t>
        </w:r>
      </w:smartTag>
      <w:r w:rsidRPr="00DF2323">
        <w:rPr>
          <w:sz w:val="22"/>
          <w:szCs w:val="22"/>
          <w:lang w:val="en-GB"/>
        </w:rPr>
        <w:t xml:space="preserve"> procedure is based on regulatory actions taken by Parties that have addressed the risks associated with the chemical by banning or severely restricting it. </w:t>
      </w:r>
      <w:r w:rsidRPr="00DF2323">
        <w:rPr>
          <w:rFonts w:eastAsia="SimSun"/>
          <w:sz w:val="22"/>
          <w:szCs w:val="22"/>
          <w:lang w:val="en-GB"/>
        </w:rPr>
        <w:t xml:space="preserve">Other ways might be available to control or reduce such risks. Inclusion does not, however, imply that all Parties to the Convention have banned or severely restricted the chemical. For each chemical included in Annex </w:t>
      </w:r>
      <w:smartTag w:uri="urn:schemas-microsoft-com:office:smarttags" w:element="stockticker">
        <w:r w:rsidRPr="00DF2323">
          <w:rPr>
            <w:rFonts w:eastAsia="SimSun"/>
            <w:sz w:val="22"/>
            <w:szCs w:val="22"/>
            <w:lang w:val="en-GB"/>
          </w:rPr>
          <w:t>III</w:t>
        </w:r>
      </w:smartTag>
      <w:r w:rsidRPr="00DF2323">
        <w:rPr>
          <w:rFonts w:eastAsia="SimSun"/>
          <w:sz w:val="22"/>
          <w:szCs w:val="22"/>
          <w:lang w:val="en-GB"/>
        </w:rPr>
        <w:t xml:space="preserve"> of the Rotterdam Convention and subject to the </w:t>
      </w:r>
      <w:smartTag w:uri="urn:schemas-microsoft-com:office:smarttags" w:element="stockticker">
        <w:r w:rsidRPr="00DF2323">
          <w:rPr>
            <w:rFonts w:eastAsia="SimSun"/>
            <w:sz w:val="22"/>
            <w:szCs w:val="22"/>
            <w:lang w:val="en-GB"/>
          </w:rPr>
          <w:t>PIC</w:t>
        </w:r>
      </w:smartTag>
      <w:r w:rsidRPr="00DF2323">
        <w:rPr>
          <w:rFonts w:eastAsia="SimSun"/>
          <w:sz w:val="22"/>
          <w:szCs w:val="22"/>
          <w:lang w:val="en-GB"/>
        </w:rPr>
        <w:t xml:space="preserve"> procedure, Parties are requested to make an informed decision whether they consent or not to the future</w:t>
      </w:r>
      <w:r w:rsidRPr="00DF2323">
        <w:rPr>
          <w:sz w:val="22"/>
          <w:szCs w:val="22"/>
          <w:lang w:val="en-GB"/>
        </w:rPr>
        <w:t xml:space="preserve"> import of the chemical.</w:t>
      </w:r>
    </w:p>
    <w:p w14:paraId="588543BF"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 xml:space="preserve">At its […] meeting, held in […] on […], the Conference of the Parties agreed to list paraquat in Annex </w:t>
      </w:r>
      <w:smartTag w:uri="urn:schemas-microsoft-com:office:smarttags" w:element="stockticker">
        <w:r w:rsidRPr="00DF2323">
          <w:rPr>
            <w:rFonts w:eastAsia="SimSun"/>
            <w:sz w:val="22"/>
            <w:szCs w:val="22"/>
            <w:lang w:val="en-GB"/>
          </w:rPr>
          <w:t>III</w:t>
        </w:r>
      </w:smartTag>
      <w:r w:rsidRPr="00DF2323">
        <w:rPr>
          <w:rFonts w:eastAsia="SimSun"/>
          <w:sz w:val="22"/>
          <w:szCs w:val="22"/>
          <w:lang w:val="en-GB"/>
        </w:rPr>
        <w:t xml:space="preserve"> of the Convention and adopted the decision-guidance document with the effect that this group of chemicals became subject to the </w:t>
      </w:r>
      <w:smartTag w:uri="urn:schemas-microsoft-com:office:smarttags" w:element="stockticker">
        <w:r w:rsidRPr="00DF2323">
          <w:rPr>
            <w:rFonts w:eastAsia="SimSun"/>
            <w:sz w:val="22"/>
            <w:szCs w:val="22"/>
            <w:lang w:val="en-GB"/>
          </w:rPr>
          <w:t>PIC</w:t>
        </w:r>
      </w:smartTag>
      <w:r w:rsidRPr="00DF2323">
        <w:rPr>
          <w:rFonts w:eastAsia="SimSun"/>
          <w:sz w:val="22"/>
          <w:szCs w:val="22"/>
          <w:lang w:val="en-GB"/>
        </w:rPr>
        <w:t xml:space="preserve"> procedure.</w:t>
      </w:r>
    </w:p>
    <w:p w14:paraId="0B84E37C"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The present decision-guidance document was communicated to designated national authorities on […], in accordance with Articles 7 and 10 of the Rotterdam Convention.</w:t>
      </w:r>
    </w:p>
    <w:p w14:paraId="0417D182" w14:textId="77777777" w:rsidR="009C38E1" w:rsidRPr="00DF2323" w:rsidRDefault="009C38E1" w:rsidP="009C38E1">
      <w:pPr>
        <w:spacing w:after="120"/>
        <w:rPr>
          <w:rFonts w:eastAsia="Times New Roman"/>
          <w:b/>
          <w:sz w:val="22"/>
          <w:szCs w:val="22"/>
          <w:lang w:eastAsia="en-US"/>
        </w:rPr>
      </w:pPr>
      <w:r w:rsidRPr="00DF2323">
        <w:rPr>
          <w:rFonts w:eastAsia="Times New Roman"/>
          <w:b/>
          <w:sz w:val="22"/>
          <w:szCs w:val="22"/>
          <w:lang w:eastAsia="en-US"/>
        </w:rPr>
        <w:t xml:space="preserve">Purpose of the decision guidance document </w:t>
      </w:r>
    </w:p>
    <w:p w14:paraId="20CD2A51"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 xml:space="preserve">For each chemical included in Annex </w:t>
      </w:r>
      <w:smartTag w:uri="urn:schemas-microsoft-com:office:smarttags" w:element="stockticker">
        <w:r w:rsidRPr="00DF2323">
          <w:rPr>
            <w:rFonts w:eastAsia="SimSun"/>
            <w:sz w:val="22"/>
            <w:szCs w:val="22"/>
            <w:lang w:val="en-GB"/>
          </w:rPr>
          <w:t>III</w:t>
        </w:r>
      </w:smartTag>
      <w:r w:rsidRPr="00DF2323">
        <w:rPr>
          <w:rFonts w:eastAsia="SimSun"/>
          <w:sz w:val="22"/>
          <w:szCs w:val="22"/>
          <w:lang w:val="en-GB"/>
        </w:rPr>
        <w:t xml:space="preserve"> to the Rotterdam Convention, a decision-guidance document has been approved by the Conference of the Parties. Decision-guidance documents are sent to all Parties with a request that they make a decision regarding future import of the chemical. </w:t>
      </w:r>
    </w:p>
    <w:p w14:paraId="79DD20D7"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 xml:space="preserve">Decision-guidance documents are prepared by the Chemical Review Committee. The Committee is a group of government-designated experts established in line with Article 18 of the Convention, which evaluates candidate chemicals for possible inclusion in Annex </w:t>
      </w:r>
      <w:smartTag w:uri="urn:schemas-microsoft-com:office:smarttags" w:element="stockticker">
        <w:r w:rsidRPr="00DF2323">
          <w:rPr>
            <w:rFonts w:eastAsia="SimSun"/>
            <w:sz w:val="22"/>
            <w:szCs w:val="22"/>
            <w:lang w:val="en-GB"/>
          </w:rPr>
          <w:t>III</w:t>
        </w:r>
      </w:smartTag>
      <w:r w:rsidRPr="00DF2323">
        <w:rPr>
          <w:rFonts w:eastAsia="SimSun"/>
          <w:sz w:val="22"/>
          <w:szCs w:val="22"/>
          <w:lang w:val="en-GB"/>
        </w:rPr>
        <w:t xml:space="preserve"> of the Convention. Decision-guidance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3341D9E2"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00507DA9"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2AF1659B"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Information on the chemical may also be available from other sources.</w:t>
      </w:r>
    </w:p>
    <w:p w14:paraId="09D3C168" w14:textId="77777777" w:rsidR="009C38E1" w:rsidRPr="00DF2323" w:rsidRDefault="009C38E1" w:rsidP="009C38E1">
      <w:pPr>
        <w:pStyle w:val="Normal-pool"/>
        <w:spacing w:before="240" w:after="120"/>
        <w:rPr>
          <w:rFonts w:eastAsia="SimSun"/>
          <w:b/>
          <w:bCs/>
          <w:sz w:val="22"/>
          <w:szCs w:val="22"/>
          <w:lang w:val="en-GB"/>
        </w:rPr>
      </w:pPr>
      <w:r w:rsidRPr="00DF2323">
        <w:rPr>
          <w:rFonts w:eastAsia="SimSun"/>
          <w:b/>
          <w:bCs/>
          <w:sz w:val="22"/>
          <w:szCs w:val="22"/>
          <w:lang w:val="en-GB"/>
        </w:rPr>
        <w:t>Disclaimer</w:t>
      </w:r>
    </w:p>
    <w:p w14:paraId="1BAF6955"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The use of trade names in the present document is primarily intended to facilitate the correct identification of the chemical</w:t>
      </w:r>
      <w:r w:rsidRPr="00DF2323">
        <w:rPr>
          <w:sz w:val="22"/>
          <w:szCs w:val="22"/>
          <w:lang w:val="en-GB"/>
        </w:rPr>
        <w:t xml:space="preserve">. It is not intended to imply any approval or disapproval of any particular company. As it is </w:t>
      </w:r>
      <w:r w:rsidRPr="00DF2323">
        <w:rPr>
          <w:rFonts w:eastAsia="SimSun"/>
          <w:sz w:val="22"/>
          <w:szCs w:val="22"/>
          <w:lang w:val="en-GB"/>
        </w:rPr>
        <w:lastRenderedPageBreak/>
        <w:t>not possible to include all trade names presently in use, only a number of commonly used and published trade names have been included in the document.</w:t>
      </w:r>
    </w:p>
    <w:p w14:paraId="33689E59" w14:textId="77777777" w:rsidR="009C38E1" w:rsidRPr="00DF2323" w:rsidRDefault="009C38E1" w:rsidP="009C38E1">
      <w:pPr>
        <w:pStyle w:val="Normal-pool"/>
        <w:spacing w:after="120"/>
        <w:rPr>
          <w:rFonts w:eastAsia="SimSun"/>
          <w:sz w:val="22"/>
          <w:szCs w:val="22"/>
          <w:lang w:val="en-GB"/>
        </w:rPr>
      </w:pPr>
      <w:r w:rsidRPr="00DF2323">
        <w:rPr>
          <w:rFonts w:eastAsia="SimSun"/>
          <w:sz w:val="22"/>
          <w:szCs w:val="22"/>
          <w:lang w:val="en-GB"/>
        </w:rPr>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4F8F8636" w14:textId="77777777" w:rsidR="009C38E1" w:rsidRPr="00DF2323" w:rsidRDefault="009C38E1" w:rsidP="009C38E1">
      <w:pPr>
        <w:pStyle w:val="Normal-pool"/>
        <w:spacing w:after="120"/>
        <w:rPr>
          <w:sz w:val="22"/>
          <w:szCs w:val="22"/>
          <w:lang w:val="en-GB"/>
        </w:rPr>
      </w:pPr>
      <w:r w:rsidRPr="00DF2323">
        <w:rPr>
          <w:rFonts w:eastAsia="SimSun"/>
          <w:sz w:val="22"/>
          <w:szCs w:val="22"/>
          <w:lang w:val="en-GB"/>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w:t>
      </w:r>
      <w:r w:rsidRPr="00DF2323">
        <w:rPr>
          <w:sz w:val="22"/>
          <w:szCs w:val="22"/>
          <w:lang w:val="en-GB"/>
        </w:rPr>
        <w:t xml:space="preserve"> of its frontiers or boundaries.</w:t>
      </w:r>
    </w:p>
    <w:p w14:paraId="501CA334" w14:textId="77777777" w:rsidR="009C38E1" w:rsidRPr="00DF2323" w:rsidRDefault="009C38E1" w:rsidP="009C38E1">
      <w:pPr>
        <w:pStyle w:val="Normal-pool"/>
        <w:spacing w:before="240" w:after="120"/>
        <w:rPr>
          <w:b/>
          <w:bCs/>
          <w:sz w:val="22"/>
          <w:szCs w:val="22"/>
          <w:lang w:val="en-GB"/>
        </w:rPr>
      </w:pPr>
      <w:r w:rsidRPr="00DF2323">
        <w:rPr>
          <w:sz w:val="22"/>
          <w:szCs w:val="22"/>
          <w:lang w:val="en-GB"/>
        </w:rPr>
        <w:br w:type="page"/>
      </w:r>
      <w:r w:rsidRPr="00DF2323">
        <w:rPr>
          <w:b/>
          <w:bCs/>
          <w:sz w:val="22"/>
          <w:szCs w:val="22"/>
          <w:lang w:val="en-GB"/>
        </w:rPr>
        <w:lastRenderedPageBreak/>
        <w:t>Standard core set of abbreviations</w:t>
      </w:r>
    </w:p>
    <w:tbl>
      <w:tblPr>
        <w:tblW w:w="5000" w:type="pct"/>
        <w:jc w:val="right"/>
        <w:tblBorders>
          <w:top w:val="single" w:sz="6" w:space="0" w:color="auto"/>
          <w:left w:val="single" w:sz="6" w:space="0" w:color="auto"/>
          <w:bottom w:val="single" w:sz="6" w:space="0" w:color="auto"/>
          <w:right w:val="single" w:sz="6" w:space="0" w:color="auto"/>
          <w:insideV w:val="single" w:sz="6" w:space="0" w:color="auto"/>
        </w:tblBorders>
        <w:tblLayout w:type="fixed"/>
        <w:tblLook w:val="0000" w:firstRow="0" w:lastRow="0" w:firstColumn="0" w:lastColumn="0" w:noHBand="0" w:noVBand="0"/>
      </w:tblPr>
      <w:tblGrid>
        <w:gridCol w:w="1280"/>
        <w:gridCol w:w="8201"/>
      </w:tblGrid>
      <w:tr w:rsidR="009C38E1" w:rsidRPr="00DF2323" w14:paraId="2912CF46" w14:textId="77777777" w:rsidTr="00BE0479">
        <w:trPr>
          <w:tblHeader/>
          <w:jc w:val="right"/>
        </w:trPr>
        <w:tc>
          <w:tcPr>
            <w:tcW w:w="9448" w:type="dxa"/>
            <w:gridSpan w:val="2"/>
            <w:tcBorders>
              <w:top w:val="single" w:sz="6" w:space="0" w:color="auto"/>
              <w:bottom w:val="single" w:sz="6" w:space="0" w:color="auto"/>
            </w:tcBorders>
          </w:tcPr>
          <w:p w14:paraId="75ADD6B5" w14:textId="77777777" w:rsidR="009C38E1" w:rsidRPr="00DF2323" w:rsidRDefault="009C38E1" w:rsidP="00BE0479">
            <w:pPr>
              <w:tabs>
                <w:tab w:val="left" w:pos="624"/>
                <w:tab w:val="left" w:pos="1247"/>
                <w:tab w:val="left" w:pos="1871"/>
                <w:tab w:val="left" w:pos="2495"/>
              </w:tabs>
              <w:suppressAutoHyphens/>
              <w:ind w:left="-108" w:right="33" w:firstLine="142"/>
              <w:rPr>
                <w:b/>
                <w:color w:val="000000"/>
                <w:sz w:val="20"/>
                <w:szCs w:val="20"/>
              </w:rPr>
            </w:pPr>
            <w:r w:rsidRPr="00DF2323">
              <w:rPr>
                <w:b/>
                <w:color w:val="000000"/>
                <w:sz w:val="20"/>
                <w:szCs w:val="20"/>
              </w:rPr>
              <w:t xml:space="preserve">STANDARD </w:t>
            </w:r>
            <w:smartTag w:uri="urn:schemas-microsoft-com:office:smarttags" w:element="stockticker">
              <w:r w:rsidRPr="00DF2323">
                <w:rPr>
                  <w:b/>
                  <w:color w:val="000000"/>
                  <w:sz w:val="20"/>
                  <w:szCs w:val="20"/>
                </w:rPr>
                <w:t>CORE</w:t>
              </w:r>
            </w:smartTag>
            <w:r w:rsidRPr="00DF2323">
              <w:rPr>
                <w:b/>
                <w:color w:val="000000"/>
                <w:sz w:val="20"/>
                <w:szCs w:val="20"/>
              </w:rPr>
              <w:t xml:space="preserve"> SET OF ABBREVIATIONS </w:t>
            </w:r>
          </w:p>
        </w:tc>
      </w:tr>
      <w:tr w:rsidR="009C38E1" w:rsidRPr="00DF2323" w14:paraId="35BAFB89" w14:textId="77777777" w:rsidTr="00BE0479">
        <w:trPr>
          <w:jc w:val="right"/>
        </w:trPr>
        <w:tc>
          <w:tcPr>
            <w:tcW w:w="1276" w:type="dxa"/>
            <w:tcBorders>
              <w:top w:val="single" w:sz="6" w:space="0" w:color="auto"/>
              <w:bottom w:val="nil"/>
              <w:right w:val="nil"/>
            </w:tcBorders>
          </w:tcPr>
          <w:p w14:paraId="51A66B1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&lt;</w:t>
            </w:r>
          </w:p>
        </w:tc>
        <w:tc>
          <w:tcPr>
            <w:tcW w:w="8172" w:type="dxa"/>
            <w:tcBorders>
              <w:top w:val="single" w:sz="6" w:space="0" w:color="auto"/>
              <w:left w:val="nil"/>
            </w:tcBorders>
          </w:tcPr>
          <w:p w14:paraId="78678089"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less than</w:t>
            </w:r>
          </w:p>
        </w:tc>
      </w:tr>
      <w:tr w:rsidR="009C38E1" w:rsidRPr="00DF2323" w14:paraId="0A1453B3" w14:textId="77777777" w:rsidTr="00BE0479">
        <w:trPr>
          <w:jc w:val="right"/>
        </w:trPr>
        <w:tc>
          <w:tcPr>
            <w:tcW w:w="1276" w:type="dxa"/>
            <w:tcBorders>
              <w:top w:val="nil"/>
              <w:bottom w:val="nil"/>
              <w:right w:val="nil"/>
            </w:tcBorders>
          </w:tcPr>
          <w:p w14:paraId="615082A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u w:val="single"/>
              </w:rPr>
              <w:t>&lt;</w:t>
            </w:r>
          </w:p>
        </w:tc>
        <w:tc>
          <w:tcPr>
            <w:tcW w:w="8172" w:type="dxa"/>
            <w:tcBorders>
              <w:left w:val="nil"/>
            </w:tcBorders>
          </w:tcPr>
          <w:p w14:paraId="68B1DA65"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less than or equal to</w:t>
            </w:r>
          </w:p>
        </w:tc>
      </w:tr>
      <w:tr w:rsidR="009C38E1" w:rsidRPr="00DF2323" w14:paraId="6ADFC8D4" w14:textId="77777777" w:rsidTr="00BE0479">
        <w:trPr>
          <w:jc w:val="right"/>
        </w:trPr>
        <w:tc>
          <w:tcPr>
            <w:tcW w:w="1276" w:type="dxa"/>
            <w:tcBorders>
              <w:top w:val="nil"/>
              <w:bottom w:val="nil"/>
              <w:right w:val="nil"/>
            </w:tcBorders>
          </w:tcPr>
          <w:p w14:paraId="48DBA8E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&gt;</w:t>
            </w:r>
          </w:p>
        </w:tc>
        <w:tc>
          <w:tcPr>
            <w:tcW w:w="8172" w:type="dxa"/>
            <w:tcBorders>
              <w:left w:val="nil"/>
            </w:tcBorders>
          </w:tcPr>
          <w:p w14:paraId="2DECA76D"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greater than</w:t>
            </w:r>
          </w:p>
        </w:tc>
      </w:tr>
      <w:tr w:rsidR="009C38E1" w:rsidRPr="00DF2323" w14:paraId="12794003" w14:textId="77777777" w:rsidTr="00BE0479">
        <w:trPr>
          <w:jc w:val="right"/>
        </w:trPr>
        <w:tc>
          <w:tcPr>
            <w:tcW w:w="1276" w:type="dxa"/>
            <w:tcBorders>
              <w:top w:val="nil"/>
              <w:bottom w:val="nil"/>
              <w:right w:val="nil"/>
            </w:tcBorders>
          </w:tcPr>
          <w:p w14:paraId="26284AC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u w:val="single"/>
              </w:rPr>
              <w:t>&gt;</w:t>
            </w:r>
          </w:p>
        </w:tc>
        <w:tc>
          <w:tcPr>
            <w:tcW w:w="8172" w:type="dxa"/>
            <w:tcBorders>
              <w:left w:val="nil"/>
            </w:tcBorders>
          </w:tcPr>
          <w:p w14:paraId="72C88A9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greater than or equal to</w:t>
            </w:r>
          </w:p>
        </w:tc>
      </w:tr>
      <w:tr w:rsidR="009C38E1" w:rsidRPr="00DF2323" w14:paraId="207BA40A" w14:textId="77777777" w:rsidTr="00BE0479">
        <w:trPr>
          <w:jc w:val="right"/>
        </w:trPr>
        <w:tc>
          <w:tcPr>
            <w:tcW w:w="1276" w:type="dxa"/>
            <w:tcBorders>
              <w:top w:val="nil"/>
              <w:bottom w:val="nil"/>
              <w:right w:val="nil"/>
            </w:tcBorders>
          </w:tcPr>
          <w:p w14:paraId="50996A7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289613A0"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5F05FC60" w14:textId="77777777" w:rsidTr="00BE0479">
        <w:trPr>
          <w:jc w:val="right"/>
        </w:trPr>
        <w:tc>
          <w:tcPr>
            <w:tcW w:w="1276" w:type="dxa"/>
            <w:tcBorders>
              <w:top w:val="nil"/>
              <w:bottom w:val="nil"/>
              <w:right w:val="nil"/>
            </w:tcBorders>
          </w:tcPr>
          <w:p w14:paraId="4250CEF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µg</w:t>
            </w:r>
          </w:p>
        </w:tc>
        <w:tc>
          <w:tcPr>
            <w:tcW w:w="8172" w:type="dxa"/>
            <w:tcBorders>
              <w:left w:val="nil"/>
            </w:tcBorders>
          </w:tcPr>
          <w:p w14:paraId="3121214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microgram</w:t>
            </w:r>
          </w:p>
        </w:tc>
      </w:tr>
      <w:tr w:rsidR="009C38E1" w:rsidRPr="00DF2323" w14:paraId="37564B1B" w14:textId="77777777" w:rsidTr="00BE0479">
        <w:trPr>
          <w:jc w:val="right"/>
        </w:trPr>
        <w:tc>
          <w:tcPr>
            <w:tcW w:w="1276" w:type="dxa"/>
            <w:tcBorders>
              <w:top w:val="nil"/>
              <w:bottom w:val="nil"/>
              <w:right w:val="nil"/>
            </w:tcBorders>
          </w:tcPr>
          <w:p w14:paraId="03AFE47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sym w:font="Symbol" w:char="F06D"/>
            </w:r>
            <w:r w:rsidRPr="00DF2323">
              <w:rPr>
                <w:color w:val="000000"/>
                <w:sz w:val="20"/>
                <w:szCs w:val="20"/>
              </w:rPr>
              <w:t>m</w:t>
            </w:r>
          </w:p>
        </w:tc>
        <w:tc>
          <w:tcPr>
            <w:tcW w:w="8172" w:type="dxa"/>
            <w:tcBorders>
              <w:left w:val="nil"/>
            </w:tcBorders>
          </w:tcPr>
          <w:p w14:paraId="0DDB764E"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micrometre</w:t>
            </w:r>
          </w:p>
        </w:tc>
      </w:tr>
      <w:tr w:rsidR="009C38E1" w:rsidRPr="00DF2323" w14:paraId="65ADDDCE" w14:textId="77777777" w:rsidTr="00BE0479">
        <w:trPr>
          <w:jc w:val="right"/>
        </w:trPr>
        <w:tc>
          <w:tcPr>
            <w:tcW w:w="1276" w:type="dxa"/>
            <w:tcBorders>
              <w:top w:val="nil"/>
              <w:bottom w:val="nil"/>
              <w:right w:val="nil"/>
            </w:tcBorders>
          </w:tcPr>
          <w:p w14:paraId="048C0A3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0B7013A2" w14:textId="77777777" w:rsidR="009C38E1" w:rsidRPr="00DF2323" w:rsidRDefault="009C38E1" w:rsidP="00BE0479">
            <w:pPr>
              <w:tabs>
                <w:tab w:val="left" w:pos="624"/>
                <w:tab w:val="left" w:pos="1247"/>
                <w:tab w:val="left" w:pos="1871"/>
                <w:tab w:val="left" w:pos="2495"/>
              </w:tabs>
              <w:ind w:left="214"/>
              <w:rPr>
                <w:color w:val="000000"/>
                <w:sz w:val="20"/>
                <w:szCs w:val="20"/>
              </w:rPr>
            </w:pPr>
          </w:p>
        </w:tc>
      </w:tr>
      <w:tr w:rsidR="009C38E1" w:rsidRPr="00DF2323" w14:paraId="37D588B6" w14:textId="77777777" w:rsidTr="00BE0479">
        <w:trPr>
          <w:jc w:val="right"/>
        </w:trPr>
        <w:tc>
          <w:tcPr>
            <w:tcW w:w="1276" w:type="dxa"/>
            <w:tcBorders>
              <w:top w:val="nil"/>
              <w:bottom w:val="nil"/>
              <w:right w:val="nil"/>
            </w:tcBorders>
          </w:tcPr>
          <w:p w14:paraId="5A230B4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ARfD</w:t>
            </w:r>
          </w:p>
        </w:tc>
        <w:tc>
          <w:tcPr>
            <w:tcW w:w="8172" w:type="dxa"/>
            <w:tcBorders>
              <w:left w:val="nil"/>
            </w:tcBorders>
          </w:tcPr>
          <w:p w14:paraId="0D740AF8"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acute reference dose</w:t>
            </w:r>
          </w:p>
        </w:tc>
      </w:tr>
      <w:tr w:rsidR="009C38E1" w:rsidRPr="00DF2323" w14:paraId="48B70230" w14:textId="77777777" w:rsidTr="00BE0479">
        <w:trPr>
          <w:jc w:val="right"/>
        </w:trPr>
        <w:tc>
          <w:tcPr>
            <w:tcW w:w="1276" w:type="dxa"/>
            <w:tcBorders>
              <w:top w:val="nil"/>
              <w:bottom w:val="nil"/>
              <w:right w:val="nil"/>
            </w:tcBorders>
          </w:tcPr>
          <w:p w14:paraId="15EA85F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a.i.</w:t>
            </w:r>
          </w:p>
        </w:tc>
        <w:tc>
          <w:tcPr>
            <w:tcW w:w="8172" w:type="dxa"/>
            <w:tcBorders>
              <w:left w:val="nil"/>
            </w:tcBorders>
          </w:tcPr>
          <w:p w14:paraId="6120F72A"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active ingredient</w:t>
            </w:r>
          </w:p>
        </w:tc>
      </w:tr>
      <w:tr w:rsidR="009C38E1" w:rsidRPr="00DF2323" w14:paraId="5E10B058" w14:textId="77777777" w:rsidTr="00BE0479">
        <w:trPr>
          <w:jc w:val="right"/>
        </w:trPr>
        <w:tc>
          <w:tcPr>
            <w:tcW w:w="1276" w:type="dxa"/>
            <w:tcBorders>
              <w:top w:val="nil"/>
              <w:bottom w:val="nil"/>
              <w:right w:val="nil"/>
            </w:tcBorders>
          </w:tcPr>
          <w:p w14:paraId="2FDBD5E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a.s.</w:t>
            </w:r>
          </w:p>
        </w:tc>
        <w:tc>
          <w:tcPr>
            <w:tcW w:w="8172" w:type="dxa"/>
            <w:tcBorders>
              <w:left w:val="nil"/>
            </w:tcBorders>
          </w:tcPr>
          <w:p w14:paraId="1FAA29C2"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active substance</w:t>
            </w:r>
          </w:p>
        </w:tc>
      </w:tr>
      <w:tr w:rsidR="009C38E1" w:rsidRPr="00DF2323" w14:paraId="76A1C0F6" w14:textId="77777777" w:rsidTr="00BE0479">
        <w:trPr>
          <w:jc w:val="right"/>
        </w:trPr>
        <w:tc>
          <w:tcPr>
            <w:tcW w:w="1276" w:type="dxa"/>
            <w:tcBorders>
              <w:top w:val="nil"/>
              <w:bottom w:val="nil"/>
              <w:right w:val="nil"/>
            </w:tcBorders>
          </w:tcPr>
          <w:p w14:paraId="414A1B0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smartTag w:uri="urn:schemas-microsoft-com:office:smarttags" w:element="stockticker">
              <w:r w:rsidRPr="00DF2323">
                <w:rPr>
                  <w:color w:val="000000"/>
                  <w:sz w:val="20"/>
                  <w:szCs w:val="20"/>
                </w:rPr>
                <w:t>ADI</w:t>
              </w:r>
            </w:smartTag>
          </w:p>
        </w:tc>
        <w:tc>
          <w:tcPr>
            <w:tcW w:w="8172" w:type="dxa"/>
            <w:tcBorders>
              <w:left w:val="nil"/>
            </w:tcBorders>
          </w:tcPr>
          <w:p w14:paraId="52FAB294"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acceptable daily intake</w:t>
            </w:r>
          </w:p>
        </w:tc>
      </w:tr>
      <w:tr w:rsidR="009C38E1" w:rsidRPr="00DF2323" w:rsidDel="00357419" w14:paraId="44F6E511" w14:textId="77777777" w:rsidTr="00BE0479">
        <w:trPr>
          <w:jc w:val="right"/>
        </w:trPr>
        <w:tc>
          <w:tcPr>
            <w:tcW w:w="1276" w:type="dxa"/>
            <w:tcBorders>
              <w:top w:val="nil"/>
              <w:bottom w:val="nil"/>
              <w:right w:val="nil"/>
            </w:tcBorders>
          </w:tcPr>
          <w:p w14:paraId="36749E78" w14:textId="77777777" w:rsidR="009C38E1" w:rsidRPr="00DF2323" w:rsidDel="00357419"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AOEL</w:t>
            </w:r>
          </w:p>
        </w:tc>
        <w:tc>
          <w:tcPr>
            <w:tcW w:w="8172" w:type="dxa"/>
            <w:tcBorders>
              <w:left w:val="nil"/>
            </w:tcBorders>
          </w:tcPr>
          <w:p w14:paraId="32F03A3C" w14:textId="77777777" w:rsidR="009C38E1" w:rsidRPr="00DF2323" w:rsidDel="00357419"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acceptable operator exposure level</w:t>
            </w:r>
          </w:p>
        </w:tc>
      </w:tr>
      <w:tr w:rsidR="009C38E1" w:rsidRPr="00DF2323" w14:paraId="01B1076B" w14:textId="77777777" w:rsidTr="00BE0479">
        <w:trPr>
          <w:jc w:val="right"/>
        </w:trPr>
        <w:tc>
          <w:tcPr>
            <w:tcW w:w="1276" w:type="dxa"/>
            <w:tcBorders>
              <w:top w:val="nil"/>
              <w:bottom w:val="nil"/>
              <w:right w:val="nil"/>
            </w:tcBorders>
          </w:tcPr>
          <w:p w14:paraId="4EBE8BC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7F051985" w14:textId="77777777" w:rsidR="009C38E1" w:rsidRPr="00DF2323" w:rsidRDefault="009C38E1" w:rsidP="00BE0479">
            <w:pPr>
              <w:tabs>
                <w:tab w:val="left" w:pos="624"/>
                <w:tab w:val="left" w:pos="1247"/>
                <w:tab w:val="left" w:pos="1871"/>
                <w:tab w:val="left" w:pos="2495"/>
              </w:tabs>
              <w:ind w:left="214"/>
              <w:rPr>
                <w:color w:val="000000"/>
                <w:sz w:val="20"/>
                <w:szCs w:val="20"/>
              </w:rPr>
            </w:pPr>
          </w:p>
        </w:tc>
      </w:tr>
      <w:tr w:rsidR="009C38E1" w:rsidRPr="00DF2323" w14:paraId="65C800B5" w14:textId="77777777" w:rsidTr="00BE0479">
        <w:trPr>
          <w:jc w:val="right"/>
        </w:trPr>
        <w:tc>
          <w:tcPr>
            <w:tcW w:w="1276" w:type="dxa"/>
            <w:tcBorders>
              <w:top w:val="nil"/>
              <w:bottom w:val="nil"/>
              <w:right w:val="nil"/>
            </w:tcBorders>
          </w:tcPr>
          <w:p w14:paraId="7F76505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b.p.</w:t>
            </w:r>
          </w:p>
        </w:tc>
        <w:tc>
          <w:tcPr>
            <w:tcW w:w="8172" w:type="dxa"/>
            <w:tcBorders>
              <w:left w:val="nil"/>
            </w:tcBorders>
          </w:tcPr>
          <w:p w14:paraId="78F4E37C"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boiling point</w:t>
            </w:r>
          </w:p>
        </w:tc>
      </w:tr>
      <w:tr w:rsidR="009C38E1" w:rsidRPr="00DF2323" w14:paraId="27C5A384" w14:textId="77777777" w:rsidTr="00BE0479">
        <w:trPr>
          <w:jc w:val="right"/>
        </w:trPr>
        <w:tc>
          <w:tcPr>
            <w:tcW w:w="1276" w:type="dxa"/>
            <w:tcBorders>
              <w:top w:val="nil"/>
              <w:bottom w:val="nil"/>
              <w:right w:val="nil"/>
            </w:tcBorders>
          </w:tcPr>
          <w:p w14:paraId="44D018E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bw</w:t>
            </w:r>
          </w:p>
        </w:tc>
        <w:tc>
          <w:tcPr>
            <w:tcW w:w="8172" w:type="dxa"/>
            <w:tcBorders>
              <w:left w:val="nil"/>
            </w:tcBorders>
          </w:tcPr>
          <w:p w14:paraId="7E5897D4" w14:textId="77777777" w:rsidR="009C38E1" w:rsidRPr="00DF2323" w:rsidRDefault="009C38E1" w:rsidP="00BE0479">
            <w:pPr>
              <w:tabs>
                <w:tab w:val="left" w:pos="624"/>
                <w:tab w:val="left" w:pos="1247"/>
                <w:tab w:val="left" w:pos="1871"/>
                <w:tab w:val="left" w:pos="2495"/>
              </w:tabs>
              <w:ind w:left="214"/>
              <w:rPr>
                <w:color w:val="000000"/>
                <w:sz w:val="20"/>
                <w:szCs w:val="20"/>
              </w:rPr>
            </w:pPr>
            <w:r w:rsidRPr="00DF2323">
              <w:rPr>
                <w:color w:val="000000"/>
                <w:sz w:val="20"/>
                <w:szCs w:val="20"/>
              </w:rPr>
              <w:t>body weight</w:t>
            </w:r>
          </w:p>
        </w:tc>
      </w:tr>
      <w:tr w:rsidR="009C38E1" w:rsidRPr="00DF2323" w14:paraId="2FC14F82" w14:textId="77777777" w:rsidTr="00BE0479">
        <w:trPr>
          <w:jc w:val="right"/>
        </w:trPr>
        <w:tc>
          <w:tcPr>
            <w:tcW w:w="1276" w:type="dxa"/>
            <w:tcBorders>
              <w:top w:val="nil"/>
              <w:bottom w:val="nil"/>
              <w:right w:val="nil"/>
            </w:tcBorders>
          </w:tcPr>
          <w:p w14:paraId="641ED066" w14:textId="77777777" w:rsidR="009C38E1" w:rsidRPr="00DF2323" w:rsidRDefault="009C38E1" w:rsidP="00BE0479">
            <w:pPr>
              <w:tabs>
                <w:tab w:val="left" w:pos="624"/>
                <w:tab w:val="left" w:pos="1247"/>
                <w:tab w:val="left" w:pos="1871"/>
                <w:tab w:val="left" w:pos="2495"/>
              </w:tabs>
              <w:ind w:left="176" w:hanging="142"/>
              <w:rPr>
                <w:color w:val="000000"/>
                <w:sz w:val="20"/>
                <w:szCs w:val="20"/>
                <w:vertAlign w:val="superscript"/>
              </w:rPr>
            </w:pPr>
          </w:p>
        </w:tc>
        <w:tc>
          <w:tcPr>
            <w:tcW w:w="8172" w:type="dxa"/>
            <w:tcBorders>
              <w:left w:val="nil"/>
            </w:tcBorders>
          </w:tcPr>
          <w:p w14:paraId="0D2DC3E8"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6D5C776A" w14:textId="77777777" w:rsidTr="00BE0479">
        <w:trPr>
          <w:jc w:val="right"/>
        </w:trPr>
        <w:tc>
          <w:tcPr>
            <w:tcW w:w="1276" w:type="dxa"/>
            <w:tcBorders>
              <w:top w:val="nil"/>
              <w:bottom w:val="nil"/>
              <w:right w:val="nil"/>
            </w:tcBorders>
          </w:tcPr>
          <w:p w14:paraId="2613F8D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vertAlign w:val="superscript"/>
              </w:rPr>
              <w:t>o</w:t>
            </w:r>
            <w:r w:rsidRPr="00DF2323">
              <w:rPr>
                <w:color w:val="000000"/>
                <w:sz w:val="20"/>
                <w:szCs w:val="20"/>
              </w:rPr>
              <w:t>C</w:t>
            </w:r>
          </w:p>
        </w:tc>
        <w:tc>
          <w:tcPr>
            <w:tcW w:w="8172" w:type="dxa"/>
            <w:tcBorders>
              <w:left w:val="nil"/>
            </w:tcBorders>
          </w:tcPr>
          <w:p w14:paraId="673EC019"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degree Celsius (centigrade)</w:t>
            </w:r>
          </w:p>
        </w:tc>
      </w:tr>
      <w:tr w:rsidR="009C38E1" w:rsidRPr="00DF2323" w14:paraId="374DBA9B" w14:textId="77777777" w:rsidTr="00BE0479">
        <w:trPr>
          <w:jc w:val="right"/>
        </w:trPr>
        <w:tc>
          <w:tcPr>
            <w:tcW w:w="1276" w:type="dxa"/>
            <w:tcBorders>
              <w:top w:val="nil"/>
              <w:bottom w:val="nil"/>
              <w:right w:val="nil"/>
            </w:tcBorders>
          </w:tcPr>
          <w:p w14:paraId="0F5E12C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CAS</w:t>
            </w:r>
          </w:p>
        </w:tc>
        <w:tc>
          <w:tcPr>
            <w:tcW w:w="8172" w:type="dxa"/>
            <w:tcBorders>
              <w:left w:val="nil"/>
            </w:tcBorders>
          </w:tcPr>
          <w:p w14:paraId="2702F3BF"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Chemical Abstracts Service</w:t>
            </w:r>
          </w:p>
        </w:tc>
      </w:tr>
      <w:tr w:rsidR="009C38E1" w:rsidRPr="00DF2323" w14:paraId="5951CD86" w14:textId="77777777" w:rsidTr="00BE0479">
        <w:trPr>
          <w:jc w:val="right"/>
        </w:trPr>
        <w:tc>
          <w:tcPr>
            <w:tcW w:w="1276" w:type="dxa"/>
            <w:tcBorders>
              <w:top w:val="nil"/>
              <w:bottom w:val="nil"/>
              <w:right w:val="nil"/>
            </w:tcBorders>
          </w:tcPr>
          <w:p w14:paraId="3BFCAC7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6770469C"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45A7A253" w14:textId="77777777" w:rsidTr="00BE0479">
        <w:trPr>
          <w:jc w:val="right"/>
        </w:trPr>
        <w:tc>
          <w:tcPr>
            <w:tcW w:w="1276" w:type="dxa"/>
            <w:tcBorders>
              <w:top w:val="nil"/>
              <w:bottom w:val="nil"/>
              <w:right w:val="nil"/>
            </w:tcBorders>
          </w:tcPr>
          <w:p w14:paraId="32467B60" w14:textId="77777777" w:rsidR="009C38E1" w:rsidRPr="00DF2323" w:rsidRDefault="009C38E1" w:rsidP="00BE0479">
            <w:pPr>
              <w:tabs>
                <w:tab w:val="left" w:pos="624"/>
                <w:tab w:val="left" w:pos="1247"/>
                <w:tab w:val="left" w:pos="1871"/>
                <w:tab w:val="left" w:pos="2495"/>
              </w:tabs>
              <w:ind w:left="34"/>
              <w:rPr>
                <w:color w:val="000000"/>
                <w:sz w:val="20"/>
                <w:szCs w:val="20"/>
              </w:rPr>
            </w:pPr>
            <w:r w:rsidRPr="00DF2323">
              <w:rPr>
                <w:color w:val="000000"/>
                <w:sz w:val="20"/>
                <w:szCs w:val="20"/>
              </w:rPr>
              <w:t>DT</w:t>
            </w:r>
            <w:r w:rsidRPr="00DF2323">
              <w:rPr>
                <w:color w:val="000000"/>
                <w:sz w:val="20"/>
                <w:szCs w:val="20"/>
                <w:vertAlign w:val="subscript"/>
              </w:rPr>
              <w:t>50</w:t>
            </w:r>
          </w:p>
        </w:tc>
        <w:tc>
          <w:tcPr>
            <w:tcW w:w="8172" w:type="dxa"/>
            <w:tcBorders>
              <w:left w:val="nil"/>
            </w:tcBorders>
          </w:tcPr>
          <w:p w14:paraId="54F7E8B7"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dissipation time 50%</w:t>
            </w:r>
          </w:p>
        </w:tc>
      </w:tr>
      <w:tr w:rsidR="009C38E1" w:rsidRPr="00DF2323" w14:paraId="2FD0B957" w14:textId="77777777" w:rsidTr="00BE0479">
        <w:trPr>
          <w:jc w:val="right"/>
        </w:trPr>
        <w:tc>
          <w:tcPr>
            <w:tcW w:w="1276" w:type="dxa"/>
            <w:tcBorders>
              <w:top w:val="nil"/>
              <w:bottom w:val="nil"/>
              <w:right w:val="nil"/>
            </w:tcBorders>
          </w:tcPr>
          <w:p w14:paraId="4B0B2EEE" w14:textId="77777777" w:rsidR="009C38E1" w:rsidRPr="00DF2323" w:rsidRDefault="009C38E1" w:rsidP="00BE0479">
            <w:pPr>
              <w:tabs>
                <w:tab w:val="left" w:pos="624"/>
                <w:tab w:val="left" w:pos="1247"/>
                <w:tab w:val="left" w:pos="1871"/>
                <w:tab w:val="left" w:pos="2495"/>
              </w:tabs>
              <w:ind w:left="34"/>
              <w:rPr>
                <w:color w:val="000000"/>
                <w:sz w:val="20"/>
                <w:szCs w:val="20"/>
              </w:rPr>
            </w:pPr>
          </w:p>
        </w:tc>
        <w:tc>
          <w:tcPr>
            <w:tcW w:w="8172" w:type="dxa"/>
            <w:tcBorders>
              <w:left w:val="nil"/>
            </w:tcBorders>
          </w:tcPr>
          <w:p w14:paraId="07144611"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4410F792" w14:textId="77777777" w:rsidTr="00BE0479">
        <w:trPr>
          <w:jc w:val="right"/>
        </w:trPr>
        <w:tc>
          <w:tcPr>
            <w:tcW w:w="1276" w:type="dxa"/>
            <w:tcBorders>
              <w:top w:val="nil"/>
              <w:bottom w:val="nil"/>
              <w:right w:val="nil"/>
            </w:tcBorders>
          </w:tcPr>
          <w:p w14:paraId="75631D29" w14:textId="77777777" w:rsidR="009C38E1" w:rsidRPr="00DF2323" w:rsidRDefault="009C38E1" w:rsidP="00BE0479">
            <w:pPr>
              <w:tabs>
                <w:tab w:val="left" w:pos="624"/>
                <w:tab w:val="left" w:pos="1247"/>
                <w:tab w:val="left" w:pos="1871"/>
                <w:tab w:val="left" w:pos="2495"/>
              </w:tabs>
              <w:ind w:left="34"/>
              <w:rPr>
                <w:color w:val="000000"/>
                <w:sz w:val="20"/>
                <w:szCs w:val="20"/>
              </w:rPr>
            </w:pPr>
            <w:r w:rsidRPr="00DF2323">
              <w:rPr>
                <w:color w:val="000000"/>
                <w:sz w:val="20"/>
                <w:szCs w:val="20"/>
              </w:rPr>
              <w:t>EC</w:t>
            </w:r>
          </w:p>
        </w:tc>
        <w:tc>
          <w:tcPr>
            <w:tcW w:w="8172" w:type="dxa"/>
            <w:tcBorders>
              <w:left w:val="nil"/>
            </w:tcBorders>
          </w:tcPr>
          <w:p w14:paraId="7662B6EF"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European Community</w:t>
            </w:r>
          </w:p>
        </w:tc>
      </w:tr>
      <w:tr w:rsidR="009C38E1" w:rsidRPr="00DF2323" w14:paraId="22467FBF" w14:textId="77777777" w:rsidTr="00BE0479">
        <w:trPr>
          <w:jc w:val="right"/>
        </w:trPr>
        <w:tc>
          <w:tcPr>
            <w:tcW w:w="1276" w:type="dxa"/>
            <w:tcBorders>
              <w:top w:val="nil"/>
              <w:bottom w:val="nil"/>
              <w:right w:val="nil"/>
            </w:tcBorders>
          </w:tcPr>
          <w:p w14:paraId="59F6628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EC</w:t>
            </w:r>
            <w:r w:rsidRPr="00DF2323">
              <w:rPr>
                <w:color w:val="000000"/>
                <w:sz w:val="20"/>
                <w:szCs w:val="20"/>
                <w:vertAlign w:val="subscript"/>
              </w:rPr>
              <w:t>50</w:t>
            </w:r>
          </w:p>
        </w:tc>
        <w:tc>
          <w:tcPr>
            <w:tcW w:w="8172" w:type="dxa"/>
            <w:tcBorders>
              <w:left w:val="nil"/>
            </w:tcBorders>
          </w:tcPr>
          <w:p w14:paraId="5C2F6BC6"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median effective concentration</w:t>
            </w:r>
          </w:p>
        </w:tc>
      </w:tr>
      <w:tr w:rsidR="009C38E1" w:rsidRPr="00DF2323" w14:paraId="6DF6E471" w14:textId="77777777" w:rsidTr="00BE0479">
        <w:trPr>
          <w:jc w:val="right"/>
        </w:trPr>
        <w:tc>
          <w:tcPr>
            <w:tcW w:w="1276" w:type="dxa"/>
            <w:tcBorders>
              <w:top w:val="nil"/>
              <w:bottom w:val="nil"/>
              <w:right w:val="nil"/>
            </w:tcBorders>
          </w:tcPr>
          <w:p w14:paraId="059F7CA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EEC</w:t>
            </w:r>
          </w:p>
        </w:tc>
        <w:tc>
          <w:tcPr>
            <w:tcW w:w="8172" w:type="dxa"/>
            <w:tcBorders>
              <w:left w:val="nil"/>
            </w:tcBorders>
          </w:tcPr>
          <w:p w14:paraId="527F0530"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European Economic Community</w:t>
            </w:r>
          </w:p>
        </w:tc>
      </w:tr>
      <w:tr w:rsidR="009C38E1" w:rsidRPr="00DF2323" w14:paraId="221D06F6" w14:textId="77777777" w:rsidTr="00BE0479">
        <w:trPr>
          <w:jc w:val="right"/>
        </w:trPr>
        <w:tc>
          <w:tcPr>
            <w:tcW w:w="1276" w:type="dxa"/>
            <w:tcBorders>
              <w:top w:val="nil"/>
              <w:bottom w:val="nil"/>
              <w:right w:val="nil"/>
            </w:tcBorders>
          </w:tcPr>
          <w:p w14:paraId="33A6B35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EHC</w:t>
            </w:r>
          </w:p>
        </w:tc>
        <w:tc>
          <w:tcPr>
            <w:tcW w:w="8172" w:type="dxa"/>
            <w:tcBorders>
              <w:left w:val="nil"/>
            </w:tcBorders>
          </w:tcPr>
          <w:p w14:paraId="1D3C01C8"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Environmental Health Criteria</w:t>
            </w:r>
          </w:p>
        </w:tc>
      </w:tr>
      <w:tr w:rsidR="009C38E1" w:rsidRPr="00DF2323" w14:paraId="6F41E362" w14:textId="77777777" w:rsidTr="00BE0479">
        <w:trPr>
          <w:jc w:val="right"/>
        </w:trPr>
        <w:tc>
          <w:tcPr>
            <w:tcW w:w="1276" w:type="dxa"/>
            <w:tcBorders>
              <w:top w:val="nil"/>
              <w:bottom w:val="nil"/>
              <w:right w:val="nil"/>
            </w:tcBorders>
          </w:tcPr>
          <w:p w14:paraId="4EA0D2C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EU</w:t>
            </w:r>
          </w:p>
        </w:tc>
        <w:tc>
          <w:tcPr>
            <w:tcW w:w="8172" w:type="dxa"/>
            <w:tcBorders>
              <w:left w:val="nil"/>
            </w:tcBorders>
          </w:tcPr>
          <w:p w14:paraId="0AC2D3BE"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European Union</w:t>
            </w:r>
          </w:p>
        </w:tc>
      </w:tr>
      <w:tr w:rsidR="009C38E1" w:rsidRPr="00DF2323" w14:paraId="7D6A87D3" w14:textId="77777777" w:rsidTr="00BE0479">
        <w:trPr>
          <w:jc w:val="right"/>
        </w:trPr>
        <w:tc>
          <w:tcPr>
            <w:tcW w:w="1276" w:type="dxa"/>
            <w:tcBorders>
              <w:top w:val="nil"/>
              <w:bottom w:val="nil"/>
              <w:right w:val="nil"/>
            </w:tcBorders>
          </w:tcPr>
          <w:p w14:paraId="4DBD0BC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ETL</w:t>
            </w:r>
          </w:p>
        </w:tc>
        <w:tc>
          <w:tcPr>
            <w:tcW w:w="8172" w:type="dxa"/>
            <w:tcBorders>
              <w:left w:val="nil"/>
            </w:tcBorders>
          </w:tcPr>
          <w:p w14:paraId="6878CD58"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Environmental Toxic Load</w:t>
            </w:r>
          </w:p>
        </w:tc>
      </w:tr>
      <w:tr w:rsidR="009C38E1" w:rsidRPr="00DF2323" w14:paraId="610C5F2C" w14:textId="77777777" w:rsidTr="00BE0479">
        <w:trPr>
          <w:jc w:val="right"/>
        </w:trPr>
        <w:tc>
          <w:tcPr>
            <w:tcW w:w="1276" w:type="dxa"/>
            <w:tcBorders>
              <w:top w:val="nil"/>
              <w:bottom w:val="nil"/>
              <w:right w:val="nil"/>
            </w:tcBorders>
          </w:tcPr>
          <w:p w14:paraId="7AE9A83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70E6CB26"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0DAEDA46" w14:textId="77777777" w:rsidTr="00BE0479">
        <w:trPr>
          <w:jc w:val="right"/>
        </w:trPr>
        <w:tc>
          <w:tcPr>
            <w:tcW w:w="1276" w:type="dxa"/>
            <w:tcBorders>
              <w:top w:val="nil"/>
              <w:bottom w:val="nil"/>
              <w:right w:val="nil"/>
            </w:tcBorders>
          </w:tcPr>
          <w:p w14:paraId="32AC0A4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FAO</w:t>
            </w:r>
          </w:p>
        </w:tc>
        <w:tc>
          <w:tcPr>
            <w:tcW w:w="8172" w:type="dxa"/>
            <w:tcBorders>
              <w:left w:val="nil"/>
            </w:tcBorders>
          </w:tcPr>
          <w:p w14:paraId="0D122F57"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Food and Agriculture Organization of the United Nations</w:t>
            </w:r>
          </w:p>
        </w:tc>
      </w:tr>
      <w:tr w:rsidR="009C38E1" w:rsidRPr="00DF2323" w14:paraId="6B014F96" w14:textId="77777777" w:rsidTr="00BE0479">
        <w:trPr>
          <w:jc w:val="right"/>
        </w:trPr>
        <w:tc>
          <w:tcPr>
            <w:tcW w:w="1276" w:type="dxa"/>
            <w:tcBorders>
              <w:top w:val="nil"/>
              <w:bottom w:val="nil"/>
              <w:right w:val="nil"/>
            </w:tcBorders>
          </w:tcPr>
          <w:p w14:paraId="07F875B7"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61C8AF7E"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44E85F2C" w14:textId="77777777" w:rsidTr="00BE0479">
        <w:trPr>
          <w:jc w:val="right"/>
        </w:trPr>
        <w:tc>
          <w:tcPr>
            <w:tcW w:w="1276" w:type="dxa"/>
            <w:tcBorders>
              <w:top w:val="nil"/>
              <w:bottom w:val="nil"/>
              <w:right w:val="nil"/>
            </w:tcBorders>
          </w:tcPr>
          <w:p w14:paraId="2C570D07"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g</w:t>
            </w:r>
          </w:p>
        </w:tc>
        <w:tc>
          <w:tcPr>
            <w:tcW w:w="8172" w:type="dxa"/>
            <w:tcBorders>
              <w:left w:val="nil"/>
            </w:tcBorders>
          </w:tcPr>
          <w:p w14:paraId="229B8FCD"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gram</w:t>
            </w:r>
          </w:p>
        </w:tc>
      </w:tr>
      <w:tr w:rsidR="009C38E1" w:rsidRPr="00DF2323" w14:paraId="6912DEF4" w14:textId="77777777" w:rsidTr="00BE0479">
        <w:trPr>
          <w:jc w:val="right"/>
        </w:trPr>
        <w:tc>
          <w:tcPr>
            <w:tcW w:w="1276" w:type="dxa"/>
            <w:tcBorders>
              <w:top w:val="nil"/>
              <w:bottom w:val="nil"/>
              <w:right w:val="nil"/>
            </w:tcBorders>
          </w:tcPr>
          <w:p w14:paraId="2198019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5F80BE56"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1D26FE71" w14:textId="77777777" w:rsidTr="00BE0479">
        <w:trPr>
          <w:jc w:val="right"/>
        </w:trPr>
        <w:tc>
          <w:tcPr>
            <w:tcW w:w="1276" w:type="dxa"/>
            <w:tcBorders>
              <w:top w:val="nil"/>
              <w:bottom w:val="nil"/>
              <w:right w:val="nil"/>
            </w:tcBorders>
          </w:tcPr>
          <w:p w14:paraId="14001E32"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h</w:t>
            </w:r>
          </w:p>
        </w:tc>
        <w:tc>
          <w:tcPr>
            <w:tcW w:w="8172" w:type="dxa"/>
            <w:tcBorders>
              <w:left w:val="nil"/>
            </w:tcBorders>
          </w:tcPr>
          <w:p w14:paraId="639318B0"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hour</w:t>
            </w:r>
          </w:p>
        </w:tc>
      </w:tr>
      <w:tr w:rsidR="009C38E1" w:rsidRPr="00DF2323" w14:paraId="1D395EE8" w14:textId="77777777" w:rsidTr="00BE0479">
        <w:trPr>
          <w:jc w:val="right"/>
        </w:trPr>
        <w:tc>
          <w:tcPr>
            <w:tcW w:w="1276" w:type="dxa"/>
            <w:tcBorders>
              <w:top w:val="nil"/>
              <w:bottom w:val="nil"/>
              <w:right w:val="nil"/>
            </w:tcBorders>
          </w:tcPr>
          <w:p w14:paraId="7BFBFB1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ha</w:t>
            </w:r>
          </w:p>
        </w:tc>
        <w:tc>
          <w:tcPr>
            <w:tcW w:w="8172" w:type="dxa"/>
            <w:tcBorders>
              <w:left w:val="nil"/>
            </w:tcBorders>
          </w:tcPr>
          <w:p w14:paraId="0CDD34A5"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hectare</w:t>
            </w:r>
          </w:p>
        </w:tc>
      </w:tr>
      <w:tr w:rsidR="009C38E1" w:rsidRPr="00DF2323" w14:paraId="20C0CF31" w14:textId="77777777" w:rsidTr="00BE0479">
        <w:trPr>
          <w:jc w:val="right"/>
        </w:trPr>
        <w:tc>
          <w:tcPr>
            <w:tcW w:w="1276" w:type="dxa"/>
            <w:tcBorders>
              <w:top w:val="nil"/>
              <w:bottom w:val="nil"/>
              <w:right w:val="nil"/>
            </w:tcBorders>
          </w:tcPr>
          <w:p w14:paraId="3CFAB04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HHP</w:t>
            </w:r>
          </w:p>
        </w:tc>
        <w:tc>
          <w:tcPr>
            <w:tcW w:w="8172" w:type="dxa"/>
            <w:tcBorders>
              <w:left w:val="nil"/>
            </w:tcBorders>
          </w:tcPr>
          <w:p w14:paraId="7848ED3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Highly Hazardous Pesticide</w:t>
            </w:r>
          </w:p>
        </w:tc>
      </w:tr>
      <w:tr w:rsidR="009C38E1" w:rsidRPr="00DF2323" w14:paraId="33C10780" w14:textId="77777777" w:rsidTr="00BE0479">
        <w:trPr>
          <w:jc w:val="right"/>
        </w:trPr>
        <w:tc>
          <w:tcPr>
            <w:tcW w:w="1276" w:type="dxa"/>
            <w:tcBorders>
              <w:top w:val="nil"/>
              <w:bottom w:val="nil"/>
              <w:right w:val="nil"/>
            </w:tcBorders>
          </w:tcPr>
          <w:p w14:paraId="1FD9427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6CD7F438"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031DCD64" w14:textId="77777777" w:rsidTr="00BE0479">
        <w:trPr>
          <w:jc w:val="right"/>
        </w:trPr>
        <w:tc>
          <w:tcPr>
            <w:tcW w:w="1276" w:type="dxa"/>
            <w:tcBorders>
              <w:top w:val="nil"/>
              <w:bottom w:val="nil"/>
              <w:right w:val="nil"/>
            </w:tcBorders>
          </w:tcPr>
          <w:p w14:paraId="0F49766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IARC</w:t>
            </w:r>
          </w:p>
        </w:tc>
        <w:tc>
          <w:tcPr>
            <w:tcW w:w="8172" w:type="dxa"/>
            <w:tcBorders>
              <w:left w:val="nil"/>
            </w:tcBorders>
          </w:tcPr>
          <w:p w14:paraId="1050B433"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 xml:space="preserve">International Agency for Research on Cancer </w:t>
            </w:r>
          </w:p>
        </w:tc>
      </w:tr>
      <w:tr w:rsidR="009C38E1" w:rsidRPr="00DF2323" w14:paraId="1E9E75AB" w14:textId="77777777" w:rsidTr="00BE0479">
        <w:trPr>
          <w:jc w:val="right"/>
        </w:trPr>
        <w:tc>
          <w:tcPr>
            <w:tcW w:w="1276" w:type="dxa"/>
            <w:tcBorders>
              <w:top w:val="nil"/>
              <w:bottom w:val="nil"/>
              <w:right w:val="nil"/>
            </w:tcBorders>
          </w:tcPr>
          <w:p w14:paraId="295D260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IEDI</w:t>
            </w:r>
          </w:p>
        </w:tc>
        <w:tc>
          <w:tcPr>
            <w:tcW w:w="8172" w:type="dxa"/>
            <w:tcBorders>
              <w:left w:val="nil"/>
            </w:tcBorders>
          </w:tcPr>
          <w:p w14:paraId="7588DD4B"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international estimated daily intake</w:t>
            </w:r>
          </w:p>
        </w:tc>
      </w:tr>
      <w:tr w:rsidR="009C38E1" w:rsidRPr="00DF2323" w14:paraId="0898F052" w14:textId="77777777" w:rsidTr="00BE0479">
        <w:trPr>
          <w:jc w:val="right"/>
        </w:trPr>
        <w:tc>
          <w:tcPr>
            <w:tcW w:w="1276" w:type="dxa"/>
            <w:tcBorders>
              <w:top w:val="nil"/>
              <w:bottom w:val="nil"/>
              <w:right w:val="nil"/>
            </w:tcBorders>
          </w:tcPr>
          <w:p w14:paraId="4014D87E"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IESTI</w:t>
            </w:r>
          </w:p>
        </w:tc>
        <w:tc>
          <w:tcPr>
            <w:tcW w:w="8172" w:type="dxa"/>
            <w:tcBorders>
              <w:left w:val="nil"/>
            </w:tcBorders>
          </w:tcPr>
          <w:p w14:paraId="7AC23C87"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international estimated short-term dietary intake</w:t>
            </w:r>
          </w:p>
        </w:tc>
      </w:tr>
      <w:tr w:rsidR="009C38E1" w:rsidRPr="00DF2323" w14:paraId="78CF23AC" w14:textId="77777777" w:rsidTr="00BE0479">
        <w:trPr>
          <w:jc w:val="right"/>
        </w:trPr>
        <w:tc>
          <w:tcPr>
            <w:tcW w:w="1276" w:type="dxa"/>
            <w:tcBorders>
              <w:top w:val="nil"/>
              <w:bottom w:val="nil"/>
              <w:right w:val="nil"/>
            </w:tcBorders>
          </w:tcPr>
          <w:p w14:paraId="6E48353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IPCS</w:t>
            </w:r>
          </w:p>
        </w:tc>
        <w:tc>
          <w:tcPr>
            <w:tcW w:w="8172" w:type="dxa"/>
            <w:tcBorders>
              <w:left w:val="nil"/>
            </w:tcBorders>
          </w:tcPr>
          <w:p w14:paraId="632E0DAA"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International Programme on Chemical Safety</w:t>
            </w:r>
          </w:p>
        </w:tc>
      </w:tr>
      <w:tr w:rsidR="009C38E1" w:rsidRPr="00DF2323" w14:paraId="7A0140C7" w14:textId="77777777" w:rsidTr="00BE0479">
        <w:trPr>
          <w:jc w:val="right"/>
        </w:trPr>
        <w:tc>
          <w:tcPr>
            <w:tcW w:w="1276" w:type="dxa"/>
            <w:tcBorders>
              <w:top w:val="nil"/>
              <w:bottom w:val="nil"/>
              <w:right w:val="nil"/>
            </w:tcBorders>
          </w:tcPr>
          <w:p w14:paraId="3D98736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IUPAC</w:t>
            </w:r>
          </w:p>
        </w:tc>
        <w:tc>
          <w:tcPr>
            <w:tcW w:w="8172" w:type="dxa"/>
            <w:tcBorders>
              <w:left w:val="nil"/>
            </w:tcBorders>
          </w:tcPr>
          <w:p w14:paraId="1C90CC7B"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International Union of Pure and Applied Chemistry</w:t>
            </w:r>
          </w:p>
        </w:tc>
      </w:tr>
      <w:tr w:rsidR="009C38E1" w:rsidRPr="00DF2323" w14:paraId="4C00515E" w14:textId="77777777" w:rsidTr="00BE0479">
        <w:trPr>
          <w:jc w:val="right"/>
        </w:trPr>
        <w:tc>
          <w:tcPr>
            <w:tcW w:w="1276" w:type="dxa"/>
            <w:tcBorders>
              <w:top w:val="nil"/>
              <w:bottom w:val="nil"/>
              <w:right w:val="nil"/>
            </w:tcBorders>
          </w:tcPr>
          <w:p w14:paraId="1D1F180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top w:val="nil"/>
              <w:left w:val="nil"/>
              <w:bottom w:val="nil"/>
            </w:tcBorders>
          </w:tcPr>
          <w:p w14:paraId="4CEA1A50"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6A378706" w14:textId="77777777" w:rsidTr="00BE0479">
        <w:trPr>
          <w:jc w:val="right"/>
        </w:trPr>
        <w:tc>
          <w:tcPr>
            <w:tcW w:w="1276" w:type="dxa"/>
            <w:tcBorders>
              <w:top w:val="nil"/>
              <w:bottom w:val="nil"/>
              <w:right w:val="nil"/>
            </w:tcBorders>
          </w:tcPr>
          <w:p w14:paraId="433E68F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JMPR</w:t>
            </w:r>
          </w:p>
        </w:tc>
        <w:tc>
          <w:tcPr>
            <w:tcW w:w="8172" w:type="dxa"/>
            <w:tcBorders>
              <w:top w:val="nil"/>
              <w:left w:val="nil"/>
              <w:bottom w:val="nil"/>
            </w:tcBorders>
          </w:tcPr>
          <w:p w14:paraId="4C4E12E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Joint FAO/WHO Meeting on Pesticide Residues (Joint Meeting of the FAO Panel of Experts on Pesticide Residues in Food and the Environment and a WHO Expert Group on Pesticide Residues)</w:t>
            </w:r>
          </w:p>
        </w:tc>
      </w:tr>
      <w:tr w:rsidR="009C38E1" w:rsidRPr="00DF2323" w14:paraId="1B41A856" w14:textId="77777777" w:rsidTr="00BE0479">
        <w:trPr>
          <w:jc w:val="right"/>
        </w:trPr>
        <w:tc>
          <w:tcPr>
            <w:tcW w:w="1276" w:type="dxa"/>
            <w:tcBorders>
              <w:top w:val="nil"/>
              <w:bottom w:val="nil"/>
              <w:right w:val="nil"/>
            </w:tcBorders>
          </w:tcPr>
          <w:p w14:paraId="6F43D4F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top w:val="nil"/>
              <w:left w:val="nil"/>
              <w:bottom w:val="nil"/>
            </w:tcBorders>
          </w:tcPr>
          <w:p w14:paraId="184E9F4A"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0B09A765" w14:textId="77777777" w:rsidTr="00BE0479">
        <w:trPr>
          <w:jc w:val="right"/>
        </w:trPr>
        <w:tc>
          <w:tcPr>
            <w:tcW w:w="1276" w:type="dxa"/>
            <w:tcBorders>
              <w:top w:val="nil"/>
              <w:bottom w:val="nil"/>
              <w:right w:val="nil"/>
            </w:tcBorders>
          </w:tcPr>
          <w:p w14:paraId="40E3A58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w:t>
            </w:r>
          </w:p>
        </w:tc>
        <w:tc>
          <w:tcPr>
            <w:tcW w:w="8172" w:type="dxa"/>
            <w:tcBorders>
              <w:top w:val="nil"/>
              <w:left w:val="nil"/>
              <w:bottom w:val="nil"/>
            </w:tcBorders>
          </w:tcPr>
          <w:p w14:paraId="78525EBE"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kilo- (x 1000)</w:t>
            </w:r>
          </w:p>
        </w:tc>
      </w:tr>
      <w:tr w:rsidR="009C38E1" w:rsidRPr="00DF2323" w14:paraId="6E0ECDD5" w14:textId="77777777" w:rsidTr="00BE0479">
        <w:trPr>
          <w:jc w:val="right"/>
        </w:trPr>
        <w:tc>
          <w:tcPr>
            <w:tcW w:w="1276" w:type="dxa"/>
            <w:tcBorders>
              <w:top w:val="nil"/>
              <w:bottom w:val="single" w:sz="4" w:space="0" w:color="auto"/>
              <w:right w:val="nil"/>
            </w:tcBorders>
          </w:tcPr>
          <w:p w14:paraId="0C6797A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Kd</w:t>
            </w:r>
          </w:p>
        </w:tc>
        <w:tc>
          <w:tcPr>
            <w:tcW w:w="8172" w:type="dxa"/>
            <w:tcBorders>
              <w:top w:val="nil"/>
              <w:left w:val="nil"/>
              <w:bottom w:val="single" w:sz="4" w:space="0" w:color="auto"/>
            </w:tcBorders>
          </w:tcPr>
          <w:p w14:paraId="7D31797E"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Soil partition coefficient</w:t>
            </w:r>
          </w:p>
        </w:tc>
      </w:tr>
      <w:tr w:rsidR="009C38E1" w:rsidRPr="00DF2323" w14:paraId="5863CF81" w14:textId="77777777" w:rsidTr="00BE0479">
        <w:trPr>
          <w:jc w:val="right"/>
        </w:trPr>
        <w:tc>
          <w:tcPr>
            <w:tcW w:w="1276" w:type="dxa"/>
            <w:tcBorders>
              <w:top w:val="single" w:sz="4" w:space="0" w:color="auto"/>
              <w:bottom w:val="nil"/>
              <w:right w:val="nil"/>
            </w:tcBorders>
          </w:tcPr>
          <w:p w14:paraId="48FB5658"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kg</w:t>
            </w:r>
          </w:p>
        </w:tc>
        <w:tc>
          <w:tcPr>
            <w:tcW w:w="8172" w:type="dxa"/>
            <w:tcBorders>
              <w:top w:val="single" w:sz="4" w:space="0" w:color="auto"/>
              <w:left w:val="nil"/>
              <w:bottom w:val="nil"/>
            </w:tcBorders>
          </w:tcPr>
          <w:p w14:paraId="6D2C5272"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kilogram</w:t>
            </w:r>
          </w:p>
        </w:tc>
      </w:tr>
      <w:tr w:rsidR="009C38E1" w:rsidRPr="00DF2323" w14:paraId="08F6AE18" w14:textId="77777777" w:rsidTr="00BE0479">
        <w:trPr>
          <w:jc w:val="right"/>
        </w:trPr>
        <w:tc>
          <w:tcPr>
            <w:tcW w:w="1276" w:type="dxa"/>
            <w:tcBorders>
              <w:top w:val="nil"/>
              <w:bottom w:val="nil"/>
              <w:right w:val="nil"/>
            </w:tcBorders>
          </w:tcPr>
          <w:p w14:paraId="081C7DE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Koc</w:t>
            </w:r>
          </w:p>
        </w:tc>
        <w:tc>
          <w:tcPr>
            <w:tcW w:w="8172" w:type="dxa"/>
            <w:tcBorders>
              <w:top w:val="nil"/>
              <w:left w:val="nil"/>
              <w:bottom w:val="nil"/>
            </w:tcBorders>
          </w:tcPr>
          <w:p w14:paraId="4815D770"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soil organic carbon-water partition coefficient.</w:t>
            </w:r>
          </w:p>
        </w:tc>
      </w:tr>
      <w:tr w:rsidR="009C38E1" w:rsidRPr="00DF2323" w14:paraId="29ECDD8B" w14:textId="77777777" w:rsidTr="00BE0479">
        <w:trPr>
          <w:jc w:val="right"/>
        </w:trPr>
        <w:tc>
          <w:tcPr>
            <w:tcW w:w="1276" w:type="dxa"/>
            <w:tcBorders>
              <w:top w:val="nil"/>
              <w:bottom w:val="nil"/>
              <w:right w:val="nil"/>
            </w:tcBorders>
          </w:tcPr>
          <w:p w14:paraId="7A81905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Kow</w:t>
            </w:r>
          </w:p>
        </w:tc>
        <w:tc>
          <w:tcPr>
            <w:tcW w:w="8172" w:type="dxa"/>
            <w:tcBorders>
              <w:top w:val="nil"/>
              <w:left w:val="nil"/>
            </w:tcBorders>
          </w:tcPr>
          <w:p w14:paraId="578BD16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octanol–water partition coefficient</w:t>
            </w:r>
          </w:p>
        </w:tc>
      </w:tr>
      <w:tr w:rsidR="009C38E1" w:rsidRPr="00DF2323" w14:paraId="09A5EAE4" w14:textId="77777777" w:rsidTr="00BE0479">
        <w:trPr>
          <w:jc w:val="right"/>
        </w:trPr>
        <w:tc>
          <w:tcPr>
            <w:tcW w:w="1276" w:type="dxa"/>
            <w:tcBorders>
              <w:top w:val="nil"/>
              <w:bottom w:val="nil"/>
              <w:right w:val="nil"/>
            </w:tcBorders>
          </w:tcPr>
          <w:p w14:paraId="7EFBECC4"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kPa</w:t>
            </w:r>
          </w:p>
        </w:tc>
        <w:tc>
          <w:tcPr>
            <w:tcW w:w="8172" w:type="dxa"/>
            <w:tcBorders>
              <w:left w:val="nil"/>
            </w:tcBorders>
          </w:tcPr>
          <w:p w14:paraId="21B72227"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kilopascal</w:t>
            </w:r>
          </w:p>
        </w:tc>
      </w:tr>
      <w:tr w:rsidR="009C38E1" w:rsidRPr="00DF2323" w14:paraId="0BB08E05" w14:textId="77777777" w:rsidTr="00BE0479">
        <w:trPr>
          <w:jc w:val="right"/>
        </w:trPr>
        <w:tc>
          <w:tcPr>
            <w:tcW w:w="1276" w:type="dxa"/>
            <w:tcBorders>
              <w:top w:val="nil"/>
              <w:bottom w:val="nil"/>
              <w:right w:val="nil"/>
            </w:tcBorders>
          </w:tcPr>
          <w:p w14:paraId="3D30F39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19FCA0C6"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5A02102B" w14:textId="77777777" w:rsidTr="00BE0479">
        <w:trPr>
          <w:jc w:val="right"/>
        </w:trPr>
        <w:tc>
          <w:tcPr>
            <w:tcW w:w="1276" w:type="dxa"/>
            <w:tcBorders>
              <w:top w:val="nil"/>
              <w:bottom w:val="nil"/>
              <w:right w:val="nil"/>
            </w:tcBorders>
          </w:tcPr>
          <w:p w14:paraId="0F45113D"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L</w:t>
            </w:r>
          </w:p>
        </w:tc>
        <w:tc>
          <w:tcPr>
            <w:tcW w:w="8172" w:type="dxa"/>
            <w:tcBorders>
              <w:left w:val="nil"/>
            </w:tcBorders>
          </w:tcPr>
          <w:p w14:paraId="67B30635"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litre</w:t>
            </w:r>
          </w:p>
        </w:tc>
      </w:tr>
      <w:tr w:rsidR="009C38E1" w:rsidRPr="00DF2323" w14:paraId="096A5786" w14:textId="77777777" w:rsidTr="00BE0479">
        <w:trPr>
          <w:jc w:val="right"/>
        </w:trPr>
        <w:tc>
          <w:tcPr>
            <w:tcW w:w="1276" w:type="dxa"/>
            <w:tcBorders>
              <w:top w:val="nil"/>
              <w:bottom w:val="nil"/>
              <w:right w:val="nil"/>
            </w:tcBorders>
          </w:tcPr>
          <w:p w14:paraId="1C33379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LC</w:t>
            </w:r>
            <w:r w:rsidRPr="00DF2323">
              <w:rPr>
                <w:color w:val="000000"/>
                <w:sz w:val="20"/>
                <w:szCs w:val="20"/>
                <w:vertAlign w:val="subscript"/>
              </w:rPr>
              <w:t>50</w:t>
            </w:r>
            <w:r w:rsidRPr="00DF2323">
              <w:rPr>
                <w:color w:val="000000"/>
                <w:sz w:val="20"/>
                <w:szCs w:val="20"/>
              </w:rPr>
              <w:t xml:space="preserve"> </w:t>
            </w:r>
          </w:p>
        </w:tc>
        <w:tc>
          <w:tcPr>
            <w:tcW w:w="8172" w:type="dxa"/>
            <w:tcBorders>
              <w:left w:val="nil"/>
            </w:tcBorders>
          </w:tcPr>
          <w:p w14:paraId="73E73F0A"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median lethal concentration</w:t>
            </w:r>
          </w:p>
        </w:tc>
      </w:tr>
      <w:tr w:rsidR="009C38E1" w:rsidRPr="00DF2323" w14:paraId="2ED70B2A" w14:textId="77777777" w:rsidTr="00BE0479">
        <w:trPr>
          <w:jc w:val="right"/>
        </w:trPr>
        <w:tc>
          <w:tcPr>
            <w:tcW w:w="1276" w:type="dxa"/>
            <w:tcBorders>
              <w:top w:val="nil"/>
              <w:bottom w:val="nil"/>
              <w:right w:val="nil"/>
            </w:tcBorders>
          </w:tcPr>
          <w:p w14:paraId="4FAC70F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LD</w:t>
            </w:r>
            <w:r w:rsidRPr="00DF2323">
              <w:rPr>
                <w:color w:val="000000"/>
                <w:sz w:val="20"/>
                <w:szCs w:val="20"/>
                <w:vertAlign w:val="subscript"/>
              </w:rPr>
              <w:t>50</w:t>
            </w:r>
          </w:p>
        </w:tc>
        <w:tc>
          <w:tcPr>
            <w:tcW w:w="8172" w:type="dxa"/>
            <w:tcBorders>
              <w:left w:val="nil"/>
            </w:tcBorders>
          </w:tcPr>
          <w:p w14:paraId="2575AF69"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median lethal dose</w:t>
            </w:r>
          </w:p>
        </w:tc>
      </w:tr>
      <w:tr w:rsidR="009C38E1" w:rsidRPr="00DF2323" w14:paraId="4F7537D2" w14:textId="77777777" w:rsidTr="00BE0479">
        <w:trPr>
          <w:jc w:val="right"/>
        </w:trPr>
        <w:tc>
          <w:tcPr>
            <w:tcW w:w="1276" w:type="dxa"/>
            <w:tcBorders>
              <w:top w:val="nil"/>
              <w:bottom w:val="nil"/>
              <w:right w:val="nil"/>
            </w:tcBorders>
          </w:tcPr>
          <w:p w14:paraId="0AD410B2"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LOAEL</w:t>
            </w:r>
          </w:p>
        </w:tc>
        <w:tc>
          <w:tcPr>
            <w:tcW w:w="8172" w:type="dxa"/>
            <w:tcBorders>
              <w:left w:val="nil"/>
            </w:tcBorders>
          </w:tcPr>
          <w:p w14:paraId="04912641"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lowest-observed-adverse-effect level</w:t>
            </w:r>
          </w:p>
        </w:tc>
      </w:tr>
      <w:tr w:rsidR="009C38E1" w:rsidRPr="00DF2323" w14:paraId="50CC0B61" w14:textId="77777777" w:rsidTr="00BE0479">
        <w:trPr>
          <w:jc w:val="right"/>
        </w:trPr>
        <w:tc>
          <w:tcPr>
            <w:tcW w:w="1276" w:type="dxa"/>
            <w:tcBorders>
              <w:top w:val="nil"/>
              <w:bottom w:val="nil"/>
              <w:right w:val="nil"/>
            </w:tcBorders>
          </w:tcPr>
          <w:p w14:paraId="5EEB5392"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04F1F18B"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299F1283" w14:textId="77777777" w:rsidTr="00BE0479">
        <w:trPr>
          <w:jc w:val="right"/>
        </w:trPr>
        <w:tc>
          <w:tcPr>
            <w:tcW w:w="1276" w:type="dxa"/>
            <w:tcBorders>
              <w:top w:val="nil"/>
              <w:bottom w:val="nil"/>
              <w:right w:val="nil"/>
            </w:tcBorders>
          </w:tcPr>
          <w:p w14:paraId="3EDD76A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m</w:t>
            </w:r>
          </w:p>
        </w:tc>
        <w:tc>
          <w:tcPr>
            <w:tcW w:w="8172" w:type="dxa"/>
            <w:tcBorders>
              <w:left w:val="nil"/>
            </w:tcBorders>
          </w:tcPr>
          <w:p w14:paraId="511EE75F"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metre</w:t>
            </w:r>
          </w:p>
        </w:tc>
      </w:tr>
      <w:tr w:rsidR="009C38E1" w:rsidRPr="00DF2323" w14:paraId="27C850CB" w14:textId="77777777" w:rsidTr="00BE0479">
        <w:trPr>
          <w:jc w:val="right"/>
        </w:trPr>
        <w:tc>
          <w:tcPr>
            <w:tcW w:w="1276" w:type="dxa"/>
            <w:tcBorders>
              <w:top w:val="nil"/>
              <w:bottom w:val="nil"/>
              <w:right w:val="nil"/>
            </w:tcBorders>
          </w:tcPr>
          <w:p w14:paraId="5695EDC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lastRenderedPageBreak/>
              <w:t>mg</w:t>
            </w:r>
          </w:p>
        </w:tc>
        <w:tc>
          <w:tcPr>
            <w:tcW w:w="8172" w:type="dxa"/>
            <w:tcBorders>
              <w:left w:val="nil"/>
            </w:tcBorders>
          </w:tcPr>
          <w:p w14:paraId="50CEC780"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milligram</w:t>
            </w:r>
          </w:p>
        </w:tc>
      </w:tr>
      <w:tr w:rsidR="009C38E1" w:rsidRPr="00DF2323" w14:paraId="72C52D67" w14:textId="77777777" w:rsidTr="00BE0479">
        <w:trPr>
          <w:jc w:val="right"/>
        </w:trPr>
        <w:tc>
          <w:tcPr>
            <w:tcW w:w="1276" w:type="dxa"/>
            <w:tcBorders>
              <w:top w:val="nil"/>
              <w:bottom w:val="nil"/>
              <w:right w:val="nil"/>
            </w:tcBorders>
          </w:tcPr>
          <w:p w14:paraId="4AD046AD"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ml</w:t>
            </w:r>
          </w:p>
        </w:tc>
        <w:tc>
          <w:tcPr>
            <w:tcW w:w="8172" w:type="dxa"/>
            <w:tcBorders>
              <w:left w:val="nil"/>
            </w:tcBorders>
          </w:tcPr>
          <w:p w14:paraId="333426E7"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millilitre</w:t>
            </w:r>
          </w:p>
        </w:tc>
      </w:tr>
      <w:tr w:rsidR="009C38E1" w:rsidRPr="00DF2323" w14:paraId="198E365D" w14:textId="77777777" w:rsidTr="00BE0479">
        <w:trPr>
          <w:jc w:val="right"/>
        </w:trPr>
        <w:tc>
          <w:tcPr>
            <w:tcW w:w="1276" w:type="dxa"/>
            <w:tcBorders>
              <w:top w:val="nil"/>
              <w:bottom w:val="nil"/>
              <w:right w:val="nil"/>
            </w:tcBorders>
          </w:tcPr>
          <w:p w14:paraId="116BBF2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MRL</w:t>
            </w:r>
          </w:p>
        </w:tc>
        <w:tc>
          <w:tcPr>
            <w:tcW w:w="8172" w:type="dxa"/>
            <w:tcBorders>
              <w:left w:val="nil"/>
            </w:tcBorders>
          </w:tcPr>
          <w:p w14:paraId="6D921DCD" w14:textId="77777777" w:rsidR="009C38E1" w:rsidRPr="00DF2323" w:rsidDel="004C4261"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maximum residue limit</w:t>
            </w:r>
          </w:p>
        </w:tc>
      </w:tr>
      <w:tr w:rsidR="009C38E1" w:rsidRPr="00DF2323" w14:paraId="44D75D83" w14:textId="77777777" w:rsidTr="00BE0479">
        <w:trPr>
          <w:jc w:val="right"/>
        </w:trPr>
        <w:tc>
          <w:tcPr>
            <w:tcW w:w="1276" w:type="dxa"/>
            <w:tcBorders>
              <w:top w:val="nil"/>
              <w:bottom w:val="nil"/>
              <w:right w:val="nil"/>
            </w:tcBorders>
          </w:tcPr>
          <w:p w14:paraId="7FC84F0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428D6137"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28504B39" w14:textId="77777777" w:rsidTr="00BE0479">
        <w:trPr>
          <w:jc w:val="right"/>
        </w:trPr>
        <w:tc>
          <w:tcPr>
            <w:tcW w:w="1276" w:type="dxa"/>
            <w:tcBorders>
              <w:top w:val="nil"/>
              <w:bottom w:val="nil"/>
              <w:right w:val="nil"/>
            </w:tcBorders>
          </w:tcPr>
          <w:p w14:paraId="152B3EF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ng</w:t>
            </w:r>
          </w:p>
        </w:tc>
        <w:tc>
          <w:tcPr>
            <w:tcW w:w="8172" w:type="dxa"/>
            <w:tcBorders>
              <w:left w:val="nil"/>
            </w:tcBorders>
          </w:tcPr>
          <w:p w14:paraId="371B2B13"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nanogram</w:t>
            </w:r>
          </w:p>
        </w:tc>
      </w:tr>
      <w:tr w:rsidR="009C38E1" w:rsidRPr="00DF2323" w14:paraId="084602AD" w14:textId="77777777" w:rsidTr="00BE0479">
        <w:trPr>
          <w:jc w:val="right"/>
        </w:trPr>
        <w:tc>
          <w:tcPr>
            <w:tcW w:w="1276" w:type="dxa"/>
            <w:tcBorders>
              <w:top w:val="nil"/>
              <w:bottom w:val="nil"/>
              <w:right w:val="nil"/>
            </w:tcBorders>
          </w:tcPr>
          <w:p w14:paraId="2B62A2F3"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NOAEC</w:t>
            </w:r>
          </w:p>
        </w:tc>
        <w:tc>
          <w:tcPr>
            <w:tcW w:w="8172" w:type="dxa"/>
            <w:tcBorders>
              <w:left w:val="nil"/>
            </w:tcBorders>
          </w:tcPr>
          <w:p w14:paraId="02120492"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no-observed-adverse-effect concentration</w:t>
            </w:r>
          </w:p>
        </w:tc>
      </w:tr>
      <w:tr w:rsidR="009C38E1" w:rsidRPr="00DF2323" w14:paraId="6D3032AD" w14:textId="77777777" w:rsidTr="00BE0479">
        <w:trPr>
          <w:jc w:val="right"/>
        </w:trPr>
        <w:tc>
          <w:tcPr>
            <w:tcW w:w="1276" w:type="dxa"/>
            <w:tcBorders>
              <w:top w:val="nil"/>
              <w:bottom w:val="nil"/>
              <w:right w:val="nil"/>
            </w:tcBorders>
          </w:tcPr>
          <w:p w14:paraId="00E14BB8"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NOAEL</w:t>
            </w:r>
          </w:p>
        </w:tc>
        <w:tc>
          <w:tcPr>
            <w:tcW w:w="8172" w:type="dxa"/>
            <w:tcBorders>
              <w:left w:val="nil"/>
            </w:tcBorders>
          </w:tcPr>
          <w:p w14:paraId="5E228409"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no-observed-adverse-effect level</w:t>
            </w:r>
          </w:p>
        </w:tc>
      </w:tr>
      <w:tr w:rsidR="009C38E1" w:rsidRPr="00DF2323" w14:paraId="05C2D309" w14:textId="77777777" w:rsidTr="00BE0479">
        <w:trPr>
          <w:jc w:val="right"/>
        </w:trPr>
        <w:tc>
          <w:tcPr>
            <w:tcW w:w="1276" w:type="dxa"/>
            <w:tcBorders>
              <w:top w:val="nil"/>
              <w:bottom w:val="nil"/>
              <w:right w:val="nil"/>
            </w:tcBorders>
          </w:tcPr>
          <w:p w14:paraId="6D14FA5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NOEC</w:t>
            </w:r>
          </w:p>
        </w:tc>
        <w:tc>
          <w:tcPr>
            <w:tcW w:w="8172" w:type="dxa"/>
            <w:tcBorders>
              <w:left w:val="nil"/>
            </w:tcBorders>
          </w:tcPr>
          <w:p w14:paraId="58D530ED"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no-observed-effect concentration</w:t>
            </w:r>
          </w:p>
        </w:tc>
      </w:tr>
      <w:tr w:rsidR="009C38E1" w:rsidRPr="00DF2323" w14:paraId="00F40F14" w14:textId="77777777" w:rsidTr="00BE0479">
        <w:trPr>
          <w:jc w:val="right"/>
        </w:trPr>
        <w:tc>
          <w:tcPr>
            <w:tcW w:w="1276" w:type="dxa"/>
            <w:tcBorders>
              <w:top w:val="nil"/>
              <w:bottom w:val="nil"/>
              <w:right w:val="nil"/>
            </w:tcBorders>
          </w:tcPr>
          <w:p w14:paraId="1E26B91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 xml:space="preserve">NOEL </w:t>
            </w:r>
          </w:p>
        </w:tc>
        <w:tc>
          <w:tcPr>
            <w:tcW w:w="8172" w:type="dxa"/>
            <w:tcBorders>
              <w:left w:val="nil"/>
            </w:tcBorders>
          </w:tcPr>
          <w:p w14:paraId="4E968EE0"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no-observed-effect level</w:t>
            </w:r>
          </w:p>
        </w:tc>
      </w:tr>
      <w:tr w:rsidR="009C38E1" w:rsidRPr="00DF2323" w14:paraId="725F3AAF" w14:textId="77777777" w:rsidTr="00BE0479">
        <w:trPr>
          <w:jc w:val="right"/>
        </w:trPr>
        <w:tc>
          <w:tcPr>
            <w:tcW w:w="1276" w:type="dxa"/>
            <w:tcBorders>
              <w:top w:val="nil"/>
              <w:bottom w:val="nil"/>
              <w:right w:val="nil"/>
            </w:tcBorders>
          </w:tcPr>
          <w:p w14:paraId="2DF334B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663AA1D4"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5D9AFF42" w14:textId="77777777" w:rsidTr="00BE0479">
        <w:trPr>
          <w:jc w:val="right"/>
        </w:trPr>
        <w:tc>
          <w:tcPr>
            <w:tcW w:w="1276" w:type="dxa"/>
            <w:tcBorders>
              <w:top w:val="nil"/>
              <w:bottom w:val="nil"/>
              <w:right w:val="nil"/>
            </w:tcBorders>
          </w:tcPr>
          <w:p w14:paraId="4A5B4D0D"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OECD</w:t>
            </w:r>
          </w:p>
        </w:tc>
        <w:tc>
          <w:tcPr>
            <w:tcW w:w="8172" w:type="dxa"/>
            <w:tcBorders>
              <w:top w:val="nil"/>
              <w:left w:val="nil"/>
              <w:bottom w:val="nil"/>
            </w:tcBorders>
          </w:tcPr>
          <w:p w14:paraId="2BA7C0C5"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 xml:space="preserve">Organisation for Economic Co-operation and Development </w:t>
            </w:r>
          </w:p>
        </w:tc>
      </w:tr>
      <w:tr w:rsidR="009C38E1" w:rsidRPr="00DF2323" w14:paraId="1693B1A6" w14:textId="77777777" w:rsidTr="00BE0479">
        <w:trPr>
          <w:jc w:val="right"/>
        </w:trPr>
        <w:tc>
          <w:tcPr>
            <w:tcW w:w="1276" w:type="dxa"/>
            <w:tcBorders>
              <w:top w:val="nil"/>
              <w:left w:val="single" w:sz="4" w:space="0" w:color="auto"/>
              <w:bottom w:val="nil"/>
              <w:right w:val="nil"/>
            </w:tcBorders>
          </w:tcPr>
          <w:p w14:paraId="1E3F81F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bottom w:val="nil"/>
            </w:tcBorders>
          </w:tcPr>
          <w:p w14:paraId="05688A71"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48BF9724" w14:textId="77777777" w:rsidTr="00BE0479">
        <w:trPr>
          <w:jc w:val="right"/>
        </w:trPr>
        <w:tc>
          <w:tcPr>
            <w:tcW w:w="1276" w:type="dxa"/>
            <w:tcBorders>
              <w:top w:val="nil"/>
              <w:left w:val="single" w:sz="4" w:space="0" w:color="auto"/>
              <w:bottom w:val="nil"/>
              <w:right w:val="nil"/>
            </w:tcBorders>
          </w:tcPr>
          <w:p w14:paraId="3B12E14E"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PEC</w:t>
            </w:r>
          </w:p>
        </w:tc>
        <w:tc>
          <w:tcPr>
            <w:tcW w:w="8172" w:type="dxa"/>
            <w:tcBorders>
              <w:top w:val="nil"/>
              <w:left w:val="nil"/>
              <w:bottom w:val="nil"/>
              <w:right w:val="nil"/>
            </w:tcBorders>
          </w:tcPr>
          <w:p w14:paraId="5E5A496C"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predicted environmental concentration</w:t>
            </w:r>
          </w:p>
        </w:tc>
      </w:tr>
      <w:tr w:rsidR="009C38E1" w:rsidRPr="00DF2323" w14:paraId="75A4C2A7" w14:textId="77777777" w:rsidTr="00BE0479">
        <w:trPr>
          <w:jc w:val="right"/>
        </w:trPr>
        <w:tc>
          <w:tcPr>
            <w:tcW w:w="1276" w:type="dxa"/>
            <w:tcBorders>
              <w:top w:val="nil"/>
              <w:bottom w:val="nil"/>
              <w:right w:val="nil"/>
            </w:tcBorders>
          </w:tcPr>
          <w:p w14:paraId="791610E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PPE</w:t>
            </w:r>
          </w:p>
        </w:tc>
        <w:tc>
          <w:tcPr>
            <w:tcW w:w="8172" w:type="dxa"/>
            <w:tcBorders>
              <w:left w:val="nil"/>
            </w:tcBorders>
          </w:tcPr>
          <w:p w14:paraId="5E942D8F"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personal protective equipment</w:t>
            </w:r>
          </w:p>
        </w:tc>
      </w:tr>
      <w:tr w:rsidR="009C38E1" w:rsidRPr="00DF2323" w14:paraId="11438AF1" w14:textId="77777777" w:rsidTr="00BE0479">
        <w:trPr>
          <w:jc w:val="right"/>
        </w:trPr>
        <w:tc>
          <w:tcPr>
            <w:tcW w:w="1276" w:type="dxa"/>
            <w:tcBorders>
              <w:top w:val="nil"/>
              <w:bottom w:val="nil"/>
              <w:right w:val="nil"/>
            </w:tcBorders>
          </w:tcPr>
          <w:p w14:paraId="4CCC7C9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ppm</w:t>
            </w:r>
          </w:p>
        </w:tc>
        <w:tc>
          <w:tcPr>
            <w:tcW w:w="8172" w:type="dxa"/>
            <w:tcBorders>
              <w:left w:val="nil"/>
            </w:tcBorders>
          </w:tcPr>
          <w:p w14:paraId="5BD4E43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parts per million (used only with reference to the concentration of a pesticide in an experimental diet. In all other contexts the terms mg/kg or mg/L are used).</w:t>
            </w:r>
          </w:p>
        </w:tc>
      </w:tr>
      <w:tr w:rsidR="009C38E1" w:rsidRPr="00DF2323" w14:paraId="4A61D086" w14:textId="77777777" w:rsidTr="00BE0479">
        <w:tblPrEx>
          <w:tblCellMar>
            <w:left w:w="70" w:type="dxa"/>
            <w:right w:w="70" w:type="dxa"/>
          </w:tblCellMar>
        </w:tblPrEx>
        <w:trPr>
          <w:jc w:val="right"/>
        </w:trPr>
        <w:tc>
          <w:tcPr>
            <w:tcW w:w="1276" w:type="dxa"/>
            <w:tcBorders>
              <w:top w:val="nil"/>
              <w:bottom w:val="nil"/>
              <w:right w:val="nil"/>
            </w:tcBorders>
          </w:tcPr>
          <w:p w14:paraId="6735F02D"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1B4BEA22"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3F5B280A" w14:textId="77777777" w:rsidTr="00BE0479">
        <w:tblPrEx>
          <w:tblCellMar>
            <w:left w:w="70" w:type="dxa"/>
            <w:right w:w="70" w:type="dxa"/>
          </w:tblCellMar>
        </w:tblPrEx>
        <w:trPr>
          <w:jc w:val="right"/>
        </w:trPr>
        <w:tc>
          <w:tcPr>
            <w:tcW w:w="1276" w:type="dxa"/>
            <w:tcBorders>
              <w:top w:val="nil"/>
              <w:bottom w:val="nil"/>
              <w:right w:val="nil"/>
            </w:tcBorders>
          </w:tcPr>
          <w:p w14:paraId="25898B09"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RfD</w:t>
            </w:r>
          </w:p>
        </w:tc>
        <w:tc>
          <w:tcPr>
            <w:tcW w:w="8172" w:type="dxa"/>
            <w:tcBorders>
              <w:left w:val="nil"/>
            </w:tcBorders>
          </w:tcPr>
          <w:p w14:paraId="28A79064"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 xml:space="preserve">reference dose (for chronic oral exposure; comparable to </w:t>
            </w:r>
            <w:smartTag w:uri="urn:schemas-microsoft-com:office:smarttags" w:element="stockticker">
              <w:r w:rsidRPr="00DF2323">
                <w:rPr>
                  <w:color w:val="000000"/>
                  <w:sz w:val="20"/>
                  <w:szCs w:val="20"/>
                </w:rPr>
                <w:t>ADI</w:t>
              </w:r>
            </w:smartTag>
            <w:r w:rsidRPr="00DF2323">
              <w:rPr>
                <w:color w:val="000000"/>
                <w:sz w:val="20"/>
                <w:szCs w:val="20"/>
              </w:rPr>
              <w:t>)</w:t>
            </w:r>
          </w:p>
        </w:tc>
      </w:tr>
      <w:tr w:rsidR="009C38E1" w:rsidRPr="00DF2323" w14:paraId="14AB6783" w14:textId="77777777" w:rsidTr="00BE0479">
        <w:trPr>
          <w:jc w:val="right"/>
        </w:trPr>
        <w:tc>
          <w:tcPr>
            <w:tcW w:w="1276" w:type="dxa"/>
            <w:tcBorders>
              <w:top w:val="nil"/>
              <w:bottom w:val="nil"/>
              <w:right w:val="nil"/>
            </w:tcBorders>
          </w:tcPr>
          <w:p w14:paraId="271BEE1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75889AE6"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7660E032" w14:textId="77777777" w:rsidTr="00BE0479">
        <w:trPr>
          <w:jc w:val="right"/>
        </w:trPr>
        <w:tc>
          <w:tcPr>
            <w:tcW w:w="1276" w:type="dxa"/>
            <w:tcBorders>
              <w:top w:val="nil"/>
              <w:bottom w:val="nil"/>
              <w:right w:val="nil"/>
            </w:tcBorders>
          </w:tcPr>
          <w:p w14:paraId="0EAECD1B"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SL</w:t>
            </w:r>
          </w:p>
        </w:tc>
        <w:tc>
          <w:tcPr>
            <w:tcW w:w="8172" w:type="dxa"/>
            <w:tcBorders>
              <w:left w:val="nil"/>
            </w:tcBorders>
          </w:tcPr>
          <w:p w14:paraId="62FF4758"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Soluble Concentrate formulation</w:t>
            </w:r>
          </w:p>
        </w:tc>
      </w:tr>
      <w:tr w:rsidR="009C38E1" w:rsidRPr="00DF2323" w14:paraId="5C457A47" w14:textId="77777777" w:rsidTr="00BE0479">
        <w:trPr>
          <w:jc w:val="right"/>
        </w:trPr>
        <w:tc>
          <w:tcPr>
            <w:tcW w:w="1276" w:type="dxa"/>
            <w:tcBorders>
              <w:top w:val="nil"/>
              <w:bottom w:val="nil"/>
              <w:right w:val="nil"/>
            </w:tcBorders>
          </w:tcPr>
          <w:p w14:paraId="7D85C736"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STMR</w:t>
            </w:r>
          </w:p>
        </w:tc>
        <w:tc>
          <w:tcPr>
            <w:tcW w:w="8172" w:type="dxa"/>
            <w:tcBorders>
              <w:left w:val="nil"/>
            </w:tcBorders>
          </w:tcPr>
          <w:p w14:paraId="103855EF"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supervised trials median residue</w:t>
            </w:r>
          </w:p>
        </w:tc>
      </w:tr>
      <w:tr w:rsidR="009C38E1" w:rsidRPr="00DF2323" w14:paraId="109B16F5" w14:textId="77777777" w:rsidTr="00BE0479">
        <w:trPr>
          <w:jc w:val="right"/>
        </w:trPr>
        <w:tc>
          <w:tcPr>
            <w:tcW w:w="1276" w:type="dxa"/>
            <w:tcBorders>
              <w:top w:val="nil"/>
              <w:bottom w:val="nil"/>
              <w:right w:val="nil"/>
            </w:tcBorders>
          </w:tcPr>
          <w:p w14:paraId="7070E86E"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STMR-P</w:t>
            </w:r>
          </w:p>
        </w:tc>
        <w:tc>
          <w:tcPr>
            <w:tcW w:w="8172" w:type="dxa"/>
            <w:tcBorders>
              <w:left w:val="nil"/>
            </w:tcBorders>
          </w:tcPr>
          <w:p w14:paraId="3691C0B8"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supervised trials median residue in a processed commodity</w:t>
            </w:r>
          </w:p>
        </w:tc>
      </w:tr>
      <w:tr w:rsidR="009C38E1" w:rsidRPr="00DF2323" w14:paraId="2FE7F838" w14:textId="77777777" w:rsidTr="00BE0479">
        <w:trPr>
          <w:jc w:val="right"/>
        </w:trPr>
        <w:tc>
          <w:tcPr>
            <w:tcW w:w="1276" w:type="dxa"/>
            <w:tcBorders>
              <w:top w:val="nil"/>
              <w:bottom w:val="nil"/>
              <w:right w:val="nil"/>
            </w:tcBorders>
          </w:tcPr>
          <w:p w14:paraId="28CC6CC1"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tcBorders>
          </w:tcPr>
          <w:p w14:paraId="4574E0FC"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1CB1E88C" w14:textId="77777777" w:rsidTr="00BE0479">
        <w:trPr>
          <w:jc w:val="right"/>
        </w:trPr>
        <w:tc>
          <w:tcPr>
            <w:tcW w:w="1276" w:type="dxa"/>
            <w:tcBorders>
              <w:top w:val="nil"/>
              <w:bottom w:val="nil"/>
              <w:right w:val="nil"/>
            </w:tcBorders>
          </w:tcPr>
          <w:p w14:paraId="712A398F"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UNEP</w:t>
            </w:r>
          </w:p>
        </w:tc>
        <w:tc>
          <w:tcPr>
            <w:tcW w:w="8172" w:type="dxa"/>
            <w:tcBorders>
              <w:left w:val="nil"/>
            </w:tcBorders>
          </w:tcPr>
          <w:p w14:paraId="7BEF0C25"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United Nations Environment Programme</w:t>
            </w:r>
          </w:p>
        </w:tc>
      </w:tr>
      <w:tr w:rsidR="009C38E1" w:rsidRPr="00DF2323" w14:paraId="2178D64C" w14:textId="77777777" w:rsidTr="00BE0479">
        <w:trPr>
          <w:jc w:val="right"/>
        </w:trPr>
        <w:tc>
          <w:tcPr>
            <w:tcW w:w="1276" w:type="dxa"/>
            <w:tcBorders>
              <w:top w:val="nil"/>
              <w:bottom w:val="nil"/>
              <w:right w:val="nil"/>
            </w:tcBorders>
          </w:tcPr>
          <w:p w14:paraId="7032F522"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USEPA</w:t>
            </w:r>
          </w:p>
        </w:tc>
        <w:tc>
          <w:tcPr>
            <w:tcW w:w="8172" w:type="dxa"/>
            <w:tcBorders>
              <w:left w:val="nil"/>
            </w:tcBorders>
          </w:tcPr>
          <w:p w14:paraId="6DF314FB"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United States Environmental Protection Agency</w:t>
            </w:r>
          </w:p>
        </w:tc>
      </w:tr>
      <w:tr w:rsidR="009C38E1" w:rsidRPr="00DF2323" w14:paraId="5C60066A" w14:textId="77777777" w:rsidTr="00BE0479">
        <w:trPr>
          <w:jc w:val="right"/>
        </w:trPr>
        <w:tc>
          <w:tcPr>
            <w:tcW w:w="1276" w:type="dxa"/>
            <w:tcBorders>
              <w:top w:val="nil"/>
              <w:bottom w:val="nil"/>
              <w:right w:val="nil"/>
            </w:tcBorders>
          </w:tcPr>
          <w:p w14:paraId="33C1F7DA"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UV</w:t>
            </w:r>
          </w:p>
        </w:tc>
        <w:tc>
          <w:tcPr>
            <w:tcW w:w="8172" w:type="dxa"/>
            <w:tcBorders>
              <w:left w:val="nil"/>
            </w:tcBorders>
          </w:tcPr>
          <w:p w14:paraId="334E42A8"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ultraviolet</w:t>
            </w:r>
          </w:p>
        </w:tc>
      </w:tr>
      <w:tr w:rsidR="009C38E1" w:rsidRPr="00DF2323" w14:paraId="4497A709" w14:textId="77777777" w:rsidTr="00BE0479">
        <w:trPr>
          <w:jc w:val="right"/>
        </w:trPr>
        <w:tc>
          <w:tcPr>
            <w:tcW w:w="1276" w:type="dxa"/>
            <w:tcBorders>
              <w:top w:val="nil"/>
              <w:bottom w:val="nil"/>
              <w:right w:val="nil"/>
            </w:tcBorders>
          </w:tcPr>
          <w:p w14:paraId="6AE2F31C"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left w:val="nil"/>
              <w:bottom w:val="nil"/>
            </w:tcBorders>
          </w:tcPr>
          <w:p w14:paraId="1F957AE0"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710F29A7" w14:textId="77777777" w:rsidTr="00BE0479">
        <w:trPr>
          <w:jc w:val="right"/>
        </w:trPr>
        <w:tc>
          <w:tcPr>
            <w:tcW w:w="1276" w:type="dxa"/>
            <w:tcBorders>
              <w:top w:val="nil"/>
              <w:left w:val="single" w:sz="4" w:space="0" w:color="auto"/>
              <w:bottom w:val="nil"/>
              <w:right w:val="nil"/>
            </w:tcBorders>
          </w:tcPr>
          <w:p w14:paraId="08EFDEF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p>
        </w:tc>
        <w:tc>
          <w:tcPr>
            <w:tcW w:w="8172" w:type="dxa"/>
            <w:tcBorders>
              <w:top w:val="nil"/>
              <w:left w:val="nil"/>
              <w:bottom w:val="nil"/>
              <w:right w:val="single" w:sz="4" w:space="0" w:color="auto"/>
            </w:tcBorders>
          </w:tcPr>
          <w:p w14:paraId="7548486B" w14:textId="77777777" w:rsidR="009C38E1" w:rsidRPr="00DF2323" w:rsidRDefault="009C38E1" w:rsidP="00BE0479">
            <w:pPr>
              <w:tabs>
                <w:tab w:val="left" w:pos="624"/>
                <w:tab w:val="left" w:pos="1247"/>
                <w:tab w:val="left" w:pos="1871"/>
                <w:tab w:val="left" w:pos="2495"/>
              </w:tabs>
              <w:ind w:left="176"/>
              <w:rPr>
                <w:color w:val="000000"/>
                <w:sz w:val="20"/>
                <w:szCs w:val="20"/>
              </w:rPr>
            </w:pPr>
          </w:p>
        </w:tc>
      </w:tr>
      <w:tr w:rsidR="009C38E1" w:rsidRPr="00DF2323" w14:paraId="79F8E4D7" w14:textId="77777777" w:rsidTr="00BE0479">
        <w:trPr>
          <w:jc w:val="right"/>
        </w:trPr>
        <w:tc>
          <w:tcPr>
            <w:tcW w:w="1276" w:type="dxa"/>
            <w:tcBorders>
              <w:top w:val="nil"/>
              <w:left w:val="single" w:sz="4" w:space="0" w:color="auto"/>
              <w:bottom w:val="nil"/>
              <w:right w:val="nil"/>
            </w:tcBorders>
          </w:tcPr>
          <w:p w14:paraId="6DBDE46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WHO</w:t>
            </w:r>
          </w:p>
        </w:tc>
        <w:tc>
          <w:tcPr>
            <w:tcW w:w="8172" w:type="dxa"/>
            <w:tcBorders>
              <w:top w:val="nil"/>
              <w:left w:val="nil"/>
              <w:bottom w:val="nil"/>
              <w:right w:val="single" w:sz="4" w:space="0" w:color="auto"/>
            </w:tcBorders>
          </w:tcPr>
          <w:p w14:paraId="28EF28B1"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World Health Organization</w:t>
            </w:r>
          </w:p>
        </w:tc>
      </w:tr>
      <w:tr w:rsidR="009C38E1" w:rsidRPr="00DF2323" w14:paraId="21F9DB20" w14:textId="77777777" w:rsidTr="00BE0479">
        <w:trPr>
          <w:jc w:val="right"/>
        </w:trPr>
        <w:tc>
          <w:tcPr>
            <w:tcW w:w="1276" w:type="dxa"/>
            <w:tcBorders>
              <w:top w:val="nil"/>
              <w:left w:val="single" w:sz="4" w:space="0" w:color="auto"/>
              <w:bottom w:val="single" w:sz="6" w:space="0" w:color="auto"/>
              <w:right w:val="nil"/>
            </w:tcBorders>
          </w:tcPr>
          <w:p w14:paraId="5C700470" w14:textId="77777777" w:rsidR="009C38E1" w:rsidRPr="00DF2323" w:rsidRDefault="009C38E1" w:rsidP="00BE0479">
            <w:pPr>
              <w:tabs>
                <w:tab w:val="left" w:pos="624"/>
                <w:tab w:val="left" w:pos="1247"/>
                <w:tab w:val="left" w:pos="1871"/>
                <w:tab w:val="left" w:pos="2495"/>
              </w:tabs>
              <w:ind w:left="176" w:hanging="142"/>
              <w:rPr>
                <w:color w:val="000000"/>
                <w:sz w:val="20"/>
                <w:szCs w:val="20"/>
              </w:rPr>
            </w:pPr>
            <w:r w:rsidRPr="00DF2323">
              <w:rPr>
                <w:color w:val="000000"/>
                <w:sz w:val="20"/>
                <w:szCs w:val="20"/>
              </w:rPr>
              <w:t>wt</w:t>
            </w:r>
          </w:p>
        </w:tc>
        <w:tc>
          <w:tcPr>
            <w:tcW w:w="8172" w:type="dxa"/>
            <w:tcBorders>
              <w:top w:val="nil"/>
              <w:left w:val="nil"/>
              <w:bottom w:val="single" w:sz="6" w:space="0" w:color="auto"/>
              <w:right w:val="single" w:sz="4" w:space="0" w:color="auto"/>
            </w:tcBorders>
          </w:tcPr>
          <w:p w14:paraId="50673219" w14:textId="77777777" w:rsidR="009C38E1" w:rsidRPr="00DF2323" w:rsidRDefault="009C38E1" w:rsidP="00BE0479">
            <w:pPr>
              <w:tabs>
                <w:tab w:val="left" w:pos="624"/>
                <w:tab w:val="left" w:pos="1247"/>
                <w:tab w:val="left" w:pos="1871"/>
                <w:tab w:val="left" w:pos="2495"/>
              </w:tabs>
              <w:ind w:left="176"/>
              <w:rPr>
                <w:color w:val="000000"/>
                <w:sz w:val="20"/>
                <w:szCs w:val="20"/>
              </w:rPr>
            </w:pPr>
            <w:r w:rsidRPr="00DF2323">
              <w:rPr>
                <w:color w:val="000000"/>
                <w:sz w:val="20"/>
                <w:szCs w:val="20"/>
              </w:rPr>
              <w:t>weight</w:t>
            </w:r>
          </w:p>
        </w:tc>
      </w:tr>
    </w:tbl>
    <w:p w14:paraId="09581FA3" w14:textId="77777777" w:rsidR="009C38E1" w:rsidRPr="00DF2323" w:rsidRDefault="009C38E1" w:rsidP="009C38E1">
      <w:pPr>
        <w:pStyle w:val="Normal-pool"/>
        <w:rPr>
          <w:lang w:val="en-GB"/>
        </w:rPr>
      </w:pPr>
    </w:p>
    <w:p w14:paraId="14C26EDC"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81"/>
      </w:tblGrid>
      <w:tr w:rsidR="009C38E1" w:rsidRPr="00DF2323" w14:paraId="2B19218F" w14:textId="77777777" w:rsidTr="00BE0479">
        <w:trPr>
          <w:jc w:val="right"/>
        </w:trPr>
        <w:tc>
          <w:tcPr>
            <w:tcW w:w="9450" w:type="dxa"/>
            <w:shd w:val="pct10" w:color="auto" w:fill="auto"/>
          </w:tcPr>
          <w:p w14:paraId="02239BB5"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kern w:val="28"/>
                <w:szCs w:val="29"/>
                <w:lang w:eastAsia="en-US"/>
              </w:rPr>
              <w:lastRenderedPageBreak/>
              <w:t>Decision guidance document for a banned or severely restricted chemical</w:t>
            </w:r>
          </w:p>
        </w:tc>
      </w:tr>
    </w:tbl>
    <w:p w14:paraId="0B615A30" w14:textId="77777777" w:rsidR="009C38E1" w:rsidRPr="00DF2323" w:rsidRDefault="009C38E1" w:rsidP="009C38E1">
      <w:pPr>
        <w:tabs>
          <w:tab w:val="left" w:pos="-720"/>
          <w:tab w:val="left" w:pos="0"/>
          <w:tab w:val="left" w:pos="720"/>
        </w:tabs>
        <w:suppressAutoHyphens/>
        <w:rPr>
          <w:rFonts w:eastAsia="Times New Roman"/>
          <w:sz w:val="20"/>
          <w:szCs w:val="10"/>
          <w:lang w:eastAsia="en-US"/>
        </w:rPr>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74"/>
        <w:gridCol w:w="849"/>
        <w:gridCol w:w="7310"/>
        <w:gridCol w:w="48"/>
      </w:tblGrid>
      <w:tr w:rsidR="009C38E1" w:rsidRPr="00DF2323" w14:paraId="5C4B47D9" w14:textId="77777777" w:rsidTr="00BE0479">
        <w:trPr>
          <w:jc w:val="right"/>
        </w:trPr>
        <w:tc>
          <w:tcPr>
            <w:tcW w:w="9498" w:type="dxa"/>
            <w:gridSpan w:val="4"/>
            <w:tcBorders>
              <w:top w:val="single" w:sz="6" w:space="0" w:color="808080"/>
              <w:left w:val="single" w:sz="6" w:space="0" w:color="808080"/>
              <w:bottom w:val="single" w:sz="6" w:space="0" w:color="808080"/>
              <w:right w:val="single" w:sz="6" w:space="0" w:color="808080"/>
            </w:tcBorders>
            <w:shd w:val="pct10" w:color="auto" w:fill="auto"/>
          </w:tcPr>
          <w:p w14:paraId="30CDA54D" w14:textId="77777777" w:rsidR="009C38E1" w:rsidRPr="00DF2323" w:rsidRDefault="009C38E1" w:rsidP="00BE0479">
            <w:pPr>
              <w:keepNext/>
              <w:spacing w:before="40" w:after="60"/>
              <w:outlineLvl w:val="0"/>
              <w:rPr>
                <w:rFonts w:eastAsia="Times New Roman"/>
                <w:b/>
                <w:bCs/>
                <w:kern w:val="28"/>
                <w:lang w:eastAsia="en-US"/>
              </w:rPr>
            </w:pPr>
            <w:r w:rsidRPr="00DF2323">
              <w:rPr>
                <w:rFonts w:eastAsia="Times New Roman"/>
                <w:b/>
                <w:bCs/>
                <w:kern w:val="28"/>
                <w:lang w:eastAsia="en-US"/>
              </w:rPr>
              <w:t xml:space="preserve">1. Identification and uses (see annex 1 to the decision guidance document for further details) </w:t>
            </w:r>
          </w:p>
        </w:tc>
      </w:tr>
      <w:tr w:rsidR="009C38E1" w:rsidRPr="00DF2323" w14:paraId="6AC63095" w14:textId="77777777" w:rsidTr="00BE0479">
        <w:tblPrEx>
          <w:tblBorders>
            <w:top w:val="none" w:sz="0" w:space="0" w:color="auto"/>
            <w:left w:val="none" w:sz="0" w:space="0" w:color="auto"/>
            <w:bottom w:val="none" w:sz="0" w:space="0" w:color="auto"/>
            <w:right w:val="none" w:sz="0" w:space="0" w:color="auto"/>
          </w:tblBorders>
        </w:tblPrEx>
        <w:trPr>
          <w:trHeight w:val="370"/>
          <w:jc w:val="right"/>
        </w:trPr>
        <w:tc>
          <w:tcPr>
            <w:tcW w:w="2127" w:type="dxa"/>
            <w:gridSpan w:val="2"/>
            <w:tcBorders>
              <w:top w:val="single" w:sz="4" w:space="0" w:color="auto"/>
            </w:tcBorders>
          </w:tcPr>
          <w:p w14:paraId="4F10379B"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Common name</w:t>
            </w:r>
          </w:p>
        </w:tc>
        <w:tc>
          <w:tcPr>
            <w:tcW w:w="7371" w:type="dxa"/>
            <w:gridSpan w:val="2"/>
            <w:tcBorders>
              <w:top w:val="single" w:sz="4" w:space="0" w:color="auto"/>
            </w:tcBorders>
          </w:tcPr>
          <w:p w14:paraId="3C32251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Paraquat</w:t>
            </w:r>
          </w:p>
        </w:tc>
      </w:tr>
      <w:tr w:rsidR="009C38E1" w:rsidRPr="00DF2323" w14:paraId="24A08720"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5042B1AC"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Chemical name and other names or synonyms</w:t>
            </w:r>
          </w:p>
        </w:tc>
        <w:tc>
          <w:tcPr>
            <w:tcW w:w="7371" w:type="dxa"/>
            <w:gridSpan w:val="2"/>
          </w:tcPr>
          <w:p w14:paraId="29A702E8" w14:textId="77777777" w:rsidR="009C38E1" w:rsidRPr="00DF2323" w:rsidRDefault="009C38E1" w:rsidP="00BE0479">
            <w:pPr>
              <w:rPr>
                <w:rFonts w:eastAsia="Times New Roman"/>
                <w:sz w:val="20"/>
                <w:szCs w:val="20"/>
                <w:u w:val="single"/>
                <w:lang w:eastAsia="en-US"/>
              </w:rPr>
            </w:pPr>
            <w:r w:rsidRPr="00DF2323">
              <w:rPr>
                <w:rFonts w:eastAsia="Times New Roman"/>
                <w:sz w:val="20"/>
                <w:szCs w:val="20"/>
                <w:u w:val="single"/>
                <w:lang w:eastAsia="en-US"/>
              </w:rPr>
              <w:t xml:space="preserve">IUPAC: </w:t>
            </w:r>
          </w:p>
          <w:p w14:paraId="07273595"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Paraquat ion: </w:t>
            </w:r>
          </w:p>
          <w:p w14:paraId="063F4A8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1,1’-dimethyl-4,4’- bipyridinium</w:t>
            </w:r>
          </w:p>
          <w:p w14:paraId="451BF09E" w14:textId="77777777" w:rsidR="009C38E1" w:rsidRPr="00DF2323" w:rsidRDefault="009C38E1" w:rsidP="00BE0479">
            <w:pPr>
              <w:rPr>
                <w:rFonts w:eastAsia="Times New Roman"/>
                <w:sz w:val="20"/>
                <w:szCs w:val="20"/>
                <w:lang w:eastAsia="en-US"/>
              </w:rPr>
            </w:pPr>
          </w:p>
          <w:p w14:paraId="5BEABEB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Paraquat dichloride:</w:t>
            </w:r>
          </w:p>
          <w:p w14:paraId="57A3E3E6"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1,1’-dimethyl-4,4’- bipyridinium</w:t>
            </w:r>
            <w:r w:rsidRPr="00DF2323" w:rsidDel="00B2146C">
              <w:rPr>
                <w:rFonts w:eastAsia="Times New Roman"/>
                <w:sz w:val="20"/>
                <w:szCs w:val="20"/>
                <w:lang w:eastAsia="en-US"/>
              </w:rPr>
              <w:t xml:space="preserve"> </w:t>
            </w:r>
            <w:r w:rsidRPr="00DF2323">
              <w:rPr>
                <w:rFonts w:eastAsia="Times New Roman"/>
                <w:sz w:val="20"/>
                <w:szCs w:val="20"/>
                <w:lang w:eastAsia="en-US"/>
              </w:rPr>
              <w:t>dichloride</w:t>
            </w:r>
          </w:p>
          <w:p w14:paraId="456AD1D6" w14:textId="77777777" w:rsidR="009C38E1" w:rsidRPr="00DF2323" w:rsidRDefault="009C38E1" w:rsidP="00BE0479">
            <w:pPr>
              <w:rPr>
                <w:rFonts w:eastAsia="Times New Roman"/>
                <w:sz w:val="20"/>
                <w:szCs w:val="20"/>
                <w:lang w:eastAsia="en-US"/>
              </w:rPr>
            </w:pPr>
          </w:p>
          <w:p w14:paraId="2E00CC1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Synonyms: methyl viologen</w:t>
            </w:r>
          </w:p>
          <w:p w14:paraId="6FA19365" w14:textId="77777777" w:rsidR="009C38E1" w:rsidRPr="00DF2323" w:rsidRDefault="009C38E1" w:rsidP="00BE0479">
            <w:pPr>
              <w:rPr>
                <w:rFonts w:eastAsia="Times New Roman"/>
                <w:sz w:val="20"/>
                <w:szCs w:val="20"/>
                <w:lang w:eastAsia="en-US"/>
              </w:rPr>
            </w:pPr>
          </w:p>
        </w:tc>
      </w:tr>
      <w:tr w:rsidR="009C38E1" w:rsidRPr="00DF2323" w14:paraId="57598568"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3D6C8CCC" w14:textId="77777777" w:rsidR="009C38E1" w:rsidRPr="00DF2323" w:rsidRDefault="009C38E1" w:rsidP="00BE0479">
            <w:pPr>
              <w:rPr>
                <w:rFonts w:eastAsia="Times New Roman"/>
                <w:b/>
                <w:bCs/>
                <w:sz w:val="22"/>
                <w:szCs w:val="20"/>
                <w:lang w:eastAsia="en-US"/>
              </w:rPr>
            </w:pPr>
            <w:r w:rsidRPr="00DF2323">
              <w:rPr>
                <w:rFonts w:eastAsia="Times New Roman"/>
                <w:b/>
                <w:bCs/>
                <w:sz w:val="20"/>
                <w:szCs w:val="20"/>
                <w:lang w:eastAsia="en-US"/>
              </w:rPr>
              <w:t>Molecular formula</w:t>
            </w:r>
          </w:p>
        </w:tc>
        <w:tc>
          <w:tcPr>
            <w:tcW w:w="7371" w:type="dxa"/>
            <w:gridSpan w:val="2"/>
          </w:tcPr>
          <w:p w14:paraId="08625477" w14:textId="77777777" w:rsidR="009C38E1" w:rsidRPr="00DF2323" w:rsidRDefault="009C38E1" w:rsidP="00BE0479">
            <w:pPr>
              <w:rPr>
                <w:sz w:val="20"/>
                <w:szCs w:val="20"/>
              </w:rPr>
            </w:pPr>
            <w:r w:rsidRPr="00DF2323">
              <w:rPr>
                <w:sz w:val="20"/>
                <w:szCs w:val="20"/>
              </w:rPr>
              <w:t>C</w:t>
            </w:r>
            <w:r w:rsidRPr="00DF2323">
              <w:rPr>
                <w:sz w:val="20"/>
                <w:szCs w:val="20"/>
                <w:vertAlign w:val="subscript"/>
              </w:rPr>
              <w:t>12</w:t>
            </w:r>
            <w:r w:rsidRPr="00DF2323">
              <w:rPr>
                <w:sz w:val="20"/>
                <w:szCs w:val="20"/>
              </w:rPr>
              <w:t>H</w:t>
            </w:r>
            <w:r w:rsidRPr="00DF2323">
              <w:rPr>
                <w:sz w:val="20"/>
                <w:szCs w:val="20"/>
                <w:vertAlign w:val="subscript"/>
              </w:rPr>
              <w:t>14</w:t>
            </w:r>
            <w:r w:rsidRPr="00DF2323">
              <w:rPr>
                <w:sz w:val="20"/>
                <w:szCs w:val="20"/>
              </w:rPr>
              <w:t>N</w:t>
            </w:r>
            <w:r w:rsidRPr="00DF2323">
              <w:rPr>
                <w:sz w:val="20"/>
                <w:szCs w:val="20"/>
                <w:vertAlign w:val="subscript"/>
              </w:rPr>
              <w:t>2</w:t>
            </w:r>
            <w:r w:rsidRPr="00DF2323">
              <w:rPr>
                <w:sz w:val="20"/>
                <w:szCs w:val="20"/>
              </w:rPr>
              <w:t>Cl</w:t>
            </w:r>
            <w:r w:rsidRPr="00DF2323">
              <w:rPr>
                <w:sz w:val="20"/>
                <w:szCs w:val="20"/>
                <w:vertAlign w:val="subscript"/>
              </w:rPr>
              <w:t xml:space="preserve">2 </w:t>
            </w:r>
            <w:r w:rsidRPr="00DF2323">
              <w:rPr>
                <w:sz w:val="20"/>
                <w:szCs w:val="20"/>
              </w:rPr>
              <w:t>(paraquat dichloride); C</w:t>
            </w:r>
            <w:r w:rsidRPr="00DF2323">
              <w:rPr>
                <w:sz w:val="20"/>
                <w:szCs w:val="20"/>
                <w:vertAlign w:val="subscript"/>
              </w:rPr>
              <w:t>12</w:t>
            </w:r>
            <w:r w:rsidRPr="00DF2323">
              <w:rPr>
                <w:sz w:val="20"/>
                <w:szCs w:val="20"/>
              </w:rPr>
              <w:t>H</w:t>
            </w:r>
            <w:r w:rsidRPr="00DF2323">
              <w:rPr>
                <w:sz w:val="20"/>
                <w:szCs w:val="20"/>
                <w:vertAlign w:val="subscript"/>
              </w:rPr>
              <w:t>14</w:t>
            </w:r>
            <w:r w:rsidRPr="00DF2323">
              <w:rPr>
                <w:sz w:val="20"/>
                <w:szCs w:val="20"/>
              </w:rPr>
              <w:t>N</w:t>
            </w:r>
            <w:r w:rsidRPr="00DF2323">
              <w:rPr>
                <w:sz w:val="20"/>
                <w:szCs w:val="20"/>
                <w:vertAlign w:val="subscript"/>
              </w:rPr>
              <w:t xml:space="preserve">2 </w:t>
            </w:r>
            <w:r w:rsidRPr="00DF2323">
              <w:rPr>
                <w:sz w:val="20"/>
                <w:szCs w:val="20"/>
              </w:rPr>
              <w:t>(ion)</w:t>
            </w:r>
          </w:p>
          <w:p w14:paraId="3F4F115A" w14:textId="77777777" w:rsidR="009C38E1" w:rsidRPr="00DF2323" w:rsidRDefault="009C38E1" w:rsidP="00BE0479">
            <w:pPr>
              <w:rPr>
                <w:rFonts w:eastAsia="Times New Roman"/>
                <w:b/>
                <w:sz w:val="20"/>
                <w:szCs w:val="20"/>
                <w:lang w:eastAsia="en-US"/>
              </w:rPr>
            </w:pPr>
          </w:p>
        </w:tc>
      </w:tr>
      <w:tr w:rsidR="009C38E1" w:rsidRPr="00DF2323" w14:paraId="75A3F47C"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205FCD36"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Chemical structure</w:t>
            </w:r>
          </w:p>
        </w:tc>
        <w:tc>
          <w:tcPr>
            <w:tcW w:w="7371" w:type="dxa"/>
            <w:gridSpan w:val="2"/>
          </w:tcPr>
          <w:p w14:paraId="16504FB6" w14:textId="77777777" w:rsidR="009C38E1" w:rsidRPr="00DF2323" w:rsidRDefault="009C38E1" w:rsidP="00BE0479">
            <w:pPr>
              <w:rPr>
                <w:sz w:val="20"/>
                <w:szCs w:val="20"/>
              </w:rPr>
            </w:pPr>
            <w:r w:rsidRPr="00DF2323">
              <w:rPr>
                <w:sz w:val="20"/>
                <w:szCs w:val="20"/>
              </w:rPr>
              <w:t>Paraquat dichloride</w:t>
            </w:r>
          </w:p>
          <w:p w14:paraId="220EAA59" w14:textId="77777777" w:rsidR="009C38E1" w:rsidRPr="00DF2323" w:rsidRDefault="009C38E1" w:rsidP="00BE0479">
            <w:pPr>
              <w:rPr>
                <w:b/>
                <w:noProof/>
              </w:rPr>
            </w:pPr>
          </w:p>
          <w:p w14:paraId="27A9D8C6" w14:textId="77777777" w:rsidR="009C38E1" w:rsidRPr="00DF2323" w:rsidRDefault="009C38E1" w:rsidP="00BE0479">
            <w:pPr>
              <w:rPr>
                <w:b/>
                <w:noProof/>
              </w:rPr>
            </w:pPr>
            <w:r w:rsidRPr="00DF2323">
              <w:rPr>
                <w:b/>
                <w:noProof/>
                <w:lang w:eastAsia="en-US"/>
              </w:rPr>
              <w:drawing>
                <wp:inline distT="0" distB="0" distL="0" distR="0" wp14:anchorId="5C75D420" wp14:editId="2F57C93C">
                  <wp:extent cx="1889125" cy="71628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89125" cy="716280"/>
                          </a:xfrm>
                          <a:prstGeom prst="rect">
                            <a:avLst/>
                          </a:prstGeom>
                          <a:noFill/>
                          <a:ln>
                            <a:noFill/>
                          </a:ln>
                        </pic:spPr>
                      </pic:pic>
                    </a:graphicData>
                  </a:graphic>
                </wp:inline>
              </w:drawing>
            </w:r>
          </w:p>
          <w:p w14:paraId="39EDDF80" w14:textId="77777777" w:rsidR="009C38E1" w:rsidRPr="00DF2323" w:rsidRDefault="009C38E1" w:rsidP="00BE0479">
            <w:pPr>
              <w:rPr>
                <w:rFonts w:eastAsia="Times New Roman"/>
                <w:b/>
                <w:sz w:val="20"/>
                <w:szCs w:val="20"/>
                <w:lang w:eastAsia="en-US"/>
              </w:rPr>
            </w:pPr>
          </w:p>
        </w:tc>
      </w:tr>
      <w:tr w:rsidR="009C38E1" w:rsidRPr="00DF2323" w14:paraId="4A09BE53"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2DE721B9" w14:textId="77777777" w:rsidR="009C38E1" w:rsidRPr="00DF2323" w:rsidRDefault="009C38E1" w:rsidP="00BE0479">
            <w:pPr>
              <w:rPr>
                <w:rFonts w:eastAsia="Times New Roman"/>
                <w:sz w:val="20"/>
                <w:szCs w:val="20"/>
                <w:lang w:eastAsia="en-US"/>
              </w:rPr>
            </w:pPr>
            <w:smartTag w:uri="urn:schemas-microsoft-com:office:smarttags" w:element="stockticker">
              <w:r w:rsidRPr="00DF2323">
                <w:rPr>
                  <w:rFonts w:eastAsia="Times New Roman"/>
                  <w:b/>
                  <w:sz w:val="22"/>
                  <w:szCs w:val="20"/>
                  <w:lang w:eastAsia="en-US"/>
                </w:rPr>
                <w:t>CAS</w:t>
              </w:r>
            </w:smartTag>
            <w:r w:rsidRPr="00DF2323">
              <w:rPr>
                <w:rFonts w:eastAsia="Times New Roman"/>
                <w:b/>
                <w:sz w:val="22"/>
                <w:szCs w:val="20"/>
                <w:lang w:eastAsia="en-US"/>
              </w:rPr>
              <w:t>-No.(s)</w:t>
            </w:r>
          </w:p>
        </w:tc>
        <w:tc>
          <w:tcPr>
            <w:tcW w:w="7371" w:type="dxa"/>
            <w:gridSpan w:val="2"/>
          </w:tcPr>
          <w:p w14:paraId="1705869C" w14:textId="77777777" w:rsidR="009C38E1" w:rsidRPr="00DF2323" w:rsidRDefault="009C38E1" w:rsidP="00BE0479">
            <w:pPr>
              <w:spacing w:after="120"/>
              <w:rPr>
                <w:rFonts w:eastAsia="Times New Roman"/>
                <w:b/>
                <w:sz w:val="20"/>
                <w:szCs w:val="20"/>
                <w:lang w:eastAsia="en-US"/>
              </w:rPr>
            </w:pPr>
            <w:r w:rsidRPr="00DF2323">
              <w:rPr>
                <w:sz w:val="20"/>
                <w:szCs w:val="20"/>
              </w:rPr>
              <w:t>4685-14-7 (paraquat ion)</w:t>
            </w:r>
            <w:r w:rsidRPr="00DF2323">
              <w:rPr>
                <w:sz w:val="20"/>
                <w:szCs w:val="20"/>
              </w:rPr>
              <w:br/>
              <w:t>1910-42-5 (paraquat dichloride)</w:t>
            </w:r>
            <w:r w:rsidRPr="00DF2323">
              <w:rPr>
                <w:sz w:val="20"/>
                <w:szCs w:val="20"/>
              </w:rPr>
              <w:br/>
              <w:t>27041-84-5 (paraquat bistribromide)</w:t>
            </w:r>
            <w:r w:rsidRPr="00DF2323">
              <w:rPr>
                <w:sz w:val="20"/>
                <w:szCs w:val="20"/>
              </w:rPr>
              <w:br/>
              <w:t>2074-50-2 (paraquat bis(methylsulfate)</w:t>
            </w:r>
          </w:p>
        </w:tc>
      </w:tr>
      <w:tr w:rsidR="009C38E1" w:rsidRPr="00DF2323" w14:paraId="0D29BC28"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72D76412"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Harmonized System Customs Code</w:t>
            </w:r>
          </w:p>
        </w:tc>
        <w:tc>
          <w:tcPr>
            <w:tcW w:w="7371" w:type="dxa"/>
            <w:gridSpan w:val="2"/>
          </w:tcPr>
          <w:p w14:paraId="4C26F249" w14:textId="77777777" w:rsidR="009C38E1" w:rsidRPr="00DF2323" w:rsidRDefault="009C38E1" w:rsidP="00BE0479">
            <w:pPr>
              <w:spacing w:after="120"/>
              <w:rPr>
                <w:rFonts w:eastAsia="Times New Roman"/>
                <w:sz w:val="20"/>
                <w:szCs w:val="20"/>
                <w:lang w:eastAsia="en-US"/>
              </w:rPr>
            </w:pPr>
            <w:r w:rsidRPr="00DF2323">
              <w:rPr>
                <w:sz w:val="20"/>
                <w:szCs w:val="20"/>
              </w:rPr>
              <w:t xml:space="preserve">2933.39 </w:t>
            </w:r>
            <w:r w:rsidRPr="00DF2323">
              <w:rPr>
                <w:rFonts w:eastAsia="Times New Roman"/>
                <w:sz w:val="20"/>
                <w:szCs w:val="20"/>
                <w:lang w:eastAsia="en-US"/>
              </w:rPr>
              <w:t>(paraquat ISO)</w:t>
            </w:r>
            <w:r w:rsidRPr="00DF2323">
              <w:rPr>
                <w:sz w:val="20"/>
                <w:szCs w:val="20"/>
              </w:rPr>
              <w:t xml:space="preserve">, 3808.93 </w:t>
            </w:r>
            <w:r w:rsidRPr="00DF2323">
              <w:rPr>
                <w:rFonts w:eastAsia="Times New Roman"/>
                <w:sz w:val="20"/>
                <w:szCs w:val="20"/>
                <w:lang w:eastAsia="en-US"/>
              </w:rPr>
              <w:t>(preparation containing paraquat (ISO), used as herbicide)</w:t>
            </w:r>
          </w:p>
        </w:tc>
      </w:tr>
      <w:tr w:rsidR="009C38E1" w:rsidRPr="00DF2323" w14:paraId="097EAC86"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1523F1A6"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Other numbers</w:t>
            </w:r>
          </w:p>
        </w:tc>
        <w:tc>
          <w:tcPr>
            <w:tcW w:w="7371" w:type="dxa"/>
            <w:gridSpan w:val="2"/>
          </w:tcPr>
          <w:p w14:paraId="1EFA19BD" w14:textId="77777777" w:rsidR="009C38E1" w:rsidRPr="00DF2323" w:rsidRDefault="009C38E1" w:rsidP="00BE0479">
            <w:pPr>
              <w:spacing w:after="120"/>
              <w:rPr>
                <w:sz w:val="20"/>
                <w:szCs w:val="20"/>
              </w:rPr>
            </w:pPr>
            <w:r w:rsidRPr="00DF2323">
              <w:rPr>
                <w:sz w:val="20"/>
                <w:szCs w:val="20"/>
              </w:rPr>
              <w:t xml:space="preserve">EC No.(s): </w:t>
            </w:r>
            <w:r w:rsidRPr="00DF2323">
              <w:rPr>
                <w:sz w:val="20"/>
                <w:szCs w:val="20"/>
              </w:rPr>
              <w:br/>
              <w:t>225-141-7 (paraquat dication)</w:t>
            </w:r>
            <w:r w:rsidRPr="00DF2323">
              <w:rPr>
                <w:sz w:val="20"/>
                <w:szCs w:val="20"/>
              </w:rPr>
              <w:br/>
              <w:t>217-615-7 (paraquat dichloride)</w:t>
            </w:r>
            <w:r w:rsidRPr="00DF2323">
              <w:rPr>
                <w:sz w:val="20"/>
                <w:szCs w:val="20"/>
              </w:rPr>
              <w:br/>
              <w:t>218-196-3 (paraquat bis(methylsulfate)</w:t>
            </w:r>
          </w:p>
          <w:p w14:paraId="7BBA367B" w14:textId="77777777" w:rsidR="009C38E1" w:rsidRPr="00DF2323" w:rsidRDefault="009C38E1" w:rsidP="00BE0479">
            <w:pPr>
              <w:spacing w:after="120"/>
              <w:rPr>
                <w:sz w:val="20"/>
                <w:szCs w:val="20"/>
              </w:rPr>
            </w:pPr>
            <w:r w:rsidRPr="00DF2323">
              <w:rPr>
                <w:sz w:val="20"/>
                <w:szCs w:val="20"/>
              </w:rPr>
              <w:t xml:space="preserve">Combined nomenclature (CN) code for the European Union: 29333999 </w:t>
            </w:r>
            <w:r w:rsidRPr="00DF2323">
              <w:rPr>
                <w:rFonts w:eastAsia="Times New Roman"/>
                <w:sz w:val="20"/>
                <w:szCs w:val="20"/>
                <w:lang w:eastAsia="en-US"/>
              </w:rPr>
              <w:t xml:space="preserve">(paraquat ISO) </w:t>
            </w:r>
            <w:r w:rsidRPr="00DF2323">
              <w:rPr>
                <w:sz w:val="20"/>
                <w:szCs w:val="20"/>
              </w:rPr>
              <w:t>38089327 (preparation containing paraquat (ISO), used as herbicide)</w:t>
            </w:r>
          </w:p>
          <w:p w14:paraId="31C9102F" w14:textId="77777777" w:rsidR="009C38E1" w:rsidRPr="00DF2323" w:rsidRDefault="009C38E1" w:rsidP="008654BB">
            <w:pPr>
              <w:spacing w:after="120"/>
              <w:rPr>
                <w:sz w:val="20"/>
                <w:szCs w:val="20"/>
              </w:rPr>
            </w:pPr>
            <w:r w:rsidRPr="00DF2323">
              <w:rPr>
                <w:sz w:val="20"/>
                <w:szCs w:val="20"/>
              </w:rPr>
              <w:t>CIPAC No: 56 (dication); 56.302 (dichloride)</w:t>
            </w:r>
          </w:p>
        </w:tc>
      </w:tr>
      <w:tr w:rsidR="009C38E1" w:rsidRPr="00DF2323" w14:paraId="26787D76" w14:textId="77777777" w:rsidTr="00BE0479">
        <w:tblPrEx>
          <w:tblBorders>
            <w:top w:val="none" w:sz="0" w:space="0" w:color="auto"/>
            <w:left w:val="none" w:sz="0" w:space="0" w:color="auto"/>
            <w:bottom w:val="none" w:sz="0" w:space="0" w:color="auto"/>
            <w:right w:val="none" w:sz="0" w:space="0" w:color="auto"/>
          </w:tblBorders>
        </w:tblPrEx>
        <w:trPr>
          <w:trHeight w:val="400"/>
          <w:jc w:val="right"/>
        </w:trPr>
        <w:tc>
          <w:tcPr>
            <w:tcW w:w="2127" w:type="dxa"/>
            <w:gridSpan w:val="2"/>
          </w:tcPr>
          <w:p w14:paraId="5BAD552A"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Category</w:t>
            </w:r>
          </w:p>
        </w:tc>
        <w:tc>
          <w:tcPr>
            <w:tcW w:w="7371" w:type="dxa"/>
            <w:gridSpan w:val="2"/>
          </w:tcPr>
          <w:p w14:paraId="23A906D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Pesticide</w:t>
            </w:r>
          </w:p>
        </w:tc>
      </w:tr>
      <w:tr w:rsidR="009C38E1" w:rsidRPr="00DF2323" w14:paraId="28AEC1F3" w14:textId="77777777" w:rsidTr="00BE0479">
        <w:tblPrEx>
          <w:tblBorders>
            <w:top w:val="none" w:sz="0" w:space="0" w:color="auto"/>
            <w:left w:val="none" w:sz="0" w:space="0" w:color="auto"/>
            <w:bottom w:val="none" w:sz="0" w:space="0" w:color="auto"/>
            <w:right w:val="none" w:sz="0" w:space="0" w:color="auto"/>
          </w:tblBorders>
        </w:tblPrEx>
        <w:trPr>
          <w:trHeight w:val="406"/>
          <w:jc w:val="right"/>
        </w:trPr>
        <w:tc>
          <w:tcPr>
            <w:tcW w:w="2127" w:type="dxa"/>
            <w:gridSpan w:val="2"/>
          </w:tcPr>
          <w:p w14:paraId="7771EE68"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Regulated category</w:t>
            </w:r>
          </w:p>
        </w:tc>
        <w:tc>
          <w:tcPr>
            <w:tcW w:w="7371" w:type="dxa"/>
            <w:gridSpan w:val="2"/>
          </w:tcPr>
          <w:p w14:paraId="68D4041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Pesticide</w:t>
            </w:r>
          </w:p>
        </w:tc>
      </w:tr>
      <w:tr w:rsidR="009C38E1" w:rsidRPr="00DF2323" w14:paraId="69C66054"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535352F4"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Use(s) in regulated category</w:t>
            </w:r>
          </w:p>
        </w:tc>
        <w:tc>
          <w:tcPr>
            <w:tcW w:w="7371" w:type="dxa"/>
            <w:gridSpan w:val="2"/>
          </w:tcPr>
          <w:p w14:paraId="3EA24603" w14:textId="77777777" w:rsidR="009C38E1" w:rsidRPr="00DF2323" w:rsidRDefault="009C38E1" w:rsidP="00BE0479">
            <w:pPr>
              <w:rPr>
                <w:sz w:val="20"/>
                <w:szCs w:val="20"/>
              </w:rPr>
            </w:pPr>
            <w:r w:rsidRPr="00DF2323">
              <w:rPr>
                <w:sz w:val="20"/>
                <w:szCs w:val="20"/>
              </w:rPr>
              <w:t>In Malaysia, the use of paraquat as an herbicide was restricted since May 2014 to oil palm below 2 years, rubber, pineapple stump and hill paddy crops until its total ban.</w:t>
            </w:r>
          </w:p>
          <w:p w14:paraId="7264C617" w14:textId="77777777" w:rsidR="009C38E1" w:rsidRPr="00DF2323" w:rsidRDefault="009C38E1" w:rsidP="00BE0479">
            <w:pPr>
              <w:rPr>
                <w:sz w:val="20"/>
                <w:szCs w:val="20"/>
              </w:rPr>
            </w:pPr>
          </w:p>
          <w:p w14:paraId="517AA986" w14:textId="41C0F242" w:rsidR="009C38E1" w:rsidRPr="00DF2323" w:rsidRDefault="009C38E1" w:rsidP="008654BB">
            <w:pPr>
              <w:autoSpaceDE w:val="0"/>
              <w:autoSpaceDN w:val="0"/>
              <w:adjustRightInd w:val="0"/>
              <w:spacing w:after="120"/>
              <w:rPr>
                <w:sz w:val="20"/>
                <w:szCs w:val="20"/>
              </w:rPr>
            </w:pPr>
            <w:r w:rsidRPr="00DF2323">
              <w:rPr>
                <w:sz w:val="20"/>
                <w:szCs w:val="20"/>
              </w:rPr>
              <w:t>In Mozambique, paraquat was registered for use as herbicide on various crops including sugar cane, various vegetables and bananas.</w:t>
            </w:r>
          </w:p>
        </w:tc>
      </w:tr>
      <w:tr w:rsidR="009C38E1" w:rsidRPr="00DF2323" w14:paraId="352AC822"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7A6A70DF"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Trade names</w:t>
            </w:r>
          </w:p>
        </w:tc>
        <w:tc>
          <w:tcPr>
            <w:tcW w:w="7371" w:type="dxa"/>
            <w:gridSpan w:val="2"/>
          </w:tcPr>
          <w:p w14:paraId="60790C9A" w14:textId="77777777" w:rsidR="009C38E1" w:rsidRPr="00DF2323" w:rsidRDefault="009C38E1" w:rsidP="00BE0479">
            <w:pPr>
              <w:spacing w:after="120"/>
              <w:rPr>
                <w:sz w:val="20"/>
                <w:szCs w:val="20"/>
              </w:rPr>
            </w:pPr>
            <w:r w:rsidRPr="00DF2323">
              <w:rPr>
                <w:sz w:val="20"/>
                <w:szCs w:val="20"/>
              </w:rPr>
              <w:t>Trade names listed in the notification from Malaysia are: Gramoxone® 100; Capayam; CS Paraquat 13; FarmCare Paraquat 13; CH Paraquat P130; PP Paraquat 13; AGR Para 13; WA Paraquat 130.</w:t>
            </w:r>
          </w:p>
          <w:p w14:paraId="1EE557E0" w14:textId="77777777" w:rsidR="009C38E1" w:rsidRPr="00DF2323" w:rsidRDefault="009C38E1" w:rsidP="00BE0479">
            <w:pPr>
              <w:spacing w:after="120"/>
              <w:rPr>
                <w:sz w:val="20"/>
                <w:szCs w:val="20"/>
              </w:rPr>
            </w:pPr>
            <w:r w:rsidRPr="00DF2323">
              <w:rPr>
                <w:sz w:val="20"/>
                <w:szCs w:val="20"/>
              </w:rPr>
              <w:t>Trade names listed in the notification and supporting information from Mozambique are: Moz Paraquat 20% SL; Paracot 20% SL; Para-Cure 20% SL; Paraxone 20% SL; Gramozat 20% SL; Agroquat 200 SL; Universal Skoffos 14,5% SL; Volquato 20% SL</w:t>
            </w:r>
          </w:p>
          <w:p w14:paraId="36F9904A" w14:textId="77777777" w:rsidR="00192E9F" w:rsidRPr="00DF2323" w:rsidRDefault="00192E9F" w:rsidP="00BE0479">
            <w:pPr>
              <w:rPr>
                <w:sz w:val="20"/>
                <w:szCs w:val="20"/>
              </w:rPr>
            </w:pPr>
          </w:p>
          <w:p w14:paraId="3A1337F1" w14:textId="77777777" w:rsidR="00192E9F" w:rsidRPr="00DF2323" w:rsidRDefault="00192E9F" w:rsidP="00BE0479">
            <w:pPr>
              <w:rPr>
                <w:sz w:val="20"/>
                <w:szCs w:val="20"/>
              </w:rPr>
            </w:pPr>
          </w:p>
          <w:p w14:paraId="6A606B5C" w14:textId="77777777" w:rsidR="00192E9F" w:rsidRPr="00DF2323" w:rsidRDefault="00192E9F" w:rsidP="00BE0479">
            <w:pPr>
              <w:rPr>
                <w:sz w:val="20"/>
                <w:szCs w:val="20"/>
              </w:rPr>
            </w:pPr>
          </w:p>
          <w:p w14:paraId="2375A823" w14:textId="77777777" w:rsidR="00192E9F" w:rsidRPr="00DF2323" w:rsidRDefault="00192E9F" w:rsidP="00BE0479">
            <w:pPr>
              <w:rPr>
                <w:sz w:val="20"/>
                <w:szCs w:val="20"/>
              </w:rPr>
            </w:pPr>
          </w:p>
          <w:p w14:paraId="5501A422" w14:textId="050B7434" w:rsidR="009C38E1" w:rsidRPr="00DF2323" w:rsidRDefault="009C38E1" w:rsidP="00BE0479">
            <w:pPr>
              <w:rPr>
                <w:sz w:val="20"/>
                <w:szCs w:val="20"/>
              </w:rPr>
            </w:pPr>
            <w:r w:rsidRPr="00DF2323">
              <w:rPr>
                <w:sz w:val="20"/>
                <w:szCs w:val="20"/>
              </w:rPr>
              <w:lastRenderedPageBreak/>
              <w:t>Additional trade names of formulations containing paraquat (IPCS, 1991).</w:t>
            </w:r>
          </w:p>
          <w:p w14:paraId="3B029AA6" w14:textId="77777777" w:rsidR="009C38E1" w:rsidRPr="00DF2323" w:rsidRDefault="009C38E1" w:rsidP="00BE0479">
            <w:pPr>
              <w:rPr>
                <w:rFonts w:eastAsia="Times New Roman"/>
                <w:i/>
                <w:sz w:val="20"/>
                <w:szCs w:val="20"/>
                <w:lang w:eastAsia="en-US"/>
              </w:rPr>
            </w:pPr>
          </w:p>
          <w:tbl>
            <w:tblPr>
              <w:tblW w:w="4224" w:type="pct"/>
              <w:tblLayout w:type="fixed"/>
              <w:tblLook w:val="04A0" w:firstRow="1" w:lastRow="0" w:firstColumn="1" w:lastColumn="0" w:noHBand="0" w:noVBand="1"/>
            </w:tblPr>
            <w:tblGrid>
              <w:gridCol w:w="1846"/>
              <w:gridCol w:w="1759"/>
              <w:gridCol w:w="2429"/>
            </w:tblGrid>
            <w:tr w:rsidR="009C38E1" w:rsidRPr="00DF2323" w14:paraId="598CFF2D" w14:textId="77777777" w:rsidTr="00BE0479">
              <w:trPr>
                <w:trHeight w:val="270"/>
              </w:trPr>
              <w:tc>
                <w:tcPr>
                  <w:tcW w:w="1529" w:type="pct"/>
                  <w:tcBorders>
                    <w:top w:val="nil"/>
                    <w:left w:val="nil"/>
                    <w:bottom w:val="single" w:sz="4" w:space="0" w:color="auto"/>
                    <w:right w:val="nil"/>
                  </w:tcBorders>
                  <w:shd w:val="clear" w:color="auto" w:fill="auto"/>
                  <w:noWrap/>
                  <w:vAlign w:val="bottom"/>
                  <w:hideMark/>
                </w:tcPr>
                <w:p w14:paraId="6DF3942A" w14:textId="77777777" w:rsidR="009C38E1" w:rsidRPr="00DF2323" w:rsidRDefault="009C38E1" w:rsidP="00BE0479">
                  <w:pPr>
                    <w:rPr>
                      <w:sz w:val="20"/>
                      <w:szCs w:val="20"/>
                    </w:rPr>
                  </w:pPr>
                  <w:r w:rsidRPr="00DF2323">
                    <w:rPr>
                      <w:sz w:val="20"/>
                      <w:szCs w:val="20"/>
                    </w:rPr>
                    <w:t>Paraquat only</w:t>
                  </w:r>
                </w:p>
              </w:tc>
              <w:tc>
                <w:tcPr>
                  <w:tcW w:w="1457" w:type="pct"/>
                  <w:tcBorders>
                    <w:top w:val="nil"/>
                    <w:left w:val="nil"/>
                    <w:bottom w:val="single" w:sz="4" w:space="0" w:color="auto"/>
                    <w:right w:val="nil"/>
                  </w:tcBorders>
                  <w:shd w:val="clear" w:color="auto" w:fill="auto"/>
                  <w:noWrap/>
                  <w:vAlign w:val="bottom"/>
                  <w:hideMark/>
                </w:tcPr>
                <w:p w14:paraId="34880280" w14:textId="77777777" w:rsidR="009C38E1" w:rsidRPr="00DF2323" w:rsidRDefault="009C38E1" w:rsidP="00BE0479">
                  <w:pPr>
                    <w:rPr>
                      <w:sz w:val="20"/>
                      <w:szCs w:val="20"/>
                    </w:rPr>
                  </w:pPr>
                  <w:r w:rsidRPr="00DF2323">
                    <w:rPr>
                      <w:sz w:val="20"/>
                      <w:szCs w:val="20"/>
                    </w:rPr>
                    <w:t>Paraquat + Diquat</w:t>
                  </w:r>
                </w:p>
              </w:tc>
              <w:tc>
                <w:tcPr>
                  <w:tcW w:w="2013" w:type="pct"/>
                  <w:tcBorders>
                    <w:top w:val="nil"/>
                    <w:left w:val="nil"/>
                    <w:bottom w:val="single" w:sz="4" w:space="0" w:color="auto"/>
                    <w:right w:val="nil"/>
                  </w:tcBorders>
                  <w:shd w:val="clear" w:color="auto" w:fill="auto"/>
                  <w:noWrap/>
                  <w:vAlign w:val="bottom"/>
                  <w:hideMark/>
                </w:tcPr>
                <w:p w14:paraId="60D4AA10" w14:textId="77777777" w:rsidR="009C38E1" w:rsidRPr="00DF2323" w:rsidRDefault="009C38E1" w:rsidP="00BE0479">
                  <w:pPr>
                    <w:rPr>
                      <w:sz w:val="20"/>
                      <w:szCs w:val="20"/>
                    </w:rPr>
                  </w:pPr>
                  <w:r w:rsidRPr="00DF2323">
                    <w:rPr>
                      <w:sz w:val="20"/>
                      <w:szCs w:val="20"/>
                    </w:rPr>
                    <w:t>Paraquat + Urea Herbicides</w:t>
                  </w:r>
                </w:p>
              </w:tc>
            </w:tr>
            <w:tr w:rsidR="009C38E1" w:rsidRPr="00DF2323" w14:paraId="4DC115DC" w14:textId="77777777" w:rsidTr="00BE0479">
              <w:trPr>
                <w:trHeight w:val="270"/>
              </w:trPr>
              <w:tc>
                <w:tcPr>
                  <w:tcW w:w="1529" w:type="pct"/>
                  <w:tcBorders>
                    <w:top w:val="single" w:sz="4" w:space="0" w:color="auto"/>
                    <w:left w:val="nil"/>
                    <w:bottom w:val="nil"/>
                    <w:right w:val="nil"/>
                  </w:tcBorders>
                  <w:shd w:val="clear" w:color="auto" w:fill="auto"/>
                  <w:noWrap/>
                  <w:vAlign w:val="bottom"/>
                  <w:hideMark/>
                </w:tcPr>
                <w:p w14:paraId="1126599C" w14:textId="77777777" w:rsidR="009C38E1" w:rsidRPr="00DF2323" w:rsidRDefault="009C38E1" w:rsidP="00BE0479">
                  <w:pPr>
                    <w:rPr>
                      <w:sz w:val="20"/>
                      <w:szCs w:val="20"/>
                    </w:rPr>
                  </w:pPr>
                  <w:r w:rsidRPr="00DF2323">
                    <w:rPr>
                      <w:sz w:val="20"/>
                      <w:szCs w:val="20"/>
                    </w:rPr>
                    <w:t>Barclay Total®</w:t>
                  </w:r>
                </w:p>
              </w:tc>
              <w:tc>
                <w:tcPr>
                  <w:tcW w:w="1457" w:type="pct"/>
                  <w:tcBorders>
                    <w:top w:val="single" w:sz="4" w:space="0" w:color="auto"/>
                    <w:left w:val="nil"/>
                    <w:bottom w:val="nil"/>
                    <w:right w:val="nil"/>
                  </w:tcBorders>
                  <w:shd w:val="clear" w:color="auto" w:fill="auto"/>
                  <w:noWrap/>
                  <w:vAlign w:val="bottom"/>
                  <w:hideMark/>
                </w:tcPr>
                <w:p w14:paraId="07487D9B" w14:textId="77777777" w:rsidR="009C38E1" w:rsidRPr="00DF2323" w:rsidRDefault="009C38E1" w:rsidP="00BE0479">
                  <w:pPr>
                    <w:rPr>
                      <w:sz w:val="20"/>
                      <w:szCs w:val="20"/>
                    </w:rPr>
                  </w:pPr>
                  <w:r w:rsidRPr="00DF2323">
                    <w:rPr>
                      <w:sz w:val="20"/>
                      <w:szCs w:val="20"/>
                    </w:rPr>
                    <w:t>Actor®</w:t>
                  </w:r>
                </w:p>
              </w:tc>
              <w:tc>
                <w:tcPr>
                  <w:tcW w:w="2013" w:type="pct"/>
                  <w:tcBorders>
                    <w:top w:val="single" w:sz="4" w:space="0" w:color="auto"/>
                    <w:left w:val="nil"/>
                    <w:bottom w:val="nil"/>
                    <w:right w:val="nil"/>
                  </w:tcBorders>
                  <w:shd w:val="clear" w:color="auto" w:fill="auto"/>
                  <w:noWrap/>
                  <w:vAlign w:val="bottom"/>
                  <w:hideMark/>
                </w:tcPr>
                <w:p w14:paraId="0307652D" w14:textId="77777777" w:rsidR="009C38E1" w:rsidRPr="00DF2323" w:rsidRDefault="009C38E1" w:rsidP="00BE0479">
                  <w:pPr>
                    <w:rPr>
                      <w:sz w:val="20"/>
                      <w:szCs w:val="20"/>
                    </w:rPr>
                  </w:pPr>
                  <w:r w:rsidRPr="00DF2323">
                    <w:rPr>
                      <w:sz w:val="20"/>
                      <w:szCs w:val="20"/>
                    </w:rPr>
                    <w:t>Anuron®</w:t>
                  </w:r>
                </w:p>
              </w:tc>
            </w:tr>
            <w:tr w:rsidR="009C38E1" w:rsidRPr="00DF2323" w14:paraId="1FA4138F" w14:textId="77777777" w:rsidTr="00BE0479">
              <w:trPr>
                <w:trHeight w:val="270"/>
              </w:trPr>
              <w:tc>
                <w:tcPr>
                  <w:tcW w:w="1529" w:type="pct"/>
                  <w:tcBorders>
                    <w:top w:val="nil"/>
                    <w:left w:val="nil"/>
                    <w:bottom w:val="nil"/>
                    <w:right w:val="nil"/>
                  </w:tcBorders>
                  <w:shd w:val="clear" w:color="auto" w:fill="auto"/>
                  <w:noWrap/>
                  <w:vAlign w:val="bottom"/>
                  <w:hideMark/>
                </w:tcPr>
                <w:p w14:paraId="037080B4" w14:textId="77777777" w:rsidR="009C38E1" w:rsidRPr="00DF2323" w:rsidRDefault="009C38E1" w:rsidP="00BE0479">
                  <w:pPr>
                    <w:rPr>
                      <w:sz w:val="20"/>
                      <w:szCs w:val="20"/>
                    </w:rPr>
                  </w:pPr>
                  <w:r w:rsidRPr="00DF2323">
                    <w:rPr>
                      <w:sz w:val="20"/>
                      <w:szCs w:val="20"/>
                    </w:rPr>
                    <w:t xml:space="preserve">Crisquat ® </w:t>
                  </w:r>
                </w:p>
              </w:tc>
              <w:tc>
                <w:tcPr>
                  <w:tcW w:w="1457" w:type="pct"/>
                  <w:tcBorders>
                    <w:top w:val="nil"/>
                    <w:left w:val="nil"/>
                    <w:bottom w:val="nil"/>
                    <w:right w:val="nil"/>
                  </w:tcBorders>
                  <w:shd w:val="clear" w:color="auto" w:fill="auto"/>
                  <w:noWrap/>
                  <w:vAlign w:val="bottom"/>
                  <w:hideMark/>
                </w:tcPr>
                <w:p w14:paraId="0E063377" w14:textId="77777777" w:rsidR="009C38E1" w:rsidRPr="00DF2323" w:rsidRDefault="009C38E1" w:rsidP="00BE0479">
                  <w:pPr>
                    <w:rPr>
                      <w:sz w:val="20"/>
                      <w:szCs w:val="20"/>
                    </w:rPr>
                  </w:pPr>
                  <w:r w:rsidRPr="00DF2323">
                    <w:rPr>
                      <w:sz w:val="20"/>
                      <w:szCs w:val="20"/>
                    </w:rPr>
                    <w:t>Dukatalon®</w:t>
                  </w:r>
                </w:p>
              </w:tc>
              <w:tc>
                <w:tcPr>
                  <w:tcW w:w="2013" w:type="pct"/>
                  <w:tcBorders>
                    <w:top w:val="nil"/>
                    <w:left w:val="nil"/>
                    <w:bottom w:val="nil"/>
                    <w:right w:val="nil"/>
                  </w:tcBorders>
                  <w:shd w:val="clear" w:color="auto" w:fill="auto"/>
                  <w:noWrap/>
                  <w:vAlign w:val="bottom"/>
                  <w:hideMark/>
                </w:tcPr>
                <w:p w14:paraId="1EF106F1" w14:textId="77777777" w:rsidR="009C38E1" w:rsidRPr="00DF2323" w:rsidRDefault="009C38E1" w:rsidP="00BE0479">
                  <w:pPr>
                    <w:rPr>
                      <w:sz w:val="20"/>
                      <w:szCs w:val="20"/>
                    </w:rPr>
                  </w:pPr>
                  <w:r w:rsidRPr="00DF2323">
                    <w:rPr>
                      <w:sz w:val="20"/>
                      <w:szCs w:val="20"/>
                    </w:rPr>
                    <w:t>Dexuron®</w:t>
                  </w:r>
                </w:p>
              </w:tc>
            </w:tr>
            <w:tr w:rsidR="009C38E1" w:rsidRPr="00DF2323" w14:paraId="155CB764" w14:textId="77777777" w:rsidTr="00BE0479">
              <w:trPr>
                <w:trHeight w:val="270"/>
              </w:trPr>
              <w:tc>
                <w:tcPr>
                  <w:tcW w:w="1529" w:type="pct"/>
                  <w:tcBorders>
                    <w:top w:val="nil"/>
                    <w:left w:val="nil"/>
                    <w:bottom w:val="nil"/>
                    <w:right w:val="nil"/>
                  </w:tcBorders>
                  <w:shd w:val="clear" w:color="auto" w:fill="auto"/>
                  <w:noWrap/>
                  <w:vAlign w:val="bottom"/>
                  <w:hideMark/>
                </w:tcPr>
                <w:p w14:paraId="748F1DC7" w14:textId="77777777" w:rsidR="009C38E1" w:rsidRPr="00DF2323" w:rsidRDefault="009C38E1" w:rsidP="00BE0479">
                  <w:pPr>
                    <w:rPr>
                      <w:sz w:val="20"/>
                      <w:szCs w:val="20"/>
                    </w:rPr>
                  </w:pPr>
                  <w:r w:rsidRPr="00DF2323">
                    <w:rPr>
                      <w:sz w:val="20"/>
                      <w:szCs w:val="20"/>
                    </w:rPr>
                    <w:t>Cyclone®</w:t>
                  </w:r>
                </w:p>
              </w:tc>
              <w:tc>
                <w:tcPr>
                  <w:tcW w:w="1457" w:type="pct"/>
                  <w:tcBorders>
                    <w:top w:val="nil"/>
                    <w:left w:val="nil"/>
                    <w:bottom w:val="nil"/>
                    <w:right w:val="nil"/>
                  </w:tcBorders>
                  <w:shd w:val="clear" w:color="auto" w:fill="auto"/>
                  <w:noWrap/>
                  <w:vAlign w:val="bottom"/>
                  <w:hideMark/>
                </w:tcPr>
                <w:p w14:paraId="31764A6A" w14:textId="77777777" w:rsidR="009C38E1" w:rsidRPr="00DF2323" w:rsidRDefault="009C38E1" w:rsidP="00BE0479">
                  <w:pPr>
                    <w:rPr>
                      <w:sz w:val="20"/>
                      <w:szCs w:val="20"/>
                    </w:rPr>
                  </w:pPr>
                  <w:r w:rsidRPr="00DF2323">
                    <w:rPr>
                      <w:sz w:val="20"/>
                      <w:szCs w:val="20"/>
                    </w:rPr>
                    <w:t>Opal®</w:t>
                  </w:r>
                </w:p>
              </w:tc>
              <w:tc>
                <w:tcPr>
                  <w:tcW w:w="2013" w:type="pct"/>
                  <w:tcBorders>
                    <w:top w:val="nil"/>
                    <w:left w:val="nil"/>
                    <w:bottom w:val="nil"/>
                    <w:right w:val="nil"/>
                  </w:tcBorders>
                  <w:shd w:val="clear" w:color="auto" w:fill="auto"/>
                  <w:noWrap/>
                  <w:vAlign w:val="bottom"/>
                  <w:hideMark/>
                </w:tcPr>
                <w:p w14:paraId="2211865F" w14:textId="77777777" w:rsidR="009C38E1" w:rsidRPr="00DF2323" w:rsidRDefault="009C38E1" w:rsidP="00BE0479">
                  <w:pPr>
                    <w:rPr>
                      <w:sz w:val="20"/>
                      <w:szCs w:val="20"/>
                    </w:rPr>
                  </w:pPr>
                  <w:r w:rsidRPr="00DF2323">
                    <w:rPr>
                      <w:sz w:val="20"/>
                      <w:szCs w:val="20"/>
                    </w:rPr>
                    <w:t>Gramocil®</w:t>
                  </w:r>
                </w:p>
              </w:tc>
            </w:tr>
            <w:tr w:rsidR="009C38E1" w:rsidRPr="00DF2323" w14:paraId="119F4757" w14:textId="77777777" w:rsidTr="00BE0479">
              <w:trPr>
                <w:trHeight w:val="270"/>
              </w:trPr>
              <w:tc>
                <w:tcPr>
                  <w:tcW w:w="1529" w:type="pct"/>
                  <w:tcBorders>
                    <w:top w:val="nil"/>
                    <w:left w:val="nil"/>
                    <w:bottom w:val="nil"/>
                    <w:right w:val="nil"/>
                  </w:tcBorders>
                  <w:shd w:val="clear" w:color="auto" w:fill="auto"/>
                  <w:noWrap/>
                  <w:vAlign w:val="bottom"/>
                  <w:hideMark/>
                </w:tcPr>
                <w:p w14:paraId="20F438BE" w14:textId="77777777" w:rsidR="009C38E1" w:rsidRPr="00DF2323" w:rsidRDefault="009C38E1" w:rsidP="00BE0479">
                  <w:pPr>
                    <w:rPr>
                      <w:sz w:val="20"/>
                      <w:szCs w:val="20"/>
                    </w:rPr>
                  </w:pPr>
                  <w:r w:rsidRPr="00DF2323">
                    <w:rPr>
                      <w:sz w:val="20"/>
                      <w:szCs w:val="20"/>
                    </w:rPr>
                    <w:t>Dextrone X®</w:t>
                  </w:r>
                </w:p>
              </w:tc>
              <w:tc>
                <w:tcPr>
                  <w:tcW w:w="1457" w:type="pct"/>
                  <w:tcBorders>
                    <w:top w:val="nil"/>
                    <w:left w:val="nil"/>
                    <w:bottom w:val="nil"/>
                    <w:right w:val="nil"/>
                  </w:tcBorders>
                  <w:shd w:val="clear" w:color="auto" w:fill="auto"/>
                  <w:noWrap/>
                  <w:vAlign w:val="bottom"/>
                  <w:hideMark/>
                </w:tcPr>
                <w:p w14:paraId="54319A74" w14:textId="77777777" w:rsidR="009C38E1" w:rsidRPr="00DF2323" w:rsidRDefault="009C38E1" w:rsidP="00BE0479">
                  <w:pPr>
                    <w:rPr>
                      <w:sz w:val="20"/>
                      <w:szCs w:val="20"/>
                    </w:rPr>
                  </w:pPr>
                  <w:r w:rsidRPr="00DF2323">
                    <w:rPr>
                      <w:sz w:val="20"/>
                      <w:szCs w:val="20"/>
                    </w:rPr>
                    <w:t>Pathclear®</w:t>
                  </w:r>
                </w:p>
              </w:tc>
              <w:tc>
                <w:tcPr>
                  <w:tcW w:w="2013" w:type="pct"/>
                  <w:tcBorders>
                    <w:top w:val="nil"/>
                    <w:left w:val="nil"/>
                    <w:bottom w:val="nil"/>
                    <w:right w:val="nil"/>
                  </w:tcBorders>
                  <w:shd w:val="clear" w:color="auto" w:fill="auto"/>
                  <w:noWrap/>
                  <w:vAlign w:val="bottom"/>
                  <w:hideMark/>
                </w:tcPr>
                <w:p w14:paraId="0DFF2E48" w14:textId="77777777" w:rsidR="009C38E1" w:rsidRPr="00DF2323" w:rsidRDefault="009C38E1" w:rsidP="00BE0479">
                  <w:pPr>
                    <w:rPr>
                      <w:sz w:val="20"/>
                      <w:szCs w:val="20"/>
                    </w:rPr>
                  </w:pPr>
                  <w:r w:rsidRPr="00DF2323">
                    <w:rPr>
                      <w:sz w:val="20"/>
                      <w:szCs w:val="20"/>
                    </w:rPr>
                    <w:t>Gramonol®</w:t>
                  </w:r>
                </w:p>
              </w:tc>
            </w:tr>
            <w:tr w:rsidR="009C38E1" w:rsidRPr="00DF2323" w14:paraId="5590E600" w14:textId="77777777" w:rsidTr="00BE0479">
              <w:trPr>
                <w:trHeight w:val="270"/>
              </w:trPr>
              <w:tc>
                <w:tcPr>
                  <w:tcW w:w="1529" w:type="pct"/>
                  <w:tcBorders>
                    <w:top w:val="nil"/>
                    <w:left w:val="nil"/>
                    <w:bottom w:val="nil"/>
                    <w:right w:val="nil"/>
                  </w:tcBorders>
                  <w:shd w:val="clear" w:color="auto" w:fill="auto"/>
                  <w:noWrap/>
                  <w:vAlign w:val="bottom"/>
                  <w:hideMark/>
                </w:tcPr>
                <w:p w14:paraId="26809D83" w14:textId="77777777" w:rsidR="009C38E1" w:rsidRPr="00DF2323" w:rsidRDefault="009C38E1" w:rsidP="00BE0479">
                  <w:pPr>
                    <w:rPr>
                      <w:sz w:val="20"/>
                      <w:szCs w:val="20"/>
                    </w:rPr>
                  </w:pPr>
                  <w:r w:rsidRPr="00DF2323">
                    <w:rPr>
                      <w:sz w:val="20"/>
                      <w:szCs w:val="20"/>
                    </w:rPr>
                    <w:t>Dragocson®</w:t>
                  </w:r>
                </w:p>
              </w:tc>
              <w:tc>
                <w:tcPr>
                  <w:tcW w:w="1457" w:type="pct"/>
                  <w:tcBorders>
                    <w:top w:val="nil"/>
                    <w:left w:val="nil"/>
                    <w:bottom w:val="nil"/>
                    <w:right w:val="nil"/>
                  </w:tcBorders>
                  <w:shd w:val="clear" w:color="auto" w:fill="auto"/>
                  <w:noWrap/>
                  <w:vAlign w:val="bottom"/>
                  <w:hideMark/>
                </w:tcPr>
                <w:p w14:paraId="2F277A51" w14:textId="77777777" w:rsidR="009C38E1" w:rsidRPr="00DF2323" w:rsidRDefault="009C38E1" w:rsidP="00BE0479">
                  <w:pPr>
                    <w:rPr>
                      <w:sz w:val="20"/>
                      <w:szCs w:val="20"/>
                    </w:rPr>
                  </w:pPr>
                  <w:r w:rsidRPr="00DF2323">
                    <w:rPr>
                      <w:sz w:val="20"/>
                      <w:szCs w:val="20"/>
                    </w:rPr>
                    <w:t>PDQ®</w:t>
                  </w:r>
                </w:p>
              </w:tc>
              <w:tc>
                <w:tcPr>
                  <w:tcW w:w="2013" w:type="pct"/>
                  <w:tcBorders>
                    <w:top w:val="nil"/>
                    <w:left w:val="nil"/>
                    <w:bottom w:val="nil"/>
                    <w:right w:val="nil"/>
                  </w:tcBorders>
                  <w:shd w:val="clear" w:color="auto" w:fill="auto"/>
                  <w:noWrap/>
                  <w:vAlign w:val="bottom"/>
                  <w:hideMark/>
                </w:tcPr>
                <w:p w14:paraId="188C3318" w14:textId="77777777" w:rsidR="009C38E1" w:rsidRPr="00DF2323" w:rsidRDefault="009C38E1" w:rsidP="00BE0479">
                  <w:pPr>
                    <w:rPr>
                      <w:sz w:val="20"/>
                      <w:szCs w:val="20"/>
                    </w:rPr>
                  </w:pPr>
                  <w:r w:rsidRPr="00DF2323">
                    <w:rPr>
                      <w:sz w:val="20"/>
                      <w:szCs w:val="20"/>
                    </w:rPr>
                    <w:t>Gramuron®</w:t>
                  </w:r>
                </w:p>
              </w:tc>
            </w:tr>
            <w:tr w:rsidR="009C38E1" w:rsidRPr="00DF2323" w14:paraId="6F7D0222" w14:textId="77777777" w:rsidTr="00BE0479">
              <w:trPr>
                <w:trHeight w:val="270"/>
              </w:trPr>
              <w:tc>
                <w:tcPr>
                  <w:tcW w:w="1529" w:type="pct"/>
                  <w:tcBorders>
                    <w:top w:val="nil"/>
                    <w:left w:val="nil"/>
                    <w:bottom w:val="nil"/>
                    <w:right w:val="nil"/>
                  </w:tcBorders>
                  <w:shd w:val="clear" w:color="auto" w:fill="auto"/>
                  <w:noWrap/>
                  <w:vAlign w:val="bottom"/>
                  <w:hideMark/>
                </w:tcPr>
                <w:p w14:paraId="32D47660" w14:textId="77777777" w:rsidR="009C38E1" w:rsidRPr="00DF2323" w:rsidRDefault="009C38E1" w:rsidP="00BE0479">
                  <w:pPr>
                    <w:rPr>
                      <w:sz w:val="20"/>
                      <w:szCs w:val="20"/>
                    </w:rPr>
                  </w:pPr>
                  <w:r w:rsidRPr="00DF2323">
                    <w:rPr>
                      <w:sz w:val="20"/>
                      <w:szCs w:val="20"/>
                    </w:rPr>
                    <w:t>Esgram®</w:t>
                  </w:r>
                </w:p>
              </w:tc>
              <w:tc>
                <w:tcPr>
                  <w:tcW w:w="1457" w:type="pct"/>
                  <w:tcBorders>
                    <w:top w:val="nil"/>
                    <w:left w:val="nil"/>
                    <w:bottom w:val="nil"/>
                    <w:right w:val="nil"/>
                  </w:tcBorders>
                  <w:shd w:val="clear" w:color="auto" w:fill="auto"/>
                  <w:noWrap/>
                  <w:vAlign w:val="bottom"/>
                  <w:hideMark/>
                </w:tcPr>
                <w:p w14:paraId="1BCE1BB1" w14:textId="77777777" w:rsidR="009C38E1" w:rsidRPr="00DF2323" w:rsidRDefault="009C38E1" w:rsidP="00BE0479">
                  <w:pPr>
                    <w:rPr>
                      <w:sz w:val="20"/>
                      <w:szCs w:val="20"/>
                    </w:rPr>
                  </w:pPr>
                  <w:r w:rsidRPr="00DF2323">
                    <w:rPr>
                      <w:sz w:val="20"/>
                      <w:szCs w:val="20"/>
                    </w:rPr>
                    <w:t>Preeglox L®</w:t>
                  </w:r>
                </w:p>
              </w:tc>
              <w:tc>
                <w:tcPr>
                  <w:tcW w:w="2013" w:type="pct"/>
                  <w:tcBorders>
                    <w:top w:val="nil"/>
                    <w:left w:val="nil"/>
                    <w:bottom w:val="nil"/>
                    <w:right w:val="nil"/>
                  </w:tcBorders>
                  <w:shd w:val="clear" w:color="auto" w:fill="auto"/>
                  <w:noWrap/>
                  <w:vAlign w:val="bottom"/>
                  <w:hideMark/>
                </w:tcPr>
                <w:p w14:paraId="4D090E78" w14:textId="77777777" w:rsidR="009C38E1" w:rsidRPr="00DF2323" w:rsidRDefault="009C38E1" w:rsidP="00BE0479">
                  <w:pPr>
                    <w:rPr>
                      <w:sz w:val="20"/>
                      <w:szCs w:val="20"/>
                    </w:rPr>
                  </w:pPr>
                  <w:r w:rsidRPr="00DF2323">
                    <w:rPr>
                      <w:sz w:val="20"/>
                      <w:szCs w:val="20"/>
                    </w:rPr>
                    <w:t>Tota-Col®</w:t>
                  </w:r>
                </w:p>
              </w:tc>
            </w:tr>
            <w:tr w:rsidR="009C38E1" w:rsidRPr="00DF2323" w14:paraId="3C0F8004" w14:textId="77777777" w:rsidTr="00BE0479">
              <w:trPr>
                <w:trHeight w:val="270"/>
              </w:trPr>
              <w:tc>
                <w:tcPr>
                  <w:tcW w:w="1529" w:type="pct"/>
                  <w:tcBorders>
                    <w:top w:val="nil"/>
                    <w:left w:val="nil"/>
                    <w:bottom w:val="nil"/>
                    <w:right w:val="nil"/>
                  </w:tcBorders>
                  <w:shd w:val="clear" w:color="auto" w:fill="auto"/>
                  <w:noWrap/>
                  <w:vAlign w:val="bottom"/>
                  <w:hideMark/>
                </w:tcPr>
                <w:p w14:paraId="29C7CBD0" w14:textId="77777777" w:rsidR="009C38E1" w:rsidRPr="00DF2323" w:rsidRDefault="009C38E1" w:rsidP="00BE0479">
                  <w:pPr>
                    <w:rPr>
                      <w:sz w:val="20"/>
                      <w:szCs w:val="20"/>
                    </w:rPr>
                  </w:pPr>
                  <w:r w:rsidRPr="00DF2323">
                    <w:rPr>
                      <w:sz w:val="20"/>
                      <w:szCs w:val="20"/>
                    </w:rPr>
                    <w:t>Efoxon®</w:t>
                  </w:r>
                </w:p>
              </w:tc>
              <w:tc>
                <w:tcPr>
                  <w:tcW w:w="1457" w:type="pct"/>
                  <w:tcBorders>
                    <w:top w:val="nil"/>
                    <w:left w:val="nil"/>
                    <w:bottom w:val="nil"/>
                    <w:right w:val="nil"/>
                  </w:tcBorders>
                  <w:shd w:val="clear" w:color="auto" w:fill="auto"/>
                  <w:noWrap/>
                  <w:vAlign w:val="bottom"/>
                  <w:hideMark/>
                </w:tcPr>
                <w:p w14:paraId="70E2AEF8" w14:textId="77777777" w:rsidR="009C38E1" w:rsidRPr="00DF2323" w:rsidRDefault="009C38E1" w:rsidP="00BE0479">
                  <w:pPr>
                    <w:rPr>
                      <w:sz w:val="20"/>
                      <w:szCs w:val="20"/>
                    </w:rPr>
                  </w:pPr>
                  <w:r w:rsidRPr="00DF2323">
                    <w:rPr>
                      <w:sz w:val="20"/>
                      <w:szCs w:val="20"/>
                    </w:rPr>
                    <w:t>Preeglone®</w:t>
                  </w:r>
                </w:p>
              </w:tc>
              <w:tc>
                <w:tcPr>
                  <w:tcW w:w="2013" w:type="pct"/>
                  <w:tcBorders>
                    <w:top w:val="nil"/>
                    <w:left w:val="nil"/>
                    <w:bottom w:val="nil"/>
                    <w:right w:val="nil"/>
                  </w:tcBorders>
                  <w:shd w:val="clear" w:color="auto" w:fill="auto"/>
                  <w:noWrap/>
                  <w:vAlign w:val="bottom"/>
                  <w:hideMark/>
                </w:tcPr>
                <w:p w14:paraId="435F5A14" w14:textId="77777777" w:rsidR="009C38E1" w:rsidRPr="00DF2323" w:rsidRDefault="009C38E1" w:rsidP="00BE0479">
                  <w:pPr>
                    <w:rPr>
                      <w:sz w:val="20"/>
                      <w:szCs w:val="20"/>
                    </w:rPr>
                  </w:pPr>
                </w:p>
              </w:tc>
            </w:tr>
            <w:tr w:rsidR="009C38E1" w:rsidRPr="00DF2323" w14:paraId="0DE03A22" w14:textId="77777777" w:rsidTr="00BE0479">
              <w:trPr>
                <w:trHeight w:val="270"/>
              </w:trPr>
              <w:tc>
                <w:tcPr>
                  <w:tcW w:w="1529" w:type="pct"/>
                  <w:tcBorders>
                    <w:top w:val="nil"/>
                    <w:left w:val="nil"/>
                    <w:bottom w:val="nil"/>
                    <w:right w:val="nil"/>
                  </w:tcBorders>
                  <w:shd w:val="clear" w:color="auto" w:fill="auto"/>
                  <w:noWrap/>
                  <w:vAlign w:val="bottom"/>
                  <w:hideMark/>
                </w:tcPr>
                <w:p w14:paraId="39AEEF9F" w14:textId="77777777" w:rsidR="009C38E1" w:rsidRPr="00DF2323" w:rsidRDefault="009C38E1" w:rsidP="00BE0479">
                  <w:pPr>
                    <w:rPr>
                      <w:sz w:val="20"/>
                      <w:szCs w:val="20"/>
                    </w:rPr>
                  </w:pPr>
                  <w:r w:rsidRPr="00DF2323">
                    <w:rPr>
                      <w:sz w:val="20"/>
                      <w:szCs w:val="20"/>
                    </w:rPr>
                    <w:t>Goldquat®</w:t>
                  </w:r>
                </w:p>
              </w:tc>
              <w:tc>
                <w:tcPr>
                  <w:tcW w:w="1457" w:type="pct"/>
                  <w:tcBorders>
                    <w:top w:val="nil"/>
                    <w:left w:val="nil"/>
                    <w:bottom w:val="nil"/>
                    <w:right w:val="nil"/>
                  </w:tcBorders>
                  <w:shd w:val="clear" w:color="auto" w:fill="auto"/>
                  <w:noWrap/>
                  <w:vAlign w:val="bottom"/>
                  <w:hideMark/>
                </w:tcPr>
                <w:p w14:paraId="072B7C42" w14:textId="77777777" w:rsidR="009C38E1" w:rsidRPr="00DF2323" w:rsidRDefault="009C38E1" w:rsidP="00BE0479">
                  <w:pPr>
                    <w:rPr>
                      <w:sz w:val="20"/>
                      <w:szCs w:val="20"/>
                    </w:rPr>
                  </w:pPr>
                  <w:r w:rsidRPr="00DF2323">
                    <w:rPr>
                      <w:sz w:val="20"/>
                      <w:szCs w:val="20"/>
                    </w:rPr>
                    <w:t>Seccatuto®</w:t>
                  </w:r>
                </w:p>
              </w:tc>
              <w:tc>
                <w:tcPr>
                  <w:tcW w:w="2013" w:type="pct"/>
                  <w:tcBorders>
                    <w:top w:val="nil"/>
                    <w:left w:val="nil"/>
                    <w:bottom w:val="nil"/>
                    <w:right w:val="nil"/>
                  </w:tcBorders>
                  <w:shd w:val="clear" w:color="auto" w:fill="auto"/>
                  <w:noWrap/>
                  <w:vAlign w:val="bottom"/>
                  <w:hideMark/>
                </w:tcPr>
                <w:p w14:paraId="2A4AAD1F" w14:textId="77777777" w:rsidR="009C38E1" w:rsidRPr="00DF2323" w:rsidRDefault="009C38E1" w:rsidP="00BE0479">
                  <w:pPr>
                    <w:rPr>
                      <w:sz w:val="20"/>
                      <w:szCs w:val="20"/>
                    </w:rPr>
                  </w:pPr>
                </w:p>
              </w:tc>
            </w:tr>
            <w:tr w:rsidR="009C38E1" w:rsidRPr="00DF2323" w14:paraId="5CE10E32" w14:textId="77777777" w:rsidTr="00BE0479">
              <w:trPr>
                <w:trHeight w:val="270"/>
              </w:trPr>
              <w:tc>
                <w:tcPr>
                  <w:tcW w:w="1529" w:type="pct"/>
                  <w:tcBorders>
                    <w:top w:val="nil"/>
                    <w:left w:val="nil"/>
                    <w:bottom w:val="nil"/>
                    <w:right w:val="nil"/>
                  </w:tcBorders>
                  <w:shd w:val="clear" w:color="auto" w:fill="auto"/>
                  <w:noWrap/>
                  <w:vAlign w:val="bottom"/>
                  <w:hideMark/>
                </w:tcPr>
                <w:p w14:paraId="6E22E2D8" w14:textId="77777777" w:rsidR="009C38E1" w:rsidRPr="00DF2323" w:rsidRDefault="009C38E1" w:rsidP="00BE0479">
                  <w:pPr>
                    <w:rPr>
                      <w:sz w:val="20"/>
                      <w:szCs w:val="20"/>
                    </w:rPr>
                  </w:pPr>
                  <w:r w:rsidRPr="00DF2323">
                    <w:rPr>
                      <w:sz w:val="20"/>
                      <w:szCs w:val="20"/>
                    </w:rPr>
                    <w:t>Herbaxon®</w:t>
                  </w:r>
                </w:p>
              </w:tc>
              <w:tc>
                <w:tcPr>
                  <w:tcW w:w="1457" w:type="pct"/>
                  <w:tcBorders>
                    <w:top w:val="nil"/>
                    <w:left w:val="nil"/>
                    <w:bottom w:val="nil"/>
                    <w:right w:val="nil"/>
                  </w:tcBorders>
                  <w:shd w:val="clear" w:color="auto" w:fill="auto"/>
                  <w:noWrap/>
                  <w:vAlign w:val="bottom"/>
                  <w:hideMark/>
                </w:tcPr>
                <w:p w14:paraId="4B657706" w14:textId="77777777" w:rsidR="009C38E1" w:rsidRPr="00DF2323" w:rsidRDefault="009C38E1" w:rsidP="00BE0479">
                  <w:pPr>
                    <w:rPr>
                      <w:sz w:val="20"/>
                      <w:szCs w:val="20"/>
                    </w:rPr>
                  </w:pPr>
                  <w:r w:rsidRPr="00DF2323">
                    <w:rPr>
                      <w:sz w:val="20"/>
                      <w:szCs w:val="20"/>
                    </w:rPr>
                    <w:t xml:space="preserve">Weedol® </w:t>
                  </w:r>
                </w:p>
              </w:tc>
              <w:tc>
                <w:tcPr>
                  <w:tcW w:w="2013" w:type="pct"/>
                  <w:tcBorders>
                    <w:top w:val="nil"/>
                    <w:left w:val="nil"/>
                    <w:bottom w:val="nil"/>
                    <w:right w:val="nil"/>
                  </w:tcBorders>
                  <w:shd w:val="clear" w:color="auto" w:fill="auto"/>
                  <w:noWrap/>
                  <w:vAlign w:val="bottom"/>
                  <w:hideMark/>
                </w:tcPr>
                <w:p w14:paraId="0E93F314" w14:textId="77777777" w:rsidR="009C38E1" w:rsidRPr="00DF2323" w:rsidRDefault="009C38E1" w:rsidP="00BE0479">
                  <w:pPr>
                    <w:rPr>
                      <w:sz w:val="20"/>
                      <w:szCs w:val="20"/>
                    </w:rPr>
                  </w:pPr>
                </w:p>
              </w:tc>
            </w:tr>
            <w:tr w:rsidR="009C38E1" w:rsidRPr="00DF2323" w14:paraId="70C150A0" w14:textId="77777777" w:rsidTr="00BE0479">
              <w:trPr>
                <w:trHeight w:val="270"/>
              </w:trPr>
              <w:tc>
                <w:tcPr>
                  <w:tcW w:w="1529" w:type="pct"/>
                  <w:tcBorders>
                    <w:top w:val="nil"/>
                    <w:left w:val="nil"/>
                    <w:bottom w:val="nil"/>
                    <w:right w:val="nil"/>
                  </w:tcBorders>
                  <w:shd w:val="clear" w:color="auto" w:fill="auto"/>
                  <w:noWrap/>
                  <w:vAlign w:val="bottom"/>
                  <w:hideMark/>
                </w:tcPr>
                <w:p w14:paraId="40EA7C64" w14:textId="77777777" w:rsidR="009C38E1" w:rsidRPr="00DF2323" w:rsidRDefault="009C38E1" w:rsidP="00BE0479">
                  <w:pPr>
                    <w:rPr>
                      <w:sz w:val="20"/>
                      <w:szCs w:val="20"/>
                    </w:rPr>
                  </w:pPr>
                  <w:r w:rsidRPr="00DF2323">
                    <w:rPr>
                      <w:sz w:val="20"/>
                      <w:szCs w:val="20"/>
                    </w:rPr>
                    <w:t>Herbikill®</w:t>
                  </w:r>
                </w:p>
              </w:tc>
              <w:tc>
                <w:tcPr>
                  <w:tcW w:w="1457" w:type="pct"/>
                  <w:tcBorders>
                    <w:top w:val="nil"/>
                    <w:left w:val="nil"/>
                    <w:bottom w:val="nil"/>
                    <w:right w:val="nil"/>
                  </w:tcBorders>
                  <w:shd w:val="clear" w:color="auto" w:fill="auto"/>
                  <w:noWrap/>
                  <w:vAlign w:val="bottom"/>
                  <w:hideMark/>
                </w:tcPr>
                <w:p w14:paraId="7EB2D533" w14:textId="77777777" w:rsidR="009C38E1" w:rsidRPr="00DF2323" w:rsidRDefault="009C38E1" w:rsidP="00BE0479">
                  <w:pPr>
                    <w:rPr>
                      <w:sz w:val="20"/>
                      <w:szCs w:val="20"/>
                    </w:rPr>
                  </w:pPr>
                  <w:r w:rsidRPr="00DF2323">
                    <w:rPr>
                      <w:sz w:val="20"/>
                      <w:szCs w:val="20"/>
                    </w:rPr>
                    <w:t>Spray Seed®</w:t>
                  </w:r>
                </w:p>
              </w:tc>
              <w:tc>
                <w:tcPr>
                  <w:tcW w:w="2013" w:type="pct"/>
                  <w:tcBorders>
                    <w:top w:val="nil"/>
                    <w:left w:val="nil"/>
                    <w:bottom w:val="nil"/>
                    <w:right w:val="nil"/>
                  </w:tcBorders>
                  <w:shd w:val="clear" w:color="auto" w:fill="auto"/>
                  <w:noWrap/>
                  <w:vAlign w:val="bottom"/>
                  <w:hideMark/>
                </w:tcPr>
                <w:p w14:paraId="2DAA13AB" w14:textId="77777777" w:rsidR="009C38E1" w:rsidRPr="00DF2323" w:rsidRDefault="009C38E1" w:rsidP="00BE0479">
                  <w:pPr>
                    <w:rPr>
                      <w:sz w:val="20"/>
                      <w:szCs w:val="20"/>
                    </w:rPr>
                  </w:pPr>
                </w:p>
              </w:tc>
            </w:tr>
            <w:tr w:rsidR="009C38E1" w:rsidRPr="00DF2323" w14:paraId="01000B19" w14:textId="77777777" w:rsidTr="00BE0479">
              <w:trPr>
                <w:trHeight w:val="270"/>
              </w:trPr>
              <w:tc>
                <w:tcPr>
                  <w:tcW w:w="1529" w:type="pct"/>
                  <w:tcBorders>
                    <w:top w:val="nil"/>
                    <w:left w:val="nil"/>
                    <w:bottom w:val="nil"/>
                    <w:right w:val="nil"/>
                  </w:tcBorders>
                  <w:shd w:val="clear" w:color="auto" w:fill="auto"/>
                  <w:noWrap/>
                  <w:vAlign w:val="bottom"/>
                  <w:hideMark/>
                </w:tcPr>
                <w:p w14:paraId="433EEB3B" w14:textId="77777777" w:rsidR="009C38E1" w:rsidRPr="00DF2323" w:rsidRDefault="009C38E1" w:rsidP="00BE0479">
                  <w:pPr>
                    <w:rPr>
                      <w:sz w:val="20"/>
                      <w:szCs w:val="20"/>
                    </w:rPr>
                  </w:pPr>
                  <w:r w:rsidRPr="00DF2323">
                    <w:rPr>
                      <w:sz w:val="20"/>
                      <w:szCs w:val="20"/>
                    </w:rPr>
                    <w:t>Gramoxone®</w:t>
                  </w:r>
                </w:p>
              </w:tc>
              <w:tc>
                <w:tcPr>
                  <w:tcW w:w="1457" w:type="pct"/>
                  <w:tcBorders>
                    <w:top w:val="nil"/>
                    <w:left w:val="nil"/>
                    <w:bottom w:val="nil"/>
                    <w:right w:val="nil"/>
                  </w:tcBorders>
                  <w:shd w:val="clear" w:color="auto" w:fill="auto"/>
                  <w:noWrap/>
                  <w:vAlign w:val="bottom"/>
                  <w:hideMark/>
                </w:tcPr>
                <w:p w14:paraId="5FD31FDB"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417A0434" w14:textId="77777777" w:rsidR="009C38E1" w:rsidRPr="00DF2323" w:rsidRDefault="009C38E1" w:rsidP="00BE0479">
                  <w:pPr>
                    <w:rPr>
                      <w:sz w:val="20"/>
                      <w:szCs w:val="20"/>
                    </w:rPr>
                  </w:pPr>
                </w:p>
              </w:tc>
            </w:tr>
            <w:tr w:rsidR="009C38E1" w:rsidRPr="00DF2323" w14:paraId="43A02B2A" w14:textId="77777777" w:rsidTr="00BE0479">
              <w:trPr>
                <w:trHeight w:val="270"/>
              </w:trPr>
              <w:tc>
                <w:tcPr>
                  <w:tcW w:w="1529" w:type="pct"/>
                  <w:tcBorders>
                    <w:top w:val="nil"/>
                    <w:left w:val="nil"/>
                    <w:bottom w:val="nil"/>
                    <w:right w:val="nil"/>
                  </w:tcBorders>
                  <w:shd w:val="clear" w:color="auto" w:fill="auto"/>
                  <w:noWrap/>
                  <w:vAlign w:val="bottom"/>
                  <w:hideMark/>
                </w:tcPr>
                <w:p w14:paraId="79B66724" w14:textId="77777777" w:rsidR="009C38E1" w:rsidRPr="00DF2323" w:rsidRDefault="009C38E1" w:rsidP="00BE0479">
                  <w:pPr>
                    <w:rPr>
                      <w:sz w:val="20"/>
                      <w:szCs w:val="20"/>
                    </w:rPr>
                  </w:pPr>
                  <w:r w:rsidRPr="00DF2323">
                    <w:rPr>
                      <w:sz w:val="20"/>
                      <w:szCs w:val="20"/>
                    </w:rPr>
                    <w:t>Katalon®</w:t>
                  </w:r>
                </w:p>
              </w:tc>
              <w:tc>
                <w:tcPr>
                  <w:tcW w:w="1457" w:type="pct"/>
                  <w:tcBorders>
                    <w:top w:val="nil"/>
                    <w:left w:val="nil"/>
                    <w:bottom w:val="nil"/>
                    <w:right w:val="nil"/>
                  </w:tcBorders>
                  <w:shd w:val="clear" w:color="auto" w:fill="auto"/>
                  <w:noWrap/>
                  <w:vAlign w:val="bottom"/>
                  <w:hideMark/>
                </w:tcPr>
                <w:p w14:paraId="659FBE99"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3C5FD5F7" w14:textId="77777777" w:rsidR="009C38E1" w:rsidRPr="00DF2323" w:rsidRDefault="009C38E1" w:rsidP="00BE0479">
                  <w:pPr>
                    <w:rPr>
                      <w:sz w:val="20"/>
                      <w:szCs w:val="20"/>
                    </w:rPr>
                  </w:pPr>
                </w:p>
              </w:tc>
            </w:tr>
            <w:tr w:rsidR="009C38E1" w:rsidRPr="00DF2323" w14:paraId="65DFFD10" w14:textId="77777777" w:rsidTr="00BE0479">
              <w:trPr>
                <w:trHeight w:val="270"/>
              </w:trPr>
              <w:tc>
                <w:tcPr>
                  <w:tcW w:w="1529" w:type="pct"/>
                  <w:tcBorders>
                    <w:top w:val="nil"/>
                    <w:left w:val="nil"/>
                    <w:bottom w:val="nil"/>
                    <w:right w:val="nil"/>
                  </w:tcBorders>
                  <w:shd w:val="clear" w:color="auto" w:fill="auto"/>
                  <w:noWrap/>
                  <w:vAlign w:val="bottom"/>
                  <w:hideMark/>
                </w:tcPr>
                <w:p w14:paraId="72A4BA34" w14:textId="77777777" w:rsidR="009C38E1" w:rsidRPr="00DF2323" w:rsidRDefault="009C38E1" w:rsidP="00BE0479">
                  <w:pPr>
                    <w:rPr>
                      <w:sz w:val="20"/>
                      <w:szCs w:val="20"/>
                    </w:rPr>
                  </w:pPr>
                  <w:r w:rsidRPr="00DF2323">
                    <w:rPr>
                      <w:sz w:val="20"/>
                      <w:szCs w:val="20"/>
                    </w:rPr>
                    <w:t>Osaquat®</w:t>
                  </w:r>
                </w:p>
              </w:tc>
              <w:tc>
                <w:tcPr>
                  <w:tcW w:w="1457" w:type="pct"/>
                  <w:tcBorders>
                    <w:top w:val="nil"/>
                    <w:left w:val="nil"/>
                    <w:bottom w:val="nil"/>
                    <w:right w:val="nil"/>
                  </w:tcBorders>
                  <w:shd w:val="clear" w:color="auto" w:fill="auto"/>
                  <w:noWrap/>
                  <w:vAlign w:val="bottom"/>
                  <w:hideMark/>
                </w:tcPr>
                <w:p w14:paraId="348855D3"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6D516015" w14:textId="77777777" w:rsidR="009C38E1" w:rsidRPr="00DF2323" w:rsidRDefault="009C38E1" w:rsidP="00BE0479">
                  <w:pPr>
                    <w:rPr>
                      <w:sz w:val="20"/>
                      <w:szCs w:val="20"/>
                    </w:rPr>
                  </w:pPr>
                </w:p>
              </w:tc>
            </w:tr>
            <w:tr w:rsidR="009C38E1" w:rsidRPr="00DF2323" w14:paraId="0AC7F6D4" w14:textId="77777777" w:rsidTr="00BE0479">
              <w:trPr>
                <w:trHeight w:val="270"/>
              </w:trPr>
              <w:tc>
                <w:tcPr>
                  <w:tcW w:w="1529" w:type="pct"/>
                  <w:tcBorders>
                    <w:top w:val="nil"/>
                    <w:left w:val="nil"/>
                    <w:bottom w:val="nil"/>
                    <w:right w:val="nil"/>
                  </w:tcBorders>
                  <w:shd w:val="clear" w:color="auto" w:fill="auto"/>
                  <w:noWrap/>
                  <w:vAlign w:val="bottom"/>
                  <w:hideMark/>
                </w:tcPr>
                <w:p w14:paraId="5CFC3D55" w14:textId="77777777" w:rsidR="009C38E1" w:rsidRPr="00DF2323" w:rsidRDefault="009C38E1" w:rsidP="00BE0479">
                  <w:pPr>
                    <w:rPr>
                      <w:sz w:val="20"/>
                      <w:szCs w:val="20"/>
                    </w:rPr>
                  </w:pPr>
                  <w:r w:rsidRPr="00DF2323">
                    <w:rPr>
                      <w:sz w:val="20"/>
                      <w:szCs w:val="20"/>
                    </w:rPr>
                    <w:t>Parakill®</w:t>
                  </w:r>
                </w:p>
              </w:tc>
              <w:tc>
                <w:tcPr>
                  <w:tcW w:w="1457" w:type="pct"/>
                  <w:tcBorders>
                    <w:top w:val="nil"/>
                    <w:left w:val="nil"/>
                    <w:bottom w:val="nil"/>
                    <w:right w:val="nil"/>
                  </w:tcBorders>
                  <w:shd w:val="clear" w:color="auto" w:fill="auto"/>
                  <w:noWrap/>
                  <w:vAlign w:val="bottom"/>
                  <w:hideMark/>
                </w:tcPr>
                <w:p w14:paraId="53C9BCA5"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7D56ECD1" w14:textId="77777777" w:rsidR="009C38E1" w:rsidRPr="00DF2323" w:rsidRDefault="009C38E1" w:rsidP="00BE0479">
                  <w:pPr>
                    <w:rPr>
                      <w:sz w:val="20"/>
                      <w:szCs w:val="20"/>
                    </w:rPr>
                  </w:pPr>
                </w:p>
              </w:tc>
            </w:tr>
            <w:tr w:rsidR="009C38E1" w:rsidRPr="00DF2323" w14:paraId="4A917AE2" w14:textId="77777777" w:rsidTr="00BE0479">
              <w:trPr>
                <w:trHeight w:val="270"/>
              </w:trPr>
              <w:tc>
                <w:tcPr>
                  <w:tcW w:w="1529" w:type="pct"/>
                  <w:tcBorders>
                    <w:top w:val="nil"/>
                    <w:left w:val="nil"/>
                    <w:bottom w:val="nil"/>
                    <w:right w:val="nil"/>
                  </w:tcBorders>
                  <w:shd w:val="clear" w:color="auto" w:fill="auto"/>
                  <w:noWrap/>
                  <w:vAlign w:val="bottom"/>
                  <w:hideMark/>
                </w:tcPr>
                <w:p w14:paraId="3454E1E2" w14:textId="77777777" w:rsidR="009C38E1" w:rsidRPr="00DF2323" w:rsidRDefault="009C38E1" w:rsidP="00BE0479">
                  <w:pPr>
                    <w:rPr>
                      <w:sz w:val="20"/>
                      <w:szCs w:val="20"/>
                    </w:rPr>
                  </w:pPr>
                  <w:r w:rsidRPr="00DF2323">
                    <w:rPr>
                      <w:sz w:val="20"/>
                      <w:szCs w:val="20"/>
                    </w:rPr>
                    <w:t>Pilarxone®</w:t>
                  </w:r>
                </w:p>
              </w:tc>
              <w:tc>
                <w:tcPr>
                  <w:tcW w:w="1457" w:type="pct"/>
                  <w:tcBorders>
                    <w:top w:val="nil"/>
                    <w:left w:val="nil"/>
                    <w:bottom w:val="nil"/>
                    <w:right w:val="nil"/>
                  </w:tcBorders>
                  <w:shd w:val="clear" w:color="auto" w:fill="auto"/>
                  <w:noWrap/>
                  <w:vAlign w:val="bottom"/>
                  <w:hideMark/>
                </w:tcPr>
                <w:p w14:paraId="376A5DCA"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069CDB30" w14:textId="77777777" w:rsidR="009C38E1" w:rsidRPr="00DF2323" w:rsidRDefault="009C38E1" w:rsidP="00BE0479">
                  <w:pPr>
                    <w:rPr>
                      <w:sz w:val="20"/>
                      <w:szCs w:val="20"/>
                    </w:rPr>
                  </w:pPr>
                </w:p>
              </w:tc>
            </w:tr>
            <w:tr w:rsidR="009C38E1" w:rsidRPr="00DF2323" w14:paraId="5165540E" w14:textId="77777777" w:rsidTr="00BE0479">
              <w:trPr>
                <w:trHeight w:val="270"/>
              </w:trPr>
              <w:tc>
                <w:tcPr>
                  <w:tcW w:w="1529" w:type="pct"/>
                  <w:tcBorders>
                    <w:top w:val="nil"/>
                    <w:left w:val="nil"/>
                    <w:bottom w:val="nil"/>
                    <w:right w:val="nil"/>
                  </w:tcBorders>
                  <w:shd w:val="clear" w:color="auto" w:fill="auto"/>
                  <w:noWrap/>
                  <w:vAlign w:val="bottom"/>
                  <w:hideMark/>
                </w:tcPr>
                <w:p w14:paraId="4A23FDA7" w14:textId="77777777" w:rsidR="009C38E1" w:rsidRPr="00DF2323" w:rsidRDefault="009C38E1" w:rsidP="00BE0479">
                  <w:pPr>
                    <w:rPr>
                      <w:sz w:val="20"/>
                      <w:szCs w:val="20"/>
                    </w:rPr>
                  </w:pPr>
                  <w:r w:rsidRPr="00DF2323">
                    <w:rPr>
                      <w:sz w:val="20"/>
                      <w:szCs w:val="20"/>
                    </w:rPr>
                    <w:t>Plusquat®</w:t>
                  </w:r>
                </w:p>
              </w:tc>
              <w:tc>
                <w:tcPr>
                  <w:tcW w:w="1457" w:type="pct"/>
                  <w:tcBorders>
                    <w:top w:val="nil"/>
                    <w:left w:val="nil"/>
                    <w:bottom w:val="nil"/>
                    <w:right w:val="nil"/>
                  </w:tcBorders>
                  <w:shd w:val="clear" w:color="auto" w:fill="auto"/>
                  <w:noWrap/>
                  <w:vAlign w:val="bottom"/>
                  <w:hideMark/>
                </w:tcPr>
                <w:p w14:paraId="61C6C96E"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222A7208" w14:textId="77777777" w:rsidR="009C38E1" w:rsidRPr="00DF2323" w:rsidRDefault="009C38E1" w:rsidP="00BE0479">
                  <w:pPr>
                    <w:rPr>
                      <w:sz w:val="20"/>
                      <w:szCs w:val="20"/>
                    </w:rPr>
                  </w:pPr>
                </w:p>
              </w:tc>
            </w:tr>
            <w:tr w:rsidR="009C38E1" w:rsidRPr="00DF2323" w14:paraId="096B95CA" w14:textId="77777777" w:rsidTr="00BE0479">
              <w:trPr>
                <w:trHeight w:val="270"/>
              </w:trPr>
              <w:tc>
                <w:tcPr>
                  <w:tcW w:w="1529" w:type="pct"/>
                  <w:tcBorders>
                    <w:top w:val="nil"/>
                    <w:left w:val="nil"/>
                    <w:bottom w:val="nil"/>
                    <w:right w:val="nil"/>
                  </w:tcBorders>
                  <w:shd w:val="clear" w:color="auto" w:fill="auto"/>
                  <w:noWrap/>
                  <w:vAlign w:val="bottom"/>
                  <w:hideMark/>
                </w:tcPr>
                <w:p w14:paraId="37566AF0" w14:textId="77777777" w:rsidR="009C38E1" w:rsidRPr="00DF2323" w:rsidRDefault="009C38E1" w:rsidP="00BE0479">
                  <w:pPr>
                    <w:rPr>
                      <w:sz w:val="20"/>
                      <w:szCs w:val="20"/>
                    </w:rPr>
                  </w:pPr>
                  <w:r w:rsidRPr="00DF2323">
                    <w:rPr>
                      <w:sz w:val="20"/>
                      <w:szCs w:val="20"/>
                    </w:rPr>
                    <w:t>Priquat®</w:t>
                  </w:r>
                </w:p>
              </w:tc>
              <w:tc>
                <w:tcPr>
                  <w:tcW w:w="1457" w:type="pct"/>
                  <w:tcBorders>
                    <w:top w:val="nil"/>
                    <w:left w:val="nil"/>
                    <w:bottom w:val="nil"/>
                    <w:right w:val="nil"/>
                  </w:tcBorders>
                  <w:shd w:val="clear" w:color="auto" w:fill="auto"/>
                  <w:noWrap/>
                  <w:vAlign w:val="bottom"/>
                  <w:hideMark/>
                </w:tcPr>
                <w:p w14:paraId="09514877"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0E55B774" w14:textId="77777777" w:rsidR="009C38E1" w:rsidRPr="00DF2323" w:rsidRDefault="009C38E1" w:rsidP="00BE0479">
                  <w:pPr>
                    <w:rPr>
                      <w:sz w:val="20"/>
                      <w:szCs w:val="20"/>
                    </w:rPr>
                  </w:pPr>
                </w:p>
              </w:tc>
            </w:tr>
            <w:tr w:rsidR="009C38E1" w:rsidRPr="00DF2323" w14:paraId="1474BDE5" w14:textId="77777777" w:rsidTr="00BE0479">
              <w:trPr>
                <w:trHeight w:val="270"/>
              </w:trPr>
              <w:tc>
                <w:tcPr>
                  <w:tcW w:w="1529" w:type="pct"/>
                  <w:tcBorders>
                    <w:top w:val="nil"/>
                    <w:left w:val="nil"/>
                    <w:bottom w:val="nil"/>
                    <w:right w:val="nil"/>
                  </w:tcBorders>
                  <w:shd w:val="clear" w:color="auto" w:fill="auto"/>
                  <w:noWrap/>
                  <w:vAlign w:val="bottom"/>
                  <w:hideMark/>
                </w:tcPr>
                <w:p w14:paraId="7F5E2625" w14:textId="77777777" w:rsidR="009C38E1" w:rsidRPr="00DF2323" w:rsidRDefault="009C38E1" w:rsidP="00BE0479">
                  <w:pPr>
                    <w:rPr>
                      <w:sz w:val="20"/>
                      <w:szCs w:val="20"/>
                    </w:rPr>
                  </w:pPr>
                  <w:r w:rsidRPr="00DF2323">
                    <w:rPr>
                      <w:sz w:val="20"/>
                      <w:szCs w:val="20"/>
                    </w:rPr>
                    <w:t>R-Bix®</w:t>
                  </w:r>
                </w:p>
              </w:tc>
              <w:tc>
                <w:tcPr>
                  <w:tcW w:w="1457" w:type="pct"/>
                  <w:tcBorders>
                    <w:top w:val="nil"/>
                    <w:left w:val="nil"/>
                    <w:bottom w:val="nil"/>
                    <w:right w:val="nil"/>
                  </w:tcBorders>
                  <w:shd w:val="clear" w:color="auto" w:fill="auto"/>
                  <w:noWrap/>
                  <w:vAlign w:val="bottom"/>
                  <w:hideMark/>
                </w:tcPr>
                <w:p w14:paraId="59EA4962"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0C0E1CD5" w14:textId="77777777" w:rsidR="009C38E1" w:rsidRPr="00DF2323" w:rsidRDefault="009C38E1" w:rsidP="00BE0479">
                  <w:pPr>
                    <w:rPr>
                      <w:sz w:val="20"/>
                      <w:szCs w:val="20"/>
                    </w:rPr>
                  </w:pPr>
                </w:p>
              </w:tc>
            </w:tr>
            <w:tr w:rsidR="009C38E1" w:rsidRPr="00DF2323" w14:paraId="277A7DA8" w14:textId="77777777" w:rsidTr="00BE0479">
              <w:trPr>
                <w:trHeight w:val="270"/>
              </w:trPr>
              <w:tc>
                <w:tcPr>
                  <w:tcW w:w="1529" w:type="pct"/>
                  <w:tcBorders>
                    <w:top w:val="nil"/>
                    <w:left w:val="nil"/>
                    <w:bottom w:val="nil"/>
                    <w:right w:val="nil"/>
                  </w:tcBorders>
                  <w:shd w:val="clear" w:color="auto" w:fill="auto"/>
                  <w:noWrap/>
                  <w:vAlign w:val="bottom"/>
                  <w:hideMark/>
                </w:tcPr>
                <w:p w14:paraId="5DA5BB9A" w14:textId="77777777" w:rsidR="009C38E1" w:rsidRPr="00DF2323" w:rsidRDefault="009C38E1" w:rsidP="00BE0479">
                  <w:pPr>
                    <w:rPr>
                      <w:sz w:val="20"/>
                      <w:szCs w:val="20"/>
                    </w:rPr>
                  </w:pPr>
                </w:p>
              </w:tc>
              <w:tc>
                <w:tcPr>
                  <w:tcW w:w="1457" w:type="pct"/>
                  <w:tcBorders>
                    <w:top w:val="nil"/>
                    <w:left w:val="nil"/>
                    <w:bottom w:val="nil"/>
                    <w:right w:val="nil"/>
                  </w:tcBorders>
                  <w:shd w:val="clear" w:color="auto" w:fill="auto"/>
                  <w:noWrap/>
                  <w:vAlign w:val="bottom"/>
                  <w:hideMark/>
                </w:tcPr>
                <w:p w14:paraId="3A1AF2BD"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36DF16CD" w14:textId="77777777" w:rsidR="009C38E1" w:rsidRPr="00DF2323" w:rsidRDefault="009C38E1" w:rsidP="00BE0479">
                  <w:pPr>
                    <w:rPr>
                      <w:sz w:val="20"/>
                      <w:szCs w:val="20"/>
                    </w:rPr>
                  </w:pPr>
                </w:p>
              </w:tc>
            </w:tr>
            <w:tr w:rsidR="009C38E1" w:rsidRPr="00DF2323" w14:paraId="6B02D521" w14:textId="77777777" w:rsidTr="00BE0479">
              <w:trPr>
                <w:trHeight w:val="270"/>
              </w:trPr>
              <w:tc>
                <w:tcPr>
                  <w:tcW w:w="1529" w:type="pct"/>
                  <w:tcBorders>
                    <w:top w:val="nil"/>
                    <w:left w:val="nil"/>
                    <w:bottom w:val="nil"/>
                    <w:right w:val="nil"/>
                  </w:tcBorders>
                  <w:shd w:val="clear" w:color="auto" w:fill="auto"/>
                  <w:noWrap/>
                  <w:vAlign w:val="bottom"/>
                  <w:hideMark/>
                </w:tcPr>
                <w:p w14:paraId="21335EF0" w14:textId="77777777" w:rsidR="009C38E1" w:rsidRPr="00DF2323" w:rsidRDefault="009C38E1" w:rsidP="00BE0479">
                  <w:pPr>
                    <w:rPr>
                      <w:sz w:val="20"/>
                      <w:szCs w:val="20"/>
                    </w:rPr>
                  </w:pPr>
                  <w:r w:rsidRPr="00DF2323">
                    <w:rPr>
                      <w:sz w:val="20"/>
                      <w:szCs w:val="20"/>
                    </w:rPr>
                    <w:t>Speeder®</w:t>
                  </w:r>
                </w:p>
              </w:tc>
              <w:tc>
                <w:tcPr>
                  <w:tcW w:w="1457" w:type="pct"/>
                  <w:tcBorders>
                    <w:top w:val="nil"/>
                    <w:left w:val="nil"/>
                    <w:bottom w:val="nil"/>
                    <w:right w:val="nil"/>
                  </w:tcBorders>
                  <w:shd w:val="clear" w:color="auto" w:fill="auto"/>
                  <w:noWrap/>
                  <w:vAlign w:val="bottom"/>
                  <w:hideMark/>
                </w:tcPr>
                <w:p w14:paraId="4ACDECE9"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59068AAC" w14:textId="77777777" w:rsidR="009C38E1" w:rsidRPr="00DF2323" w:rsidRDefault="009C38E1" w:rsidP="00BE0479">
                  <w:pPr>
                    <w:rPr>
                      <w:sz w:val="20"/>
                      <w:szCs w:val="20"/>
                    </w:rPr>
                  </w:pPr>
                </w:p>
              </w:tc>
            </w:tr>
            <w:tr w:rsidR="009C38E1" w:rsidRPr="00DF2323" w14:paraId="439DECF8" w14:textId="77777777" w:rsidTr="00BE0479">
              <w:trPr>
                <w:trHeight w:val="270"/>
              </w:trPr>
              <w:tc>
                <w:tcPr>
                  <w:tcW w:w="1529" w:type="pct"/>
                  <w:tcBorders>
                    <w:top w:val="nil"/>
                    <w:left w:val="nil"/>
                    <w:bottom w:val="nil"/>
                    <w:right w:val="nil"/>
                  </w:tcBorders>
                  <w:shd w:val="clear" w:color="auto" w:fill="auto"/>
                  <w:noWrap/>
                  <w:vAlign w:val="bottom"/>
                  <w:hideMark/>
                </w:tcPr>
                <w:p w14:paraId="66B73B5D" w14:textId="77777777" w:rsidR="009C38E1" w:rsidRPr="00DF2323" w:rsidRDefault="009C38E1" w:rsidP="00BE0479">
                  <w:pPr>
                    <w:rPr>
                      <w:sz w:val="20"/>
                      <w:szCs w:val="20"/>
                    </w:rPr>
                  </w:pPr>
                  <w:r w:rsidRPr="00DF2323">
                    <w:rPr>
                      <w:sz w:val="20"/>
                      <w:szCs w:val="20"/>
                    </w:rPr>
                    <w:t>Speedway®</w:t>
                  </w:r>
                </w:p>
              </w:tc>
              <w:tc>
                <w:tcPr>
                  <w:tcW w:w="1457" w:type="pct"/>
                  <w:tcBorders>
                    <w:top w:val="nil"/>
                    <w:left w:val="nil"/>
                    <w:bottom w:val="nil"/>
                    <w:right w:val="nil"/>
                  </w:tcBorders>
                  <w:shd w:val="clear" w:color="auto" w:fill="auto"/>
                  <w:noWrap/>
                  <w:vAlign w:val="bottom"/>
                  <w:hideMark/>
                </w:tcPr>
                <w:p w14:paraId="1E6D39AD"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5F4A61FC" w14:textId="77777777" w:rsidR="009C38E1" w:rsidRPr="00DF2323" w:rsidRDefault="009C38E1" w:rsidP="00BE0479">
                  <w:pPr>
                    <w:rPr>
                      <w:sz w:val="20"/>
                      <w:szCs w:val="20"/>
                    </w:rPr>
                  </w:pPr>
                </w:p>
              </w:tc>
            </w:tr>
            <w:tr w:rsidR="009C38E1" w:rsidRPr="00DF2323" w14:paraId="08C21209" w14:textId="77777777" w:rsidTr="00BE0479">
              <w:trPr>
                <w:trHeight w:val="270"/>
              </w:trPr>
              <w:tc>
                <w:tcPr>
                  <w:tcW w:w="1529" w:type="pct"/>
                  <w:tcBorders>
                    <w:top w:val="nil"/>
                    <w:left w:val="nil"/>
                    <w:bottom w:val="nil"/>
                    <w:right w:val="nil"/>
                  </w:tcBorders>
                  <w:shd w:val="clear" w:color="auto" w:fill="auto"/>
                  <w:noWrap/>
                  <w:vAlign w:val="bottom"/>
                  <w:hideMark/>
                </w:tcPr>
                <w:p w14:paraId="1C98B991" w14:textId="77777777" w:rsidR="009C38E1" w:rsidRPr="00DF2323" w:rsidRDefault="009C38E1" w:rsidP="00BE0479">
                  <w:pPr>
                    <w:rPr>
                      <w:sz w:val="20"/>
                      <w:szCs w:val="20"/>
                    </w:rPr>
                  </w:pPr>
                  <w:r w:rsidRPr="00DF2323">
                    <w:rPr>
                      <w:sz w:val="20"/>
                      <w:szCs w:val="20"/>
                    </w:rPr>
                    <w:t>Starfire®</w:t>
                  </w:r>
                </w:p>
              </w:tc>
              <w:tc>
                <w:tcPr>
                  <w:tcW w:w="1457" w:type="pct"/>
                  <w:tcBorders>
                    <w:top w:val="nil"/>
                    <w:left w:val="nil"/>
                    <w:bottom w:val="nil"/>
                    <w:right w:val="nil"/>
                  </w:tcBorders>
                  <w:shd w:val="clear" w:color="auto" w:fill="auto"/>
                  <w:noWrap/>
                  <w:vAlign w:val="bottom"/>
                  <w:hideMark/>
                </w:tcPr>
                <w:p w14:paraId="2A13B07E"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506689D2" w14:textId="77777777" w:rsidR="009C38E1" w:rsidRPr="00DF2323" w:rsidRDefault="009C38E1" w:rsidP="00BE0479">
                  <w:pPr>
                    <w:rPr>
                      <w:sz w:val="20"/>
                      <w:szCs w:val="20"/>
                    </w:rPr>
                  </w:pPr>
                </w:p>
              </w:tc>
            </w:tr>
            <w:tr w:rsidR="009C38E1" w:rsidRPr="00DF2323" w14:paraId="27FE428D" w14:textId="77777777" w:rsidTr="00BE0479">
              <w:trPr>
                <w:trHeight w:val="270"/>
              </w:trPr>
              <w:tc>
                <w:tcPr>
                  <w:tcW w:w="1529" w:type="pct"/>
                  <w:tcBorders>
                    <w:top w:val="nil"/>
                    <w:left w:val="nil"/>
                    <w:bottom w:val="nil"/>
                    <w:right w:val="nil"/>
                  </w:tcBorders>
                  <w:shd w:val="clear" w:color="auto" w:fill="auto"/>
                  <w:noWrap/>
                  <w:vAlign w:val="bottom"/>
                  <w:hideMark/>
                </w:tcPr>
                <w:p w14:paraId="183AA775" w14:textId="77777777" w:rsidR="009C38E1" w:rsidRPr="00DF2323" w:rsidRDefault="009C38E1" w:rsidP="00BE0479">
                  <w:pPr>
                    <w:rPr>
                      <w:sz w:val="20"/>
                      <w:szCs w:val="20"/>
                    </w:rPr>
                  </w:pPr>
                  <w:r w:rsidRPr="00DF2323">
                    <w:rPr>
                      <w:sz w:val="20"/>
                      <w:szCs w:val="20"/>
                    </w:rPr>
                    <w:t>Sweep®</w:t>
                  </w:r>
                </w:p>
              </w:tc>
              <w:tc>
                <w:tcPr>
                  <w:tcW w:w="1457" w:type="pct"/>
                  <w:tcBorders>
                    <w:top w:val="nil"/>
                    <w:left w:val="nil"/>
                    <w:bottom w:val="nil"/>
                    <w:right w:val="nil"/>
                  </w:tcBorders>
                  <w:shd w:val="clear" w:color="auto" w:fill="auto"/>
                  <w:noWrap/>
                  <w:vAlign w:val="bottom"/>
                  <w:hideMark/>
                </w:tcPr>
                <w:p w14:paraId="1D36F239"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5FF72974" w14:textId="77777777" w:rsidR="009C38E1" w:rsidRPr="00DF2323" w:rsidRDefault="009C38E1" w:rsidP="00BE0479">
                  <w:pPr>
                    <w:rPr>
                      <w:sz w:val="20"/>
                      <w:szCs w:val="20"/>
                    </w:rPr>
                  </w:pPr>
                </w:p>
              </w:tc>
            </w:tr>
            <w:tr w:rsidR="009C38E1" w:rsidRPr="00DF2323" w14:paraId="446B1DED" w14:textId="77777777" w:rsidTr="00BE0479">
              <w:trPr>
                <w:trHeight w:val="270"/>
              </w:trPr>
              <w:tc>
                <w:tcPr>
                  <w:tcW w:w="1529" w:type="pct"/>
                  <w:tcBorders>
                    <w:top w:val="nil"/>
                    <w:left w:val="nil"/>
                    <w:bottom w:val="nil"/>
                    <w:right w:val="nil"/>
                  </w:tcBorders>
                  <w:shd w:val="clear" w:color="auto" w:fill="auto"/>
                  <w:noWrap/>
                  <w:vAlign w:val="bottom"/>
                  <w:hideMark/>
                </w:tcPr>
                <w:p w14:paraId="604BD4EA" w14:textId="77777777" w:rsidR="009C38E1" w:rsidRPr="00DF2323" w:rsidRDefault="009C38E1" w:rsidP="00BE0479">
                  <w:pPr>
                    <w:rPr>
                      <w:sz w:val="20"/>
                      <w:szCs w:val="20"/>
                    </w:rPr>
                  </w:pPr>
                  <w:r w:rsidRPr="00DF2323">
                    <w:rPr>
                      <w:sz w:val="20"/>
                      <w:szCs w:val="20"/>
                    </w:rPr>
                    <w:t>Total®</w:t>
                  </w:r>
                </w:p>
              </w:tc>
              <w:tc>
                <w:tcPr>
                  <w:tcW w:w="1457" w:type="pct"/>
                  <w:tcBorders>
                    <w:top w:val="nil"/>
                    <w:left w:val="nil"/>
                    <w:bottom w:val="nil"/>
                    <w:right w:val="nil"/>
                  </w:tcBorders>
                  <w:shd w:val="clear" w:color="auto" w:fill="auto"/>
                  <w:noWrap/>
                  <w:vAlign w:val="bottom"/>
                  <w:hideMark/>
                </w:tcPr>
                <w:p w14:paraId="58340FF7"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60555357" w14:textId="77777777" w:rsidR="009C38E1" w:rsidRPr="00DF2323" w:rsidRDefault="009C38E1" w:rsidP="00BE0479">
                  <w:pPr>
                    <w:rPr>
                      <w:sz w:val="20"/>
                      <w:szCs w:val="20"/>
                    </w:rPr>
                  </w:pPr>
                </w:p>
              </w:tc>
            </w:tr>
            <w:tr w:rsidR="009C38E1" w:rsidRPr="00DF2323" w14:paraId="63784C37" w14:textId="77777777" w:rsidTr="00BE0479">
              <w:trPr>
                <w:trHeight w:val="270"/>
              </w:trPr>
              <w:tc>
                <w:tcPr>
                  <w:tcW w:w="1529" w:type="pct"/>
                  <w:tcBorders>
                    <w:top w:val="nil"/>
                    <w:left w:val="nil"/>
                    <w:bottom w:val="nil"/>
                    <w:right w:val="nil"/>
                  </w:tcBorders>
                  <w:shd w:val="clear" w:color="auto" w:fill="auto"/>
                  <w:noWrap/>
                  <w:vAlign w:val="bottom"/>
                  <w:hideMark/>
                </w:tcPr>
                <w:p w14:paraId="192775F5" w14:textId="469AB60B" w:rsidR="009C38E1" w:rsidRPr="00DF2323" w:rsidRDefault="009C38E1" w:rsidP="008654BB">
                  <w:pPr>
                    <w:rPr>
                      <w:sz w:val="20"/>
                      <w:szCs w:val="20"/>
                    </w:rPr>
                  </w:pPr>
                  <w:r w:rsidRPr="00DF2323">
                    <w:rPr>
                      <w:sz w:val="20"/>
                      <w:szCs w:val="20"/>
                    </w:rPr>
                    <w:t>Weedless®</w:t>
                  </w:r>
                </w:p>
              </w:tc>
              <w:tc>
                <w:tcPr>
                  <w:tcW w:w="1457" w:type="pct"/>
                  <w:tcBorders>
                    <w:top w:val="nil"/>
                    <w:left w:val="nil"/>
                    <w:bottom w:val="nil"/>
                    <w:right w:val="nil"/>
                  </w:tcBorders>
                  <w:shd w:val="clear" w:color="auto" w:fill="auto"/>
                  <w:noWrap/>
                  <w:vAlign w:val="bottom"/>
                  <w:hideMark/>
                </w:tcPr>
                <w:p w14:paraId="19E4F48C" w14:textId="77777777" w:rsidR="009C38E1" w:rsidRPr="00DF2323" w:rsidRDefault="009C38E1" w:rsidP="00BE0479">
                  <w:pPr>
                    <w:rPr>
                      <w:sz w:val="20"/>
                      <w:szCs w:val="20"/>
                    </w:rPr>
                  </w:pPr>
                </w:p>
              </w:tc>
              <w:tc>
                <w:tcPr>
                  <w:tcW w:w="2013" w:type="pct"/>
                  <w:tcBorders>
                    <w:top w:val="nil"/>
                    <w:left w:val="nil"/>
                    <w:bottom w:val="nil"/>
                    <w:right w:val="nil"/>
                  </w:tcBorders>
                  <w:shd w:val="clear" w:color="auto" w:fill="auto"/>
                  <w:noWrap/>
                  <w:vAlign w:val="bottom"/>
                  <w:hideMark/>
                </w:tcPr>
                <w:p w14:paraId="7F866FB4" w14:textId="77777777" w:rsidR="009C38E1" w:rsidRPr="00DF2323" w:rsidRDefault="009C38E1" w:rsidP="00BE0479">
                  <w:pPr>
                    <w:rPr>
                      <w:sz w:val="20"/>
                      <w:szCs w:val="20"/>
                    </w:rPr>
                  </w:pPr>
                </w:p>
              </w:tc>
            </w:tr>
          </w:tbl>
          <w:p w14:paraId="1910D5B1" w14:textId="77777777" w:rsidR="009C38E1" w:rsidRPr="00DF2323" w:rsidRDefault="009C38E1" w:rsidP="00BE0479">
            <w:pPr>
              <w:rPr>
                <w:rFonts w:eastAsia="Times New Roman"/>
                <w:i/>
                <w:sz w:val="20"/>
                <w:szCs w:val="20"/>
                <w:lang w:eastAsia="en-US"/>
              </w:rPr>
            </w:pPr>
          </w:p>
          <w:p w14:paraId="35E29682" w14:textId="77777777" w:rsidR="009C38E1" w:rsidRPr="00DF2323" w:rsidRDefault="009C38E1" w:rsidP="008654BB">
            <w:pPr>
              <w:spacing w:after="80"/>
              <w:rPr>
                <w:sz w:val="20"/>
                <w:szCs w:val="20"/>
              </w:rPr>
            </w:pPr>
            <w:r w:rsidRPr="00DF2323">
              <w:rPr>
                <w:color w:val="000000"/>
                <w:sz w:val="20"/>
                <w:szCs w:val="20"/>
                <w:lang w:eastAsia="pl-PL"/>
              </w:rPr>
              <w:t>Additional</w:t>
            </w:r>
            <w:r w:rsidRPr="00DF2323">
              <w:rPr>
                <w:sz w:val="20"/>
                <w:szCs w:val="20"/>
              </w:rPr>
              <w:t xml:space="preserve"> trade names: Allquit</w:t>
            </w:r>
            <w:r w:rsidRPr="00DF2323">
              <w:rPr>
                <w:sz w:val="20"/>
                <w:szCs w:val="20"/>
                <w:vertAlign w:val="superscript"/>
              </w:rPr>
              <w:t>TM</w:t>
            </w:r>
            <w:r w:rsidRPr="00DF2323">
              <w:rPr>
                <w:sz w:val="20"/>
                <w:szCs w:val="20"/>
              </w:rPr>
              <w:t>, Boa® 250, Flash® Herbicide, Gramoxone Inteon®, Gramo, Gramosyn, Herbucsone, Milquat, Kapiq, Kataar,Parable™ 250 (discontinued product), ParaneX, Paraxzone, Horizon 250, Kuatout, Rainquat, Speedy 250, Synergy, Uniquat®, Parachlor 24, and Parable®.</w:t>
            </w:r>
          </w:p>
          <w:p w14:paraId="168CDDEF" w14:textId="455E0CF0" w:rsidR="009C38E1" w:rsidRPr="00DF2323" w:rsidRDefault="009C38E1" w:rsidP="00FA1EB2">
            <w:pPr>
              <w:spacing w:before="120" w:after="120"/>
              <w:rPr>
                <w:rFonts w:eastAsia="Times New Roman"/>
                <w:sz w:val="20"/>
                <w:szCs w:val="20"/>
                <w:lang w:eastAsia="en-US"/>
              </w:rPr>
            </w:pPr>
            <w:r w:rsidRPr="00DF2323">
              <w:rPr>
                <w:rFonts w:eastAsia="Times New Roman"/>
                <w:i/>
                <w:sz w:val="20"/>
                <w:szCs w:val="20"/>
                <w:lang w:eastAsia="en-US"/>
              </w:rPr>
              <w:t xml:space="preserve">This is an indicative list. It is not intended to be exhaustive. </w:t>
            </w:r>
          </w:p>
        </w:tc>
      </w:tr>
      <w:tr w:rsidR="009C38E1" w:rsidRPr="00DF2323" w14:paraId="3F4CC81D" w14:textId="77777777" w:rsidTr="00BE0479">
        <w:tblPrEx>
          <w:tblBorders>
            <w:top w:val="none" w:sz="0" w:space="0" w:color="auto"/>
            <w:left w:val="none" w:sz="0" w:space="0" w:color="auto"/>
            <w:bottom w:val="none" w:sz="0" w:space="0" w:color="auto"/>
            <w:right w:val="none" w:sz="0" w:space="0" w:color="auto"/>
          </w:tblBorders>
        </w:tblPrEx>
        <w:trPr>
          <w:trHeight w:val="651"/>
          <w:jc w:val="right"/>
        </w:trPr>
        <w:tc>
          <w:tcPr>
            <w:tcW w:w="2127" w:type="dxa"/>
            <w:gridSpan w:val="2"/>
          </w:tcPr>
          <w:p w14:paraId="454C7D91"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lastRenderedPageBreak/>
              <w:t>Formulation types</w:t>
            </w:r>
          </w:p>
        </w:tc>
        <w:tc>
          <w:tcPr>
            <w:tcW w:w="7371" w:type="dxa"/>
            <w:gridSpan w:val="2"/>
          </w:tcPr>
          <w:p w14:paraId="227A0CE1" w14:textId="77777777" w:rsidR="009C38E1" w:rsidRPr="00DF2323" w:rsidRDefault="009C38E1" w:rsidP="00BE0479">
            <w:pPr>
              <w:tabs>
                <w:tab w:val="left" w:pos="1005"/>
              </w:tabs>
              <w:rPr>
                <w:rFonts w:eastAsia="Times New Roman"/>
                <w:sz w:val="20"/>
                <w:szCs w:val="20"/>
                <w:lang w:eastAsia="en-US"/>
              </w:rPr>
            </w:pPr>
            <w:r w:rsidRPr="00DF2323">
              <w:rPr>
                <w:color w:val="000000"/>
                <w:sz w:val="20"/>
                <w:szCs w:val="20"/>
                <w:lang w:eastAsia="pl-PL"/>
              </w:rPr>
              <w:t>The main formulation types for paraquat are soluble concentrate (SL). Other formulation types are Suspension Concentrate (SC) and Water-Soluble Granule (SG) formulations.</w:t>
            </w:r>
          </w:p>
        </w:tc>
      </w:tr>
      <w:tr w:rsidR="009C38E1" w:rsidRPr="00DF2323" w14:paraId="2C170BE6"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7FA5D919"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Uses in other categories</w:t>
            </w:r>
          </w:p>
        </w:tc>
        <w:tc>
          <w:tcPr>
            <w:tcW w:w="7371" w:type="dxa"/>
            <w:gridSpan w:val="2"/>
          </w:tcPr>
          <w:p w14:paraId="7C38DA2E" w14:textId="660909E8" w:rsidR="009C38E1" w:rsidRPr="00DF2323" w:rsidRDefault="009C38E1" w:rsidP="00192E9F">
            <w:pPr>
              <w:spacing w:after="80"/>
              <w:rPr>
                <w:color w:val="000000"/>
                <w:sz w:val="20"/>
                <w:szCs w:val="20"/>
                <w:lang w:eastAsia="pl-PL"/>
              </w:rPr>
            </w:pPr>
            <w:r w:rsidRPr="00DF2323">
              <w:rPr>
                <w:color w:val="000000"/>
                <w:sz w:val="20"/>
                <w:szCs w:val="20"/>
                <w:lang w:eastAsia="pl-PL"/>
              </w:rPr>
              <w:t>There is no reported use as an industrial chemical.</w:t>
            </w:r>
          </w:p>
        </w:tc>
      </w:tr>
      <w:tr w:rsidR="009C38E1" w:rsidRPr="00DF2323" w14:paraId="5D4A7E7E" w14:textId="77777777" w:rsidTr="00BE0479">
        <w:tblPrEx>
          <w:tblBorders>
            <w:top w:val="none" w:sz="0" w:space="0" w:color="auto"/>
            <w:left w:val="none" w:sz="0" w:space="0" w:color="auto"/>
            <w:bottom w:val="none" w:sz="0" w:space="0" w:color="auto"/>
            <w:right w:val="none" w:sz="0" w:space="0" w:color="auto"/>
          </w:tblBorders>
        </w:tblPrEx>
        <w:trPr>
          <w:jc w:val="right"/>
        </w:trPr>
        <w:tc>
          <w:tcPr>
            <w:tcW w:w="2127" w:type="dxa"/>
            <w:gridSpan w:val="2"/>
          </w:tcPr>
          <w:p w14:paraId="0B3053B2" w14:textId="77777777" w:rsidR="009C38E1" w:rsidRPr="00DF2323" w:rsidRDefault="009C38E1" w:rsidP="00BE0479">
            <w:pPr>
              <w:outlineLvl w:val="2"/>
              <w:rPr>
                <w:rFonts w:eastAsia="Times New Roman"/>
                <w:b/>
                <w:bCs/>
                <w:sz w:val="20"/>
                <w:szCs w:val="20"/>
                <w:lang w:eastAsia="en-US"/>
              </w:rPr>
            </w:pPr>
            <w:r w:rsidRPr="00DF2323">
              <w:rPr>
                <w:rFonts w:eastAsia="Times New Roman"/>
                <w:b/>
                <w:bCs/>
                <w:sz w:val="20"/>
                <w:szCs w:val="20"/>
                <w:lang w:eastAsia="en-US"/>
              </w:rPr>
              <w:t>Basic manufacturers</w:t>
            </w:r>
          </w:p>
        </w:tc>
        <w:tc>
          <w:tcPr>
            <w:tcW w:w="7371" w:type="dxa"/>
            <w:gridSpan w:val="2"/>
          </w:tcPr>
          <w:p w14:paraId="58077EAC" w14:textId="77777777" w:rsidR="009C38E1" w:rsidRPr="00DF2323" w:rsidRDefault="009C38E1" w:rsidP="00BE0479">
            <w:pPr>
              <w:spacing w:after="120"/>
              <w:rPr>
                <w:iCs/>
                <w:sz w:val="20"/>
                <w:szCs w:val="20"/>
              </w:rPr>
            </w:pPr>
            <w:r w:rsidRPr="00DF2323">
              <w:rPr>
                <w:iCs/>
                <w:sz w:val="20"/>
                <w:szCs w:val="20"/>
              </w:rPr>
              <w:t xml:space="preserve">AgriGuard, Clayton, Syngenta (Source:  The Pesticide Product Database </w:t>
            </w:r>
            <w:hyperlink r:id="rId24" w:history="1">
              <w:r w:rsidRPr="00DF2323">
                <w:rPr>
                  <w:rStyle w:val="Hyperlink"/>
                  <w:iCs/>
                  <w:lang w:val="en-GB"/>
                </w:rPr>
                <w:t>https://sitem.herts.ac.uk/aeru/ppdb/en/Reports/505.htm</w:t>
              </w:r>
            </w:hyperlink>
            <w:r w:rsidRPr="00DF2323">
              <w:rPr>
                <w:iCs/>
                <w:sz w:val="20"/>
                <w:szCs w:val="20"/>
              </w:rPr>
              <w:t xml:space="preserve"> )</w:t>
            </w:r>
          </w:p>
          <w:p w14:paraId="3293705D" w14:textId="77777777" w:rsidR="009C38E1" w:rsidRPr="00DF2323" w:rsidRDefault="009C38E1" w:rsidP="00BE0479">
            <w:pPr>
              <w:spacing w:after="80"/>
              <w:rPr>
                <w:rFonts w:eastAsia="Times New Roman"/>
                <w:sz w:val="20"/>
                <w:szCs w:val="20"/>
                <w:lang w:eastAsia="en-US"/>
              </w:rPr>
            </w:pPr>
            <w:r w:rsidRPr="00DF2323">
              <w:rPr>
                <w:i/>
                <w:sz w:val="20"/>
                <w:szCs w:val="20"/>
              </w:rPr>
              <w:t>This is an indicative list of current and former manufacturers. It is not intended to be exhaustive.</w:t>
            </w:r>
          </w:p>
        </w:tc>
      </w:tr>
      <w:tr w:rsidR="009C38E1" w:rsidRPr="00DF2323" w14:paraId="6F5A0E64" w14:textId="77777777" w:rsidTr="00BE0479">
        <w:trPr>
          <w:jc w:val="right"/>
        </w:trPr>
        <w:tc>
          <w:tcPr>
            <w:tcW w:w="9498" w:type="dxa"/>
            <w:gridSpan w:val="4"/>
            <w:tcBorders>
              <w:top w:val="single" w:sz="6" w:space="0" w:color="808080"/>
              <w:bottom w:val="single" w:sz="6" w:space="0" w:color="808080"/>
            </w:tcBorders>
            <w:shd w:val="pct10" w:color="auto" w:fill="auto"/>
          </w:tcPr>
          <w:p w14:paraId="0DE39865" w14:textId="77777777" w:rsidR="009C38E1" w:rsidRPr="00DF2323" w:rsidRDefault="009C38E1" w:rsidP="00BE0479">
            <w:pPr>
              <w:keepNext/>
              <w:spacing w:before="40" w:after="60"/>
              <w:outlineLvl w:val="0"/>
              <w:rPr>
                <w:rFonts w:eastAsia="Times New Roman"/>
                <w:b/>
                <w:bCs/>
                <w:kern w:val="28"/>
                <w:lang w:eastAsia="en-US"/>
              </w:rPr>
            </w:pPr>
            <w:r w:rsidRPr="00DF2323">
              <w:rPr>
                <w:rFonts w:eastAsia="Times New Roman"/>
                <w:b/>
                <w:bCs/>
                <w:kern w:val="28"/>
                <w:lang w:eastAsia="en-US"/>
              </w:rPr>
              <w:t xml:space="preserve">2. Reasons for inclusion in the </w:t>
            </w:r>
            <w:smartTag w:uri="urn:schemas-microsoft-com:office:smarttags" w:element="stockticker">
              <w:r w:rsidRPr="00DF2323">
                <w:rPr>
                  <w:rFonts w:eastAsia="Times New Roman"/>
                  <w:b/>
                  <w:bCs/>
                  <w:kern w:val="28"/>
                  <w:lang w:eastAsia="en-US"/>
                </w:rPr>
                <w:t>PIC</w:t>
              </w:r>
            </w:smartTag>
            <w:r w:rsidRPr="00DF2323">
              <w:rPr>
                <w:rFonts w:eastAsia="Times New Roman"/>
                <w:b/>
                <w:bCs/>
                <w:kern w:val="28"/>
                <w:lang w:eastAsia="en-US"/>
              </w:rPr>
              <w:t xml:space="preserve"> procedure</w:t>
            </w:r>
          </w:p>
        </w:tc>
      </w:tr>
      <w:tr w:rsidR="009C38E1" w:rsidRPr="00DF2323" w14:paraId="40EA2C5F"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jc w:val="right"/>
        </w:trPr>
        <w:tc>
          <w:tcPr>
            <w:tcW w:w="9450" w:type="dxa"/>
            <w:gridSpan w:val="3"/>
            <w:tcBorders>
              <w:top w:val="nil"/>
              <w:left w:val="nil"/>
              <w:bottom w:val="single" w:sz="4" w:space="0" w:color="auto"/>
              <w:right w:val="nil"/>
            </w:tcBorders>
          </w:tcPr>
          <w:p w14:paraId="73E7A961" w14:textId="77777777" w:rsidR="009C38E1" w:rsidRPr="00DF2323" w:rsidRDefault="009C38E1" w:rsidP="00192E9F">
            <w:pPr>
              <w:spacing w:after="120"/>
              <w:rPr>
                <w:rFonts w:eastAsia="Times New Roman"/>
                <w:sz w:val="20"/>
                <w:szCs w:val="20"/>
                <w:lang w:eastAsia="en-US"/>
              </w:rPr>
            </w:pPr>
            <w:r w:rsidRPr="00DF2323">
              <w:rPr>
                <w:rFonts w:eastAsia="Times New Roman"/>
                <w:sz w:val="20"/>
                <w:szCs w:val="20"/>
                <w:lang w:eastAsia="en-US"/>
              </w:rPr>
              <w:t>Paraquat is included in the PIC procedure as a pesticide. It has been listed on the basis of the final regulatory actions to ban its use, notified by Malaysia and Mozambique. Contact details of the designated national authorities of these two Parties are set out in annex 3 to the decision guidance document.</w:t>
            </w:r>
          </w:p>
          <w:p w14:paraId="6D25097F" w14:textId="6BD1E01C" w:rsidR="009C38E1" w:rsidRPr="00DF2323" w:rsidRDefault="009C38E1" w:rsidP="00192E9F">
            <w:pPr>
              <w:spacing w:after="120"/>
              <w:rPr>
                <w:rFonts w:eastAsia="Times New Roman"/>
                <w:sz w:val="20"/>
                <w:szCs w:val="20"/>
                <w:lang w:eastAsia="en-US"/>
              </w:rPr>
            </w:pPr>
            <w:r w:rsidRPr="00DF2323">
              <w:rPr>
                <w:rFonts w:eastAsia="Times New Roman"/>
                <w:sz w:val="20"/>
                <w:szCs w:val="20"/>
                <w:lang w:eastAsia="en-US"/>
              </w:rPr>
              <w:t>No final regulatory actions relating to industrial chemical uses have been notified.</w:t>
            </w:r>
          </w:p>
        </w:tc>
      </w:tr>
      <w:tr w:rsidR="009C38E1" w:rsidRPr="00DF2323" w14:paraId="26CA612A"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jc w:val="right"/>
        </w:trPr>
        <w:tc>
          <w:tcPr>
            <w:tcW w:w="9450" w:type="dxa"/>
            <w:gridSpan w:val="3"/>
            <w:tcBorders>
              <w:top w:val="single" w:sz="4" w:space="0" w:color="auto"/>
              <w:left w:val="single" w:sz="4" w:space="0" w:color="auto"/>
              <w:bottom w:val="single" w:sz="4" w:space="0" w:color="auto"/>
              <w:right w:val="single" w:sz="4" w:space="0" w:color="auto"/>
            </w:tcBorders>
          </w:tcPr>
          <w:p w14:paraId="72B50D41"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lastRenderedPageBreak/>
              <w:t>2.1 Final regulatory action (see annex 2 to the decision guidance document for further details)</w:t>
            </w:r>
          </w:p>
        </w:tc>
      </w:tr>
      <w:tr w:rsidR="009C38E1" w:rsidRPr="00DF2323" w14:paraId="1AEBAE46"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cantSplit/>
          <w:trHeight w:val="291"/>
          <w:jc w:val="right"/>
        </w:trPr>
        <w:tc>
          <w:tcPr>
            <w:tcW w:w="9450" w:type="dxa"/>
            <w:gridSpan w:val="3"/>
            <w:tcBorders>
              <w:top w:val="single" w:sz="4" w:space="0" w:color="auto"/>
              <w:left w:val="nil"/>
              <w:bottom w:val="nil"/>
              <w:right w:val="nil"/>
            </w:tcBorders>
          </w:tcPr>
          <w:p w14:paraId="3CFE4720" w14:textId="77777777" w:rsidR="009C38E1" w:rsidRPr="00DF2323" w:rsidRDefault="009C38E1" w:rsidP="00BE0479">
            <w:pPr>
              <w:spacing w:before="20" w:after="120"/>
              <w:outlineLvl w:val="2"/>
              <w:rPr>
                <w:rFonts w:eastAsia="Times New Roman"/>
                <w:b/>
                <w:bCs/>
                <w:i/>
                <w:sz w:val="20"/>
                <w:szCs w:val="20"/>
                <w:lang w:eastAsia="en-US"/>
              </w:rPr>
            </w:pPr>
            <w:r w:rsidRPr="00DF2323">
              <w:rPr>
                <w:rFonts w:eastAsia="Times New Roman"/>
                <w:b/>
                <w:bCs/>
                <w:i/>
                <w:sz w:val="20"/>
                <w:szCs w:val="20"/>
                <w:lang w:eastAsia="en-US"/>
              </w:rPr>
              <w:t>Malaysia</w:t>
            </w:r>
          </w:p>
          <w:p w14:paraId="01FB5951" w14:textId="77777777" w:rsidR="009C38E1" w:rsidRPr="00DF2323" w:rsidRDefault="009C38E1" w:rsidP="00BE047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 xml:space="preserve">Malaysia prohibited all applications of paraquat as a pesticide product as well as its import and export. The ban was introduced by the official circular JP/KRP/207/12/656/2 Vol.6 (54) published on 16 May 2014, which detailed the phase-out strategies and plans. The phase-out of paraquat was implemented in stages and the effective date of the total ban entered into force on 1 January 2020. The ban of paraquat was introduced due to its highly toxic nature which has caused many poisonings and deaths of consumers.  </w:t>
            </w:r>
          </w:p>
          <w:p w14:paraId="229E1EDE" w14:textId="77777777" w:rsidR="009C38E1" w:rsidRPr="00DF2323" w:rsidRDefault="009C38E1" w:rsidP="00BE0479">
            <w:pPr>
              <w:spacing w:before="20" w:after="120"/>
              <w:outlineLvl w:val="2"/>
              <w:rPr>
                <w:rFonts w:eastAsia="Times New Roman"/>
                <w:sz w:val="20"/>
                <w:szCs w:val="20"/>
                <w:lang w:eastAsia="en-US"/>
              </w:rPr>
            </w:pPr>
            <w:r w:rsidRPr="00DF2323">
              <w:rPr>
                <w:rFonts w:eastAsia="Times New Roman"/>
                <w:sz w:val="20"/>
                <w:szCs w:val="20"/>
                <w:lang w:eastAsia="en-US"/>
              </w:rPr>
              <w:t>The banning of paraquat is consistent with the principle of precautionary measures, as it has been shown that paraquat cannot be applied and used safely without complete PPE to prevent exposure under the hot and humid conditions, which is not always feasible in a country like Malaysia.</w:t>
            </w:r>
          </w:p>
          <w:p w14:paraId="2712E519" w14:textId="77777777" w:rsidR="009C38E1" w:rsidRPr="00DF2323" w:rsidRDefault="009C38E1" w:rsidP="00BE0479">
            <w:pPr>
              <w:spacing w:before="20" w:after="120"/>
              <w:outlineLvl w:val="2"/>
              <w:rPr>
                <w:rFonts w:eastAsia="Times New Roman"/>
                <w:sz w:val="20"/>
                <w:szCs w:val="20"/>
                <w:lang w:eastAsia="en-US"/>
              </w:rPr>
            </w:pPr>
            <w:r w:rsidRPr="00DF2323">
              <w:rPr>
                <w:rFonts w:eastAsia="Times New Roman"/>
                <w:sz w:val="20"/>
                <w:szCs w:val="20"/>
                <w:lang w:eastAsia="en-US"/>
              </w:rPr>
              <w:t>The final regulatory action has been taken for the pesticide category to protect human health.</w:t>
            </w:r>
          </w:p>
        </w:tc>
      </w:tr>
      <w:tr w:rsidR="009C38E1" w:rsidRPr="00DF2323" w14:paraId="4F0CF263"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trHeight w:val="288"/>
          <w:jc w:val="right"/>
        </w:trPr>
        <w:tc>
          <w:tcPr>
            <w:tcW w:w="1276" w:type="dxa"/>
            <w:tcBorders>
              <w:top w:val="nil"/>
              <w:left w:val="nil"/>
              <w:bottom w:val="nil"/>
              <w:right w:val="nil"/>
            </w:tcBorders>
          </w:tcPr>
          <w:p w14:paraId="5E898420" w14:textId="77777777" w:rsidR="009C38E1" w:rsidRPr="00DF2323" w:rsidRDefault="009C38E1" w:rsidP="00BE0479">
            <w:pPr>
              <w:spacing w:before="20" w:after="120"/>
              <w:outlineLvl w:val="2"/>
              <w:rPr>
                <w:rFonts w:eastAsia="Times New Roman"/>
                <w:b/>
                <w:bCs/>
                <w:sz w:val="20"/>
                <w:szCs w:val="20"/>
                <w:lang w:eastAsia="en-US"/>
              </w:rPr>
            </w:pPr>
            <w:r w:rsidRPr="00DF2323">
              <w:rPr>
                <w:rFonts w:eastAsia="Times New Roman"/>
                <w:b/>
                <w:bCs/>
                <w:sz w:val="20"/>
                <w:szCs w:val="20"/>
                <w:lang w:eastAsia="en-US"/>
              </w:rPr>
              <w:t>Reason:</w:t>
            </w:r>
          </w:p>
        </w:tc>
        <w:tc>
          <w:tcPr>
            <w:tcW w:w="8174" w:type="dxa"/>
            <w:gridSpan w:val="2"/>
            <w:tcBorders>
              <w:top w:val="nil"/>
              <w:left w:val="nil"/>
              <w:bottom w:val="nil"/>
              <w:right w:val="nil"/>
            </w:tcBorders>
          </w:tcPr>
          <w:p w14:paraId="5C9EB184" w14:textId="77777777" w:rsidR="009C38E1" w:rsidRPr="00DF2323" w:rsidRDefault="009C38E1" w:rsidP="00BE0479">
            <w:pPr>
              <w:spacing w:before="20" w:after="120"/>
              <w:ind w:left="34"/>
              <w:outlineLvl w:val="2"/>
              <w:rPr>
                <w:rFonts w:eastAsia="Times New Roman"/>
                <w:bCs/>
                <w:sz w:val="20"/>
                <w:szCs w:val="20"/>
                <w:lang w:eastAsia="en-US"/>
              </w:rPr>
            </w:pPr>
            <w:r w:rsidRPr="00DF2323">
              <w:rPr>
                <w:rFonts w:eastAsia="Times New Roman"/>
                <w:bCs/>
                <w:sz w:val="20"/>
                <w:szCs w:val="20"/>
                <w:lang w:eastAsia="en-US"/>
              </w:rPr>
              <w:t>Human Health</w:t>
            </w:r>
          </w:p>
        </w:tc>
      </w:tr>
      <w:tr w:rsidR="009C38E1" w:rsidRPr="00DF2323" w14:paraId="77D8A685"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cantSplit/>
          <w:trHeight w:val="288"/>
          <w:jc w:val="right"/>
        </w:trPr>
        <w:tc>
          <w:tcPr>
            <w:tcW w:w="9450" w:type="dxa"/>
            <w:gridSpan w:val="3"/>
            <w:tcBorders>
              <w:top w:val="nil"/>
              <w:left w:val="nil"/>
              <w:bottom w:val="nil"/>
              <w:right w:val="nil"/>
            </w:tcBorders>
          </w:tcPr>
          <w:p w14:paraId="3EBBAD36" w14:textId="77777777" w:rsidR="009C38E1" w:rsidRPr="00DF2323" w:rsidRDefault="009C38E1" w:rsidP="00BE0479">
            <w:pPr>
              <w:spacing w:before="20" w:after="120"/>
              <w:outlineLvl w:val="2"/>
              <w:rPr>
                <w:rFonts w:eastAsia="Times New Roman"/>
                <w:b/>
                <w:bCs/>
                <w:i/>
                <w:sz w:val="20"/>
                <w:szCs w:val="20"/>
                <w:lang w:eastAsia="en-US"/>
              </w:rPr>
            </w:pPr>
            <w:r w:rsidRPr="00DF2323">
              <w:rPr>
                <w:rFonts w:eastAsia="Times New Roman"/>
                <w:b/>
                <w:bCs/>
                <w:i/>
                <w:sz w:val="20"/>
                <w:szCs w:val="20"/>
                <w:lang w:eastAsia="en-US"/>
              </w:rPr>
              <w:t>Mozambique</w:t>
            </w:r>
          </w:p>
          <w:p w14:paraId="40F0C403"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Mozambique banned the further import and use of paraquat in its territory by the decision Nr 001/DNSA/2014 of the National Directorate of Agrarian Services.</w:t>
            </w:r>
          </w:p>
          <w:p w14:paraId="6F9C874C"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 xml:space="preserve">The ban of all formulations for all uses and also the cancellation of the registration of the products containing paraquat in the country was decided due to the toxic nature and hazardous properties of this active substance, which combined with the local conditions of use can damage human and animal health and cause potential damage to the environment. </w:t>
            </w:r>
          </w:p>
          <w:p w14:paraId="62FF5123" w14:textId="77777777" w:rsidR="009C38E1" w:rsidRPr="00DF2323" w:rsidRDefault="009C38E1" w:rsidP="00BE0479">
            <w:pPr>
              <w:spacing w:before="20" w:after="120"/>
              <w:outlineLvl w:val="2"/>
              <w:rPr>
                <w:rFonts w:eastAsia="Times New Roman"/>
                <w:sz w:val="20"/>
                <w:szCs w:val="20"/>
                <w:lang w:eastAsia="en-US"/>
              </w:rPr>
            </w:pPr>
            <w:r w:rsidRPr="00DF2323">
              <w:rPr>
                <w:rFonts w:eastAsia="Times New Roman"/>
                <w:sz w:val="20"/>
                <w:szCs w:val="20"/>
                <w:lang w:eastAsia="en-US"/>
              </w:rPr>
              <w:t>The final regulatory action has been taken for the pesticide category to protect human health and the environment.</w:t>
            </w:r>
          </w:p>
        </w:tc>
      </w:tr>
      <w:tr w:rsidR="009C38E1" w:rsidRPr="00DF2323" w14:paraId="3CF86055"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8" w:type="dxa"/>
          <w:trHeight w:val="336"/>
          <w:jc w:val="right"/>
        </w:trPr>
        <w:tc>
          <w:tcPr>
            <w:tcW w:w="1276" w:type="dxa"/>
            <w:tcBorders>
              <w:top w:val="nil"/>
              <w:left w:val="nil"/>
              <w:bottom w:val="nil"/>
              <w:right w:val="nil"/>
            </w:tcBorders>
          </w:tcPr>
          <w:p w14:paraId="4D79315B" w14:textId="77777777" w:rsidR="009C38E1" w:rsidRPr="00DF2323" w:rsidRDefault="009C38E1" w:rsidP="00BE0479">
            <w:pPr>
              <w:spacing w:before="20" w:after="120"/>
              <w:outlineLvl w:val="2"/>
              <w:rPr>
                <w:rFonts w:eastAsia="Times New Roman"/>
                <w:b/>
                <w:bCs/>
                <w:sz w:val="20"/>
                <w:szCs w:val="20"/>
                <w:lang w:eastAsia="en-US"/>
              </w:rPr>
            </w:pPr>
            <w:r w:rsidRPr="00DF2323">
              <w:rPr>
                <w:rFonts w:eastAsia="Times New Roman"/>
                <w:b/>
                <w:bCs/>
                <w:sz w:val="20"/>
                <w:szCs w:val="20"/>
                <w:lang w:eastAsia="en-US"/>
              </w:rPr>
              <w:t>Reason:</w:t>
            </w:r>
          </w:p>
        </w:tc>
        <w:tc>
          <w:tcPr>
            <w:tcW w:w="8174" w:type="dxa"/>
            <w:gridSpan w:val="2"/>
            <w:tcBorders>
              <w:top w:val="nil"/>
              <w:left w:val="nil"/>
              <w:bottom w:val="nil"/>
              <w:right w:val="nil"/>
            </w:tcBorders>
          </w:tcPr>
          <w:p w14:paraId="3D673F68" w14:textId="77777777" w:rsidR="009C38E1" w:rsidRPr="00DF2323" w:rsidRDefault="009C38E1" w:rsidP="00BE0479">
            <w:pPr>
              <w:spacing w:before="20" w:after="120"/>
              <w:outlineLvl w:val="2"/>
              <w:rPr>
                <w:rFonts w:eastAsia="Times New Roman"/>
                <w:bCs/>
                <w:sz w:val="20"/>
                <w:szCs w:val="20"/>
                <w:lang w:eastAsia="en-US"/>
              </w:rPr>
            </w:pPr>
            <w:r w:rsidRPr="00DF2323">
              <w:rPr>
                <w:rFonts w:eastAsia="Times New Roman"/>
                <w:bCs/>
                <w:sz w:val="20"/>
                <w:szCs w:val="20"/>
                <w:lang w:eastAsia="en-US"/>
              </w:rPr>
              <w:t>Human Health and the Environment</w:t>
            </w:r>
          </w:p>
        </w:tc>
      </w:tr>
    </w:tbl>
    <w:p w14:paraId="1F9477C5"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9C38E1" w:rsidRPr="00DF2323" w14:paraId="702D65CF" w14:textId="77777777" w:rsidTr="00BE0479">
        <w:trPr>
          <w:trHeight w:val="337"/>
          <w:jc w:val="right"/>
        </w:trPr>
        <w:tc>
          <w:tcPr>
            <w:tcW w:w="9452" w:type="dxa"/>
            <w:tcBorders>
              <w:top w:val="single" w:sz="4" w:space="0" w:color="auto"/>
              <w:left w:val="single" w:sz="4" w:space="0" w:color="auto"/>
              <w:bottom w:val="single" w:sz="4" w:space="0" w:color="auto"/>
              <w:right w:val="single" w:sz="4" w:space="0" w:color="auto"/>
            </w:tcBorders>
          </w:tcPr>
          <w:p w14:paraId="1DC380B5"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t>2.2 Risk evaluation (see annex 1 to the decision guidance document for further details)</w:t>
            </w:r>
          </w:p>
        </w:tc>
      </w:tr>
    </w:tbl>
    <w:p w14:paraId="18A7B009" w14:textId="77777777" w:rsidR="009C38E1" w:rsidRPr="00DF2323" w:rsidRDefault="009C38E1" w:rsidP="009C38E1">
      <w:pPr>
        <w:spacing w:before="240" w:after="120"/>
        <w:rPr>
          <w:b/>
          <w:bCs/>
          <w:i/>
          <w:iCs/>
          <w:snapToGrid w:val="0"/>
          <w:sz w:val="20"/>
          <w:szCs w:val="20"/>
          <w:lang w:eastAsia="en-US"/>
        </w:rPr>
      </w:pPr>
      <w:r w:rsidRPr="00DF2323">
        <w:rPr>
          <w:b/>
          <w:bCs/>
          <w:i/>
          <w:iCs/>
          <w:snapToGrid w:val="0"/>
          <w:sz w:val="20"/>
          <w:szCs w:val="20"/>
          <w:lang w:eastAsia="en-US"/>
        </w:rPr>
        <w:t>Malaysia</w:t>
      </w:r>
    </w:p>
    <w:p w14:paraId="74190A3B" w14:textId="77777777" w:rsidR="009C38E1" w:rsidRPr="00DF2323" w:rsidRDefault="009C38E1" w:rsidP="00F76E2F">
      <w:pPr>
        <w:spacing w:after="120"/>
        <w:rPr>
          <w:snapToGrid w:val="0"/>
          <w:sz w:val="20"/>
          <w:szCs w:val="20"/>
          <w:lang w:eastAsia="en-US"/>
        </w:rPr>
      </w:pPr>
      <w:r w:rsidRPr="00DF2323">
        <w:rPr>
          <w:snapToGrid w:val="0"/>
          <w:sz w:val="20"/>
          <w:szCs w:val="20"/>
          <w:lang w:eastAsia="en-US"/>
        </w:rPr>
        <w:t xml:space="preserve">Malaysia developed a risk evaluation where they analysed international risk assessments and applied bridging with local conditions of use of paraquat and actual exposure. Specifically, paraquat has been classified by the Pesticides Board under Class Ib - very highly hazardous to humans instead of Class II (of WHO classification) because it was taken into consideration that under local conditions paraquat cannot be used safely due to hot and humid weather, which makes wearing full protective gears not always practical. This is supported by the evaluation of the paraquat study undertaken by the Malaysian Palm Oil Board, which identified unacceptably high OEL (Operator Exposure Level) under local conditions of use. Furthermore, the Ministry of Health of Malaysia has confirmed actual exposure to the pesticide according to the cases of poisoning referred to government clinics/hospitals where the poisoning data shows that the causes of paraquat poisoning are suicide, followed by accidental drinking and occupational poisoning. </w:t>
      </w:r>
    </w:p>
    <w:p w14:paraId="7FAA65C7" w14:textId="77777777" w:rsidR="009C38E1" w:rsidRPr="00DF2323" w:rsidRDefault="009C38E1" w:rsidP="00F76E2F">
      <w:pPr>
        <w:spacing w:after="120"/>
        <w:rPr>
          <w:snapToGrid w:val="0"/>
          <w:sz w:val="20"/>
          <w:szCs w:val="20"/>
          <w:lang w:eastAsia="en-US"/>
        </w:rPr>
      </w:pPr>
      <w:r w:rsidRPr="00DF2323">
        <w:rPr>
          <w:snapToGrid w:val="0"/>
          <w:sz w:val="20"/>
          <w:szCs w:val="20"/>
          <w:lang w:eastAsia="en-US"/>
        </w:rPr>
        <w:t>In 2018 and 2019 a total of 424 320 L and 137 740 L of paraquat, respectively, were used in Malaysia prior to the entry into force of the total ban in 2020. The use of paraquat in Malaysia was restricted since May 2014 to oil palm (below 2 years), rubber, pineapple (stump) and paddy (hill crops). No information is available in the notification and supporting information provided by Malaysia on the volumes of paraquat imported before the adoption of the final regulatory action in 2014.</w:t>
      </w:r>
    </w:p>
    <w:p w14:paraId="470F764F" w14:textId="77777777" w:rsidR="009C38E1" w:rsidRPr="00DF2323" w:rsidRDefault="009C38E1" w:rsidP="00F76E2F">
      <w:pPr>
        <w:spacing w:after="120"/>
        <w:rPr>
          <w:snapToGrid w:val="0"/>
          <w:sz w:val="20"/>
          <w:szCs w:val="20"/>
          <w:lang w:eastAsia="en-US"/>
        </w:rPr>
      </w:pPr>
      <w:r w:rsidRPr="00DF2323">
        <w:rPr>
          <w:snapToGrid w:val="0"/>
          <w:sz w:val="20"/>
          <w:szCs w:val="20"/>
          <w:lang w:eastAsia="en-US"/>
        </w:rPr>
        <w:t>Summarising the above, the final regulatory action was based on a health hazard evaluation of paraquat, the prevailing conditions of use of pesticides in Malaysia (intended uses, application doses, methods, protective measures, agricultural practices, etc.), and a risk assessment with a particular focus on occupational risks.</w:t>
      </w:r>
    </w:p>
    <w:p w14:paraId="373A87A5" w14:textId="77777777" w:rsidR="009C38E1" w:rsidRPr="00DF2323" w:rsidRDefault="009C38E1" w:rsidP="009C38E1">
      <w:pPr>
        <w:spacing w:after="120"/>
        <w:rPr>
          <w:b/>
          <w:bCs/>
          <w:i/>
          <w:iCs/>
          <w:snapToGrid w:val="0"/>
          <w:sz w:val="20"/>
          <w:szCs w:val="20"/>
          <w:lang w:eastAsia="en-US"/>
        </w:rPr>
      </w:pPr>
      <w:r w:rsidRPr="00DF2323">
        <w:rPr>
          <w:b/>
          <w:bCs/>
          <w:i/>
          <w:iCs/>
          <w:snapToGrid w:val="0"/>
          <w:sz w:val="20"/>
          <w:szCs w:val="20"/>
          <w:lang w:eastAsia="en-US"/>
        </w:rPr>
        <w:t>Mozambique</w:t>
      </w:r>
    </w:p>
    <w:p w14:paraId="5B72A1B4" w14:textId="77777777" w:rsidR="009C38E1" w:rsidRPr="00DF2323" w:rsidRDefault="009C38E1" w:rsidP="009C38E1">
      <w:pPr>
        <w:spacing w:after="120"/>
        <w:rPr>
          <w:rFonts w:eastAsia="Times New Roman"/>
          <w:i/>
          <w:sz w:val="20"/>
          <w:szCs w:val="20"/>
          <w:u w:val="single"/>
          <w:lang w:eastAsia="en-US"/>
        </w:rPr>
      </w:pPr>
      <w:r w:rsidRPr="00DF2323">
        <w:rPr>
          <w:rFonts w:eastAsia="Times New Roman"/>
          <w:iCs/>
          <w:sz w:val="20"/>
          <w:szCs w:val="20"/>
          <w:lang w:eastAsia="en-US"/>
        </w:rPr>
        <w:t xml:space="preserve">Mozambique developed a risk evaluation, referenced to Project EP/MOZ/101/UEP, with the objective of reducing the greatest risks associated with pesticide use in the country and to develop and implement a “Highly Hazardous Pesticides Risk Reduction Action Plan” for the most dangerous pesticides and use situations. </w:t>
      </w:r>
    </w:p>
    <w:p w14:paraId="57B24B49" w14:textId="77777777" w:rsidR="009C38E1" w:rsidRPr="00DF2323" w:rsidRDefault="009C38E1" w:rsidP="009C38E1">
      <w:pPr>
        <w:spacing w:after="120"/>
        <w:rPr>
          <w:rFonts w:eastAsia="Times New Roman"/>
          <w:iCs/>
          <w:sz w:val="20"/>
          <w:szCs w:val="20"/>
          <w:lang w:eastAsia="en-US"/>
        </w:rPr>
      </w:pPr>
      <w:r w:rsidRPr="00DF2323">
        <w:rPr>
          <w:rFonts w:eastAsia="Times New Roman"/>
          <w:iCs/>
          <w:sz w:val="20"/>
          <w:szCs w:val="20"/>
          <w:lang w:eastAsia="en-US"/>
        </w:rPr>
        <w:t>The notification states that the ban of all uses and the cancellation of the registration of the products containing paraquat in Mozambique was decided based on the toxic nature and hazardous properties, which combined with the improper use in the country due to the local specific conditions of use can damage human and animal health.</w:t>
      </w:r>
    </w:p>
    <w:p w14:paraId="6DFF01A3" w14:textId="77777777" w:rsidR="009C38E1" w:rsidRPr="00DF2323" w:rsidRDefault="009C38E1" w:rsidP="009C38E1">
      <w:pPr>
        <w:spacing w:after="120"/>
        <w:rPr>
          <w:rFonts w:eastAsia="Times New Roman"/>
          <w:iCs/>
          <w:sz w:val="20"/>
          <w:szCs w:val="20"/>
          <w:lang w:eastAsia="en-US"/>
        </w:rPr>
      </w:pPr>
      <w:r w:rsidRPr="00DF2323">
        <w:rPr>
          <w:rFonts w:eastAsia="Times New Roman"/>
          <w:iCs/>
          <w:sz w:val="20"/>
          <w:szCs w:val="20"/>
          <w:lang w:eastAsia="en-US"/>
        </w:rPr>
        <w:t>In the first step of the project, a review of all pesticides registered in Mozambique was carried out and a shortlist of highly hazardous pesticides was established. This shortlist was based on an assessment of the hazards of the pesticides, based on criteria established by the FAO/WHO Joint Meeting on Pesticide Management.</w:t>
      </w:r>
    </w:p>
    <w:p w14:paraId="6AEECD69" w14:textId="77777777" w:rsidR="009C38E1" w:rsidRPr="00DF2323" w:rsidRDefault="009C38E1" w:rsidP="009C38E1">
      <w:pPr>
        <w:spacing w:after="120"/>
        <w:rPr>
          <w:rFonts w:eastAsia="Times New Roman"/>
          <w:iCs/>
          <w:sz w:val="20"/>
          <w:szCs w:val="20"/>
          <w:lang w:eastAsia="en-US"/>
        </w:rPr>
      </w:pPr>
      <w:r w:rsidRPr="00DF2323">
        <w:rPr>
          <w:rFonts w:eastAsia="Times New Roman"/>
          <w:iCs/>
          <w:sz w:val="20"/>
          <w:szCs w:val="20"/>
          <w:lang w:eastAsia="en-US"/>
        </w:rPr>
        <w:lastRenderedPageBreak/>
        <w:t xml:space="preserve">Paraquat and the products containing paraquat were considered as harmful for human health and the environment taking into consideration the local conditions of use in Mozambique and the requirements for risk mitigation measures. The notification refers to a consultancy report “Reducing Risks of Highly Hazardous Pesticides in Mozambique: Step 1 – Shortlisting highly hazardous pesticides” (Come &amp; van der Valk, 2014), which identified the paraquat 200 g/l SL pesticide formulation as ‘coming close to highly hazardous pesticides (HHPs)’, based on its classification as WHO Class II with </w:t>
      </w:r>
      <w:r w:rsidRPr="00DF2323">
        <w:rPr>
          <w:rFonts w:eastAsia="Times New Roman"/>
          <w:sz w:val="20"/>
          <w:szCs w:val="20"/>
          <w:lang w:eastAsia="en-US"/>
        </w:rPr>
        <w:t xml:space="preserve">a note on serious delayed effects if absorbed </w:t>
      </w:r>
      <w:r w:rsidRPr="00DF2323">
        <w:rPr>
          <w:rFonts w:eastAsia="Times New Roman"/>
          <w:iCs/>
          <w:sz w:val="20"/>
          <w:szCs w:val="20"/>
          <w:lang w:eastAsia="en-US"/>
        </w:rPr>
        <w:t>(</w:t>
      </w:r>
      <w:r w:rsidRPr="00DF2323">
        <w:rPr>
          <w:rFonts w:eastAsia="Times New Roman"/>
          <w:sz w:val="20"/>
          <w:szCs w:val="20"/>
          <w:lang w:eastAsia="en-US"/>
        </w:rPr>
        <w:t>note 7 in the WHO classification -</w:t>
      </w:r>
      <w:r w:rsidRPr="00DF2323">
        <w:t xml:space="preserve"> </w:t>
      </w:r>
      <w:r w:rsidRPr="00DF2323">
        <w:rPr>
          <w:rFonts w:eastAsia="Times New Roman"/>
          <w:i/>
          <w:iCs/>
          <w:sz w:val="20"/>
          <w:szCs w:val="20"/>
          <w:lang w:eastAsia="en-US"/>
        </w:rPr>
        <w:t>Paraquat has serious delayed effects if absorbed. It is of relatively low hazard in normal use but may be fatal if the concentrated product is taken by mouth or spread on the skin</w:t>
      </w:r>
      <w:r w:rsidRPr="00DF2323">
        <w:rPr>
          <w:rFonts w:eastAsia="Times New Roman"/>
          <w:sz w:val="20"/>
          <w:szCs w:val="20"/>
          <w:lang w:eastAsia="en-US"/>
        </w:rPr>
        <w:t>)</w:t>
      </w:r>
      <w:r w:rsidRPr="00DF2323">
        <w:rPr>
          <w:rFonts w:eastAsia="Times New Roman"/>
          <w:iCs/>
          <w:sz w:val="20"/>
          <w:szCs w:val="20"/>
          <w:lang w:eastAsia="en-US"/>
        </w:rPr>
        <w:t xml:space="preserve">; dermal hazard close to Class Ib and very low AOEL) The occupational hazard of paraquat was confirmed by the very low AOEL defined in the EU (2003). </w:t>
      </w:r>
    </w:p>
    <w:p w14:paraId="664B3771" w14:textId="77777777" w:rsidR="009C38E1" w:rsidRPr="00DF2323" w:rsidRDefault="009C38E1" w:rsidP="009C38E1">
      <w:pPr>
        <w:spacing w:after="120"/>
        <w:rPr>
          <w:rFonts w:eastAsia="Times New Roman"/>
          <w:iCs/>
          <w:sz w:val="20"/>
          <w:szCs w:val="20"/>
          <w:lang w:eastAsia="en-US"/>
        </w:rPr>
      </w:pPr>
      <w:r w:rsidRPr="00DF2323">
        <w:rPr>
          <w:rFonts w:eastAsia="Times New Roman"/>
          <w:iCs/>
          <w:sz w:val="20"/>
          <w:szCs w:val="20"/>
          <w:lang w:eastAsia="en-US"/>
        </w:rPr>
        <w:t>Field surveys with 325 subsistence farmers were carried out during the step 2 of the project in selected regions and cropping systems in Mozambique (Come et al., 2014). The main goal of the survey was to identify the conditions under which pesticides are being used in the country and their contribution to potential risks for human health and the environment.</w:t>
      </w:r>
    </w:p>
    <w:p w14:paraId="6E9AE575"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The notification and supporting documentation provide information on the imports of paraquat formulations in Mozambique prior to and including the period when the field survey with farmers was carried out: 22700 L (2010), 35100 L (2011), 17952 L (2012) and 18440 L (2013).</w:t>
      </w:r>
    </w:p>
    <w:p w14:paraId="47619990"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 xml:space="preserve">The registered uses for paraquat formulations in Mozambique were forestry, fruits, vegetables, cotton, coffee, tea, flowers, banana, sugar cane, forestry and potatoes. Vegetables, cotton and tobacco cropping systems were included in the field survey and were the predominant crops in three of the regions of Mozambique surveyed. These cropping systems are generally managed by smaller subsistence farmers. </w:t>
      </w:r>
    </w:p>
    <w:p w14:paraId="064CFE0F"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The third step of the project consisted of a stakeholder consultation to further discuss the use and risks of highly hazardous pesticides in Mozambique and fine-tune the shortlist based on the survey results and the expertise and experience of stakeholders.</w:t>
      </w:r>
    </w:p>
    <w:p w14:paraId="52BB49A2"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In the fourth step of the project, the risk of occupational exposure was assessed, in particular when spraying the products, in seven different cropping systems and using 13 application scenarios, each with and without PPE (Come &amp; van der Valk, 2014). The exposure assessment used the registered dose rates and other application parameters for each pesticide based on farming conditions in Mozambique.</w:t>
      </w:r>
      <w:r w:rsidRPr="00DF2323">
        <w:rPr>
          <w:sz w:val="22"/>
          <w:szCs w:val="22"/>
          <w:lang w:eastAsia="en-GB"/>
        </w:rPr>
        <w:t xml:space="preserve"> </w:t>
      </w:r>
      <w:r w:rsidRPr="00DF2323">
        <w:rPr>
          <w:rFonts w:eastAsia="Times New Roman"/>
          <w:iCs/>
          <w:sz w:val="20"/>
          <w:szCs w:val="20"/>
          <w:lang w:eastAsia="en-US"/>
        </w:rPr>
        <w:t xml:space="preserve">Exposure was estimated using occupational exposure models. The results of the occupational exposure risk assessment reported in the notification and supporting documentation showed that AOELs for paraquat were greatly exceeded for all crops and all pesticide application scenarios, irrespective of the application rate or use of PPE. This indicates that the application of paraquat likely poses a high risk under Mozambican conditions. Given the large risk quotient, it is unlikely that locally feasible mitigation measures would reduce the risk of paraquat to acceptable levels. </w:t>
      </w:r>
    </w:p>
    <w:p w14:paraId="7604B0ED"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 xml:space="preserve">The notification and supporting documentation indicate that the use of pesticides in general (including pesticides ‘coming close to ‘HHPs’) and of HHPs in particular, was likely to result in excessive exposure of farmers given the low availability and knowledge in the use of PPE among farmers, and was evidenced by a high number of reports on adverse health effects. </w:t>
      </w:r>
    </w:p>
    <w:p w14:paraId="2D047593" w14:textId="77777777" w:rsidR="009C38E1" w:rsidRPr="00DF2323" w:rsidRDefault="009C38E1" w:rsidP="009C38E1">
      <w:pPr>
        <w:autoSpaceDE w:val="0"/>
        <w:autoSpaceDN w:val="0"/>
        <w:adjustRightInd w:val="0"/>
        <w:spacing w:after="120"/>
        <w:rPr>
          <w:rFonts w:eastAsia="Times New Roman"/>
          <w:iCs/>
          <w:sz w:val="20"/>
          <w:szCs w:val="20"/>
          <w:lang w:eastAsia="en-US"/>
        </w:rPr>
      </w:pPr>
      <w:r w:rsidRPr="00DF2323">
        <w:rPr>
          <w:rFonts w:eastAsia="Times New Roman"/>
          <w:iCs/>
          <w:sz w:val="20"/>
          <w:szCs w:val="20"/>
          <w:lang w:eastAsia="en-US"/>
        </w:rPr>
        <w:t>The final regulatory action was taken as a result of the national objective of Mozambique of reducing the greatest risks associated with pesticide use. Thus, paraquat and the products containing paraquat were considered harmful for human health under the local conditions of use in Mozambique requiring risk mitigation measures. Therefore, the authorities decided to ban paraquat from future use in the country and to cancel the registration of all the products containing paraquat.</w:t>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9C38E1" w:rsidRPr="00DF2323" w14:paraId="61A7FC8D" w14:textId="77777777" w:rsidTr="00F76E2F">
        <w:trPr>
          <w:jc w:val="right"/>
        </w:trPr>
        <w:tc>
          <w:tcPr>
            <w:tcW w:w="9481" w:type="dxa"/>
            <w:shd w:val="pct10" w:color="auto" w:fill="auto"/>
          </w:tcPr>
          <w:p w14:paraId="1150BE7A"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kern w:val="28"/>
                <w:szCs w:val="29"/>
                <w:lang w:eastAsia="en-US"/>
              </w:rPr>
              <w:t xml:space="preserve">3. Protective measures that have been applied concerning the chemical </w:t>
            </w:r>
          </w:p>
        </w:tc>
      </w:tr>
    </w:tbl>
    <w:p w14:paraId="049089D7" w14:textId="77777777" w:rsidR="009C38E1" w:rsidRPr="00DF2323" w:rsidRDefault="009C38E1" w:rsidP="009C38E1">
      <w:pPr>
        <w:tabs>
          <w:tab w:val="left" w:pos="-720"/>
          <w:tab w:val="left" w:pos="0"/>
          <w:tab w:val="left" w:pos="720"/>
        </w:tabs>
        <w:suppressAutoHyphens/>
        <w:rPr>
          <w:rFonts w:eastAsia="Times New Roman"/>
          <w:sz w:val="20"/>
          <w:szCs w:val="10"/>
          <w:lang w:eastAsia="en-US"/>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338"/>
        <w:gridCol w:w="8149"/>
      </w:tblGrid>
      <w:tr w:rsidR="009C38E1" w:rsidRPr="00DF2323" w14:paraId="2422B665" w14:textId="77777777" w:rsidTr="00BE0479">
        <w:trPr>
          <w:jc w:val="right"/>
        </w:trPr>
        <w:tc>
          <w:tcPr>
            <w:tcW w:w="9588" w:type="dxa"/>
            <w:gridSpan w:val="2"/>
            <w:tcBorders>
              <w:top w:val="single" w:sz="4" w:space="0" w:color="auto"/>
              <w:left w:val="single" w:sz="4" w:space="0" w:color="auto"/>
              <w:bottom w:val="single" w:sz="4" w:space="0" w:color="auto"/>
              <w:right w:val="single" w:sz="4" w:space="0" w:color="auto"/>
            </w:tcBorders>
          </w:tcPr>
          <w:p w14:paraId="38049DB3"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t>3.1  Regulatory measures to reduce exposure</w:t>
            </w:r>
          </w:p>
        </w:tc>
      </w:tr>
      <w:tr w:rsidR="009C38E1" w:rsidRPr="00DF2323" w14:paraId="40FCFE86" w14:textId="77777777" w:rsidTr="00BE0479">
        <w:tblPrEx>
          <w:tblBorders>
            <w:top w:val="none" w:sz="0" w:space="0" w:color="auto"/>
            <w:left w:val="none" w:sz="0" w:space="0" w:color="auto"/>
            <w:bottom w:val="none" w:sz="0" w:space="0" w:color="auto"/>
            <w:right w:val="none" w:sz="0" w:space="0" w:color="auto"/>
          </w:tblBorders>
        </w:tblPrEx>
        <w:trPr>
          <w:jc w:val="right"/>
        </w:trPr>
        <w:tc>
          <w:tcPr>
            <w:tcW w:w="1350" w:type="dxa"/>
          </w:tcPr>
          <w:p w14:paraId="62BBF66A" w14:textId="77777777" w:rsidR="009C38E1" w:rsidRPr="00DF2323" w:rsidRDefault="009C38E1" w:rsidP="00817A0B">
            <w:pPr>
              <w:spacing w:before="120" w:after="120"/>
              <w:outlineLvl w:val="2"/>
              <w:rPr>
                <w:rFonts w:eastAsia="Times New Roman"/>
                <w:b/>
                <w:bCs/>
                <w:i/>
                <w:sz w:val="20"/>
                <w:szCs w:val="20"/>
                <w:lang w:eastAsia="en-US"/>
              </w:rPr>
            </w:pPr>
            <w:r w:rsidRPr="00DF2323">
              <w:rPr>
                <w:rFonts w:eastAsia="Times New Roman"/>
                <w:b/>
                <w:bCs/>
                <w:i/>
                <w:sz w:val="20"/>
                <w:szCs w:val="20"/>
                <w:lang w:eastAsia="en-US"/>
              </w:rPr>
              <w:t>Malaysia</w:t>
            </w:r>
          </w:p>
        </w:tc>
        <w:tc>
          <w:tcPr>
            <w:tcW w:w="8238" w:type="dxa"/>
          </w:tcPr>
          <w:p w14:paraId="0E006A5C" w14:textId="505F638B" w:rsidR="009C38E1" w:rsidRPr="00DF2323" w:rsidRDefault="009C38E1" w:rsidP="00817A0B">
            <w:pPr>
              <w:spacing w:before="120" w:after="120"/>
              <w:rPr>
                <w:rFonts w:eastAsia="Times New Roman"/>
                <w:b/>
                <w:bCs/>
                <w:i/>
                <w:sz w:val="20"/>
                <w:szCs w:val="20"/>
                <w:lang w:eastAsia="en-US"/>
              </w:rPr>
            </w:pPr>
            <w:r w:rsidRPr="00DF2323">
              <w:rPr>
                <w:rFonts w:eastAsia="Times New Roman"/>
                <w:bCs/>
                <w:iCs/>
                <w:sz w:val="20"/>
                <w:szCs w:val="20"/>
                <w:lang w:eastAsia="en-US"/>
              </w:rPr>
              <w:t>Paraquat was banned by the official circular JP/KRP/207/12/656/2 Vol.6 (54) on 16 May 2014 for all applications as a pesticide product as well as its import and export. The phase-out of paraquat was implemented in stages and the total ban entered into force on 1 January 2020.</w:t>
            </w:r>
          </w:p>
        </w:tc>
      </w:tr>
      <w:tr w:rsidR="009C38E1" w:rsidRPr="00DF2323" w14:paraId="11565515" w14:textId="77777777" w:rsidTr="00BE0479">
        <w:tblPrEx>
          <w:tblBorders>
            <w:top w:val="none" w:sz="0" w:space="0" w:color="auto"/>
            <w:left w:val="none" w:sz="0" w:space="0" w:color="auto"/>
            <w:bottom w:val="none" w:sz="0" w:space="0" w:color="auto"/>
            <w:right w:val="none" w:sz="0" w:space="0" w:color="auto"/>
          </w:tblBorders>
        </w:tblPrEx>
        <w:trPr>
          <w:trHeight w:val="74"/>
          <w:jc w:val="right"/>
        </w:trPr>
        <w:tc>
          <w:tcPr>
            <w:tcW w:w="1350" w:type="dxa"/>
          </w:tcPr>
          <w:p w14:paraId="44BD2FE0" w14:textId="77777777" w:rsidR="009C38E1" w:rsidRPr="00DF2323" w:rsidRDefault="009C38E1" w:rsidP="00817A0B">
            <w:pPr>
              <w:spacing w:before="20" w:after="120"/>
              <w:outlineLvl w:val="2"/>
              <w:rPr>
                <w:rFonts w:eastAsia="Times New Roman"/>
                <w:b/>
                <w:bCs/>
                <w:i/>
                <w:sz w:val="20"/>
                <w:szCs w:val="20"/>
                <w:lang w:eastAsia="en-US"/>
              </w:rPr>
            </w:pPr>
            <w:r w:rsidRPr="00DF2323">
              <w:rPr>
                <w:rFonts w:eastAsia="Times New Roman"/>
                <w:b/>
                <w:bCs/>
                <w:i/>
                <w:sz w:val="20"/>
                <w:szCs w:val="20"/>
                <w:lang w:eastAsia="en-US"/>
              </w:rPr>
              <w:t>Mozambique</w:t>
            </w:r>
          </w:p>
        </w:tc>
        <w:tc>
          <w:tcPr>
            <w:tcW w:w="8238" w:type="dxa"/>
          </w:tcPr>
          <w:p w14:paraId="28E26C02" w14:textId="77777777" w:rsidR="009C38E1" w:rsidRPr="00DF2323" w:rsidRDefault="009C38E1" w:rsidP="00817A0B">
            <w:pPr>
              <w:spacing w:before="20" w:after="120"/>
              <w:rPr>
                <w:rFonts w:eastAsia="Times New Roman"/>
                <w:b/>
                <w:bCs/>
                <w:i/>
                <w:sz w:val="20"/>
                <w:szCs w:val="20"/>
                <w:lang w:eastAsia="en-US"/>
              </w:rPr>
            </w:pPr>
            <w:r w:rsidRPr="00DF2323">
              <w:rPr>
                <w:rFonts w:eastAsia="Times New Roman"/>
                <w:bCs/>
                <w:iCs/>
                <w:sz w:val="20"/>
                <w:szCs w:val="20"/>
                <w:lang w:eastAsia="en-US"/>
              </w:rPr>
              <w:t>Paraquat was banned by the National Directorate of Agrarian Services from further import and use in Mozambique by the decision Nr 001/DNSA/2014. The regulatory action entered into force on 31 December 2014.</w:t>
            </w:r>
          </w:p>
        </w:tc>
      </w:tr>
    </w:tbl>
    <w:p w14:paraId="380ABDA1" w14:textId="77777777" w:rsidR="009C38E1" w:rsidRPr="00DF2323" w:rsidRDefault="009C38E1" w:rsidP="009C38E1">
      <w:pPr>
        <w:tabs>
          <w:tab w:val="left" w:pos="-720"/>
          <w:tab w:val="left" w:pos="0"/>
          <w:tab w:val="left" w:pos="720"/>
        </w:tabs>
        <w:suppressAutoHyphens/>
        <w:rPr>
          <w:rFonts w:eastAsia="Times New Roman"/>
          <w:sz w:val="20"/>
          <w:szCs w:val="10"/>
          <w:lang w:eastAsia="en-US"/>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9C38E1" w:rsidRPr="00DF2323" w14:paraId="61B90BEF" w14:textId="77777777" w:rsidTr="00BE0479">
        <w:trPr>
          <w:jc w:val="right"/>
        </w:trPr>
        <w:tc>
          <w:tcPr>
            <w:tcW w:w="9588" w:type="dxa"/>
            <w:tcBorders>
              <w:top w:val="single" w:sz="4" w:space="0" w:color="auto"/>
              <w:left w:val="single" w:sz="4" w:space="0" w:color="auto"/>
              <w:bottom w:val="single" w:sz="4" w:space="0" w:color="auto"/>
              <w:right w:val="single" w:sz="4" w:space="0" w:color="auto"/>
            </w:tcBorders>
          </w:tcPr>
          <w:p w14:paraId="0F198968" w14:textId="77777777" w:rsidR="009C38E1" w:rsidRPr="00DF2323" w:rsidRDefault="009C38E1" w:rsidP="00BE0479">
            <w:pPr>
              <w:keepNext/>
              <w:keepLines/>
              <w:outlineLvl w:val="1"/>
              <w:rPr>
                <w:rFonts w:eastAsia="Times New Roman"/>
                <w:b/>
                <w:bCs/>
                <w:strike/>
                <w:szCs w:val="28"/>
                <w:lang w:eastAsia="en-US"/>
              </w:rPr>
            </w:pPr>
            <w:r w:rsidRPr="00DF2323">
              <w:rPr>
                <w:rFonts w:eastAsia="Times New Roman"/>
                <w:b/>
                <w:bCs/>
                <w:szCs w:val="28"/>
                <w:lang w:eastAsia="en-US"/>
              </w:rPr>
              <w:lastRenderedPageBreak/>
              <w:t>3.2  Other measures to reduce exposure</w:t>
            </w:r>
          </w:p>
        </w:tc>
      </w:tr>
    </w:tbl>
    <w:p w14:paraId="130BAFA9" w14:textId="00E657E7" w:rsidR="009C38E1" w:rsidRPr="00DF2323" w:rsidRDefault="009C38E1" w:rsidP="009C38E1">
      <w:pPr>
        <w:keepNext/>
        <w:keepLines/>
        <w:spacing w:before="120" w:after="120"/>
        <w:rPr>
          <w:i/>
          <w:iCs/>
          <w:lang w:eastAsia="en-US"/>
        </w:rPr>
      </w:pPr>
      <w:r w:rsidRPr="00DF2323">
        <w:rPr>
          <w:b/>
          <w:bCs/>
          <w:i/>
          <w:iCs/>
          <w:sz w:val="20"/>
          <w:szCs w:val="20"/>
          <w:lang w:eastAsia="en-US"/>
        </w:rPr>
        <w:t>Malaysia</w:t>
      </w:r>
    </w:p>
    <w:p w14:paraId="425EA615" w14:textId="77777777" w:rsidR="009C38E1" w:rsidRPr="00DF2323" w:rsidRDefault="009C38E1" w:rsidP="009C38E1">
      <w:pPr>
        <w:keepNext/>
        <w:keepLines/>
        <w:spacing w:after="120"/>
        <w:rPr>
          <w:rFonts w:eastAsia="Times New Roman"/>
          <w:sz w:val="20"/>
          <w:szCs w:val="20"/>
          <w:lang w:eastAsia="en-US"/>
        </w:rPr>
      </w:pPr>
      <w:r w:rsidRPr="00DF2323">
        <w:rPr>
          <w:rFonts w:eastAsia="Times New Roman"/>
          <w:sz w:val="20"/>
          <w:szCs w:val="20"/>
          <w:lang w:eastAsia="en-US"/>
        </w:rPr>
        <w:t>None reported.</w:t>
      </w:r>
    </w:p>
    <w:p w14:paraId="44165C9B" w14:textId="77777777" w:rsidR="009C38E1" w:rsidRPr="00DF2323" w:rsidRDefault="009C38E1" w:rsidP="009C38E1">
      <w:pPr>
        <w:spacing w:after="120"/>
        <w:rPr>
          <w:i/>
          <w:iCs/>
          <w:lang w:eastAsia="en-US"/>
        </w:rPr>
      </w:pPr>
      <w:r w:rsidRPr="00DF2323">
        <w:rPr>
          <w:b/>
          <w:bCs/>
          <w:i/>
          <w:iCs/>
          <w:sz w:val="20"/>
          <w:szCs w:val="20"/>
          <w:lang w:eastAsia="en-US"/>
        </w:rPr>
        <w:t>Mozambique</w:t>
      </w:r>
    </w:p>
    <w:p w14:paraId="28EB6C25" w14:textId="77777777" w:rsidR="009C38E1" w:rsidRPr="00DF2323" w:rsidRDefault="009C38E1" w:rsidP="009C38E1">
      <w:pPr>
        <w:spacing w:after="240"/>
        <w:rPr>
          <w:rFonts w:eastAsia="Times New Roman"/>
          <w:sz w:val="20"/>
          <w:szCs w:val="20"/>
          <w:lang w:eastAsia="en-US"/>
        </w:rPr>
      </w:pPr>
      <w:r w:rsidRPr="00DF2323">
        <w:rPr>
          <w:rFonts w:eastAsia="Times New Roman"/>
          <w:sz w:val="20"/>
          <w:szCs w:val="20"/>
          <w:lang w:eastAsia="en-US"/>
        </w:rPr>
        <w:t>None reported.</w:t>
      </w:r>
    </w:p>
    <w:tbl>
      <w:tblPr>
        <w:tblW w:w="5000" w:type="pct"/>
        <w:jc w:val="right"/>
        <w:tblLayout w:type="fixed"/>
        <w:tblLook w:val="0000" w:firstRow="0" w:lastRow="0" w:firstColumn="0" w:lastColumn="0" w:noHBand="0" w:noVBand="0"/>
      </w:tblPr>
      <w:tblGrid>
        <w:gridCol w:w="1114"/>
        <w:gridCol w:w="880"/>
        <w:gridCol w:w="7493"/>
      </w:tblGrid>
      <w:tr w:rsidR="009C38E1" w:rsidRPr="00DF2323" w14:paraId="2B41C7E7" w14:textId="77777777" w:rsidTr="00817A0B">
        <w:trPr>
          <w:jc w:val="right"/>
        </w:trPr>
        <w:tc>
          <w:tcPr>
            <w:tcW w:w="9487" w:type="dxa"/>
            <w:gridSpan w:val="3"/>
            <w:tcBorders>
              <w:top w:val="single" w:sz="4" w:space="0" w:color="auto"/>
              <w:left w:val="single" w:sz="4" w:space="0" w:color="auto"/>
              <w:bottom w:val="single" w:sz="4" w:space="0" w:color="auto"/>
              <w:right w:val="single" w:sz="4" w:space="0" w:color="auto"/>
            </w:tcBorders>
          </w:tcPr>
          <w:p w14:paraId="6AA08601" w14:textId="77777777" w:rsidR="009C38E1" w:rsidRPr="00DF2323" w:rsidRDefault="009C38E1" w:rsidP="00BE0479">
            <w:pPr>
              <w:outlineLvl w:val="1"/>
              <w:rPr>
                <w:rFonts w:eastAsia="Times New Roman"/>
                <w:b/>
                <w:bCs/>
                <w:szCs w:val="28"/>
                <w:lang w:eastAsia="en-US"/>
              </w:rPr>
            </w:pPr>
            <w:r w:rsidRPr="00DF2323">
              <w:rPr>
                <w:rFonts w:eastAsia="Times New Roman"/>
                <w:b/>
                <w:bCs/>
                <w:szCs w:val="28"/>
                <w:lang w:eastAsia="en-US"/>
              </w:rPr>
              <w:t xml:space="preserve">3.3  Alternatives </w:t>
            </w:r>
          </w:p>
        </w:tc>
      </w:tr>
      <w:tr w:rsidR="009C38E1" w:rsidRPr="00DF2323" w14:paraId="07269834" w14:textId="77777777" w:rsidTr="00817A0B">
        <w:trPr>
          <w:jc w:val="right"/>
        </w:trPr>
        <w:tc>
          <w:tcPr>
            <w:tcW w:w="9487" w:type="dxa"/>
            <w:gridSpan w:val="3"/>
            <w:tcBorders>
              <w:top w:val="single" w:sz="4" w:space="0" w:color="auto"/>
            </w:tcBorders>
          </w:tcPr>
          <w:p w14:paraId="159EC635" w14:textId="77777777" w:rsidR="009C38E1" w:rsidRPr="00DF2323" w:rsidRDefault="009C38E1" w:rsidP="00BE0479">
            <w:pPr>
              <w:outlineLvl w:val="1"/>
              <w:rPr>
                <w:rFonts w:eastAsia="Times New Roman"/>
                <w:b/>
                <w:bCs/>
                <w:szCs w:val="28"/>
                <w:lang w:eastAsia="en-US"/>
              </w:rPr>
            </w:pPr>
          </w:p>
        </w:tc>
      </w:tr>
      <w:tr w:rsidR="009C38E1" w:rsidRPr="00DF2323" w14:paraId="65346984" w14:textId="77777777" w:rsidTr="00817A0B">
        <w:trPr>
          <w:trHeight w:val="1704"/>
          <w:jc w:val="right"/>
        </w:trPr>
        <w:tc>
          <w:tcPr>
            <w:tcW w:w="9487" w:type="dxa"/>
            <w:gridSpan w:val="3"/>
          </w:tcPr>
          <w:p w14:paraId="6EA9B82A" w14:textId="77777777" w:rsidR="009C38E1" w:rsidRPr="00DF2323" w:rsidRDefault="009C38E1" w:rsidP="00BE0479">
            <w:pPr>
              <w:spacing w:before="20" w:after="120"/>
              <w:outlineLvl w:val="2"/>
              <w:rPr>
                <w:rFonts w:eastAsia="Times New Roman"/>
                <w:b/>
                <w:bCs/>
                <w:i/>
                <w:sz w:val="20"/>
                <w:szCs w:val="20"/>
                <w:lang w:eastAsia="en-US"/>
              </w:rPr>
            </w:pPr>
            <w:r w:rsidRPr="00DF2323">
              <w:rPr>
                <w:rFonts w:eastAsia="Times New Roman"/>
                <w:b/>
                <w:bCs/>
                <w:i/>
                <w:sz w:val="20"/>
                <w:szCs w:val="20"/>
                <w:lang w:eastAsia="en-US"/>
              </w:rPr>
              <w:t>Malaysia</w:t>
            </w:r>
          </w:p>
          <w:p w14:paraId="41741034" w14:textId="0F93B470" w:rsidR="009C38E1" w:rsidRPr="00DF2323" w:rsidRDefault="009C38E1" w:rsidP="00F76E2F">
            <w:pPr>
              <w:keepNext/>
              <w:spacing w:after="120"/>
              <w:outlineLvl w:val="8"/>
              <w:rPr>
                <w:rFonts w:eastAsia="Times New Roman"/>
                <w:sz w:val="20"/>
                <w:szCs w:val="20"/>
                <w:lang w:eastAsia="en-US"/>
              </w:rPr>
            </w:pPr>
            <w:r w:rsidRPr="00DF2323">
              <w:rPr>
                <w:rFonts w:eastAsia="Times New Roman"/>
                <w:sz w:val="20"/>
                <w:szCs w:val="20"/>
                <w:lang w:eastAsia="en-US"/>
              </w:rPr>
              <w:t xml:space="preserve">Malaysia included the following chemical alternatives in its notification and supporting documentation: </w:t>
            </w:r>
          </w:p>
          <w:p w14:paraId="1C9E800C"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2,4-d-dimethylammonium (CAS No 2008-39-1)</w:t>
            </w:r>
          </w:p>
          <w:p w14:paraId="07A315B8"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2,4-d-sodium monohydrate (CAS No 2702-72-9)</w:t>
            </w:r>
          </w:p>
          <w:p w14:paraId="1684E0A7"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Ametryn (CAS No 834-12-8)</w:t>
            </w:r>
          </w:p>
          <w:p w14:paraId="02AB31FA"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Atrazine (CAS No 1912-24-9)</w:t>
            </w:r>
          </w:p>
          <w:p w14:paraId="7CA8E5FC"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Bromacil (CAS No 314-40-9)</w:t>
            </w:r>
          </w:p>
          <w:p w14:paraId="768BEE28"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Clethodim (CAS No 99129-21-2), diuron (CAS No 330-54-1)</w:t>
            </w:r>
          </w:p>
          <w:p w14:paraId="713C5DCE"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Fluazifop-p-butyl (CAS No 79241-46-6)</w:t>
            </w:r>
          </w:p>
          <w:p w14:paraId="33E7899E"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Fluroxypyr-meptyl (CAS No 81406-37-3)</w:t>
            </w:r>
          </w:p>
          <w:p w14:paraId="54974DE3"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Glufosinate-ammonium (CAS No 77182-82-2)</w:t>
            </w:r>
          </w:p>
          <w:p w14:paraId="4B93CEFD"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 xml:space="preserve">Glyphosate (CAS No 1071-83-6) </w:t>
            </w:r>
          </w:p>
          <w:p w14:paraId="00788B5E"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 xml:space="preserve">Glyphosate-ammonium (CAS No 114370-14-8), </w:t>
            </w:r>
          </w:p>
          <w:p w14:paraId="2B874541"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Glyphosate-dimethylammonium (CAS No 34494-04-7)</w:t>
            </w:r>
          </w:p>
          <w:p w14:paraId="7F78999D"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Glyphosate-isopropylammonium (CAS No 38641-94-0)</w:t>
            </w:r>
          </w:p>
          <w:p w14:paraId="50AA20EB"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Glyphosate-potassium (CAS No 39600-42-5)</w:t>
            </w:r>
          </w:p>
          <w:p w14:paraId="29BDC9CA"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Glyphosate-sodium (CAS No</w:t>
            </w:r>
            <w:r w:rsidRPr="00DF2323">
              <w:t xml:space="preserve"> </w:t>
            </w:r>
            <w:r w:rsidRPr="00DF2323">
              <w:rPr>
                <w:rFonts w:eastAsia="Times New Roman"/>
                <w:sz w:val="20"/>
                <w:szCs w:val="20"/>
                <w:lang w:eastAsia="en-US"/>
              </w:rPr>
              <w:t>34494-03-6)</w:t>
            </w:r>
          </w:p>
          <w:p w14:paraId="70F30BDE"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Imazapyr-isopropylammonium (CAS No 81510-83-0)</w:t>
            </w:r>
          </w:p>
          <w:p w14:paraId="371B3A69"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Imazethapyr (CAS No 81335-77-5)</w:t>
            </w:r>
          </w:p>
          <w:p w14:paraId="2A9CA43D"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Metolachlor (CAS No 51218-45-2)</w:t>
            </w:r>
          </w:p>
          <w:p w14:paraId="565586AF"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Metsulfuron-methyl (CAS No 74223-64-6)</w:t>
            </w:r>
          </w:p>
          <w:p w14:paraId="2A1CCF34"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Napropamide (CAS No 15299-99-7)</w:t>
            </w:r>
          </w:p>
          <w:p w14:paraId="2E45B963"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Oxyfluorfen (CAS No 42874-03-3)</w:t>
            </w:r>
          </w:p>
          <w:p w14:paraId="43E5C6FC"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Pendimethalin (CAS No 40487-42-1)</w:t>
            </w:r>
          </w:p>
          <w:p w14:paraId="610F77FA"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Pyrazosulfuron-ethyl (CAS No 93697-74-6)</w:t>
            </w:r>
          </w:p>
          <w:p w14:paraId="297AA822" w14:textId="77777777" w:rsidR="009C38E1" w:rsidRPr="00DF2323" w:rsidRDefault="009C38E1" w:rsidP="00BE0479">
            <w:pPr>
              <w:keepNext/>
              <w:outlineLvl w:val="8"/>
              <w:rPr>
                <w:rFonts w:eastAsia="Times New Roman"/>
                <w:sz w:val="20"/>
                <w:szCs w:val="20"/>
                <w:lang w:eastAsia="en-US"/>
              </w:rPr>
            </w:pPr>
            <w:r w:rsidRPr="00DF2323">
              <w:rPr>
                <w:rFonts w:eastAsia="Times New Roman"/>
                <w:sz w:val="20"/>
                <w:szCs w:val="20"/>
                <w:lang w:eastAsia="en-US"/>
              </w:rPr>
              <w:t xml:space="preserve">Quizalofop-ethyl (CAS No 76578-14-8) </w:t>
            </w:r>
          </w:p>
          <w:p w14:paraId="6190F2EC" w14:textId="77777777" w:rsidR="009C38E1" w:rsidRPr="00DF2323" w:rsidRDefault="009C38E1" w:rsidP="00AA1235">
            <w:pPr>
              <w:keepNext/>
              <w:spacing w:after="120"/>
              <w:outlineLvl w:val="8"/>
              <w:rPr>
                <w:rFonts w:eastAsia="Times New Roman"/>
                <w:sz w:val="20"/>
                <w:szCs w:val="20"/>
                <w:lang w:eastAsia="en-US"/>
              </w:rPr>
            </w:pPr>
            <w:r w:rsidRPr="00DF2323">
              <w:rPr>
                <w:rFonts w:eastAsia="Times New Roman"/>
                <w:sz w:val="20"/>
                <w:szCs w:val="20"/>
                <w:lang w:eastAsia="en-US"/>
              </w:rPr>
              <w:t>Disodium Methylarsonate</w:t>
            </w:r>
            <w:r w:rsidRPr="00DF2323" w:rsidDel="0011055A">
              <w:rPr>
                <w:rFonts w:eastAsia="Times New Roman"/>
                <w:sz w:val="20"/>
                <w:szCs w:val="20"/>
                <w:lang w:eastAsia="en-US"/>
              </w:rPr>
              <w:t xml:space="preserve"> </w:t>
            </w:r>
            <w:r w:rsidRPr="00DF2323">
              <w:rPr>
                <w:rFonts w:eastAsia="Times New Roman"/>
                <w:sz w:val="20"/>
                <w:szCs w:val="20"/>
                <w:lang w:eastAsia="en-US"/>
              </w:rPr>
              <w:t>(CAS No 144-21-8) + diuron (CAS No 330-54-1) +2,4-D-sodium (CAS No 2702-72-9).</w:t>
            </w:r>
          </w:p>
          <w:p w14:paraId="50400AF4" w14:textId="77777777" w:rsidR="009C38E1" w:rsidRPr="00DF2323" w:rsidRDefault="009C38E1" w:rsidP="00AA1235">
            <w:pPr>
              <w:spacing w:before="240" w:after="120"/>
              <w:outlineLvl w:val="2"/>
              <w:rPr>
                <w:rFonts w:eastAsia="Times New Roman"/>
                <w:b/>
                <w:bCs/>
                <w:i/>
                <w:sz w:val="20"/>
                <w:szCs w:val="20"/>
                <w:lang w:eastAsia="en-US"/>
              </w:rPr>
            </w:pPr>
            <w:r w:rsidRPr="00DF2323">
              <w:rPr>
                <w:rFonts w:eastAsia="Times New Roman"/>
                <w:b/>
                <w:bCs/>
                <w:i/>
                <w:sz w:val="20"/>
                <w:szCs w:val="20"/>
                <w:lang w:eastAsia="en-US"/>
              </w:rPr>
              <w:t>Mozambique</w:t>
            </w:r>
          </w:p>
          <w:p w14:paraId="43F102E4" w14:textId="77777777" w:rsidR="009C38E1" w:rsidRPr="00DF2323" w:rsidRDefault="009C38E1" w:rsidP="00BE0479">
            <w:pPr>
              <w:keepNext/>
              <w:spacing w:after="120"/>
              <w:outlineLvl w:val="8"/>
              <w:rPr>
                <w:rFonts w:eastAsia="Times New Roman"/>
                <w:bCs/>
                <w:iCs/>
                <w:sz w:val="20"/>
                <w:szCs w:val="20"/>
                <w:lang w:eastAsia="en-US"/>
              </w:rPr>
            </w:pPr>
            <w:r w:rsidRPr="00DF2323">
              <w:rPr>
                <w:rFonts w:eastAsia="Times New Roman"/>
                <w:bCs/>
                <w:iCs/>
                <w:sz w:val="20"/>
                <w:szCs w:val="20"/>
                <w:lang w:eastAsia="en-US"/>
              </w:rPr>
              <w:t xml:space="preserve">The Ministry of Agriculture and Food Security through the National Directorate of Agriculture and Agrarian Services (the pesticide register authority) with link to the producers’ associations and private sector are engaged to assess alternative weed control options and facilitate registration of lower risk herbicides. </w:t>
            </w:r>
          </w:p>
          <w:p w14:paraId="1008ACEA" w14:textId="77777777" w:rsidR="009C38E1" w:rsidRPr="00DF2323" w:rsidRDefault="009C38E1" w:rsidP="00BE0479">
            <w:pPr>
              <w:keepNext/>
              <w:spacing w:after="120"/>
              <w:rPr>
                <w:rFonts w:eastAsia="Times New Roman"/>
                <w:i/>
                <w:iCs/>
                <w:sz w:val="20"/>
                <w:szCs w:val="20"/>
                <w:lang w:eastAsia="en-US"/>
              </w:rPr>
            </w:pPr>
            <w:r w:rsidRPr="00DF2323">
              <w:rPr>
                <w:rFonts w:eastAsia="Times New Roman"/>
                <w:b/>
                <w:i/>
                <w:iCs/>
                <w:sz w:val="20"/>
                <w:szCs w:val="20"/>
                <w:lang w:eastAsia="en-US"/>
              </w:rPr>
              <w:t>General</w:t>
            </w:r>
          </w:p>
          <w:p w14:paraId="37DE3672" w14:textId="77777777" w:rsidR="009C38E1" w:rsidRPr="00DF2323" w:rsidRDefault="009C38E1" w:rsidP="00BE0479">
            <w:pPr>
              <w:keepNext/>
              <w:spacing w:after="120"/>
              <w:rPr>
                <w:rFonts w:eastAsia="Times New Roman"/>
                <w:iCs/>
                <w:sz w:val="20"/>
                <w:szCs w:val="20"/>
                <w:lang w:eastAsia="en-US"/>
              </w:rPr>
            </w:pPr>
            <w:r w:rsidRPr="00DF2323">
              <w:rPr>
                <w:rFonts w:eastAsia="Times New Roman"/>
                <w:iCs/>
                <w:sz w:val="20"/>
                <w:szCs w:val="20"/>
                <w:lang w:eastAsia="en-US"/>
              </w:rPr>
              <w:t>It is essential that before a country considers substituting a substance with alternatives, it ensures that the use is relevant to its national needs, and the anticipated local conditions of use. The hazards of the substitute materials and the measures needed for safe use should also be evaluated.</w:t>
            </w:r>
          </w:p>
          <w:p w14:paraId="62DB780C"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 xml:space="preserve">There are a number of alternative methods involving chemical and non-chemical strategies, including alternative technologies available, depending on the individual crop under consideration. Where necessary, priority should be given to the introduction of integrated weed management and agro-ecological approaches that reduce reliance on herbicides. This is explicitly supported by a broad range of international policy documents, including those of FAO, UNEP, WHO, World Bank and the OECD Development Assistance Committee.  </w:t>
            </w:r>
          </w:p>
          <w:p w14:paraId="18994CE3"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SAICM's Fourth International Conference on Chemicals Management recommended that awareness should be raised to identify and share information about viable alternatives to HHPs, including cultural and environmental management measures, biological controls, biopesticides or less hazardous pesticides (FAO/WHO 2008).</w:t>
            </w:r>
          </w:p>
          <w:p w14:paraId="4C2762DA"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Information on such agroecologically-based practices can be found at the following websites:</w:t>
            </w:r>
          </w:p>
          <w:p w14:paraId="1E081C7D"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 xml:space="preserve">FAO Agroecology hub: </w:t>
            </w:r>
            <w:hyperlink r:id="rId25" w:history="1">
              <w:r w:rsidRPr="00DF2323">
                <w:rPr>
                  <w:rStyle w:val="Hyperlink"/>
                  <w:rFonts w:eastAsia="Times New Roman"/>
                  <w:iCs/>
                  <w:lang w:val="en-GB" w:eastAsia="en-US"/>
                </w:rPr>
                <w:t>http://www.fao.org/agroecology/en/</w:t>
              </w:r>
            </w:hyperlink>
            <w:r w:rsidRPr="00DF2323">
              <w:rPr>
                <w:rFonts w:eastAsia="Times New Roman"/>
                <w:iCs/>
                <w:sz w:val="20"/>
                <w:szCs w:val="20"/>
                <w:lang w:eastAsia="en-US"/>
              </w:rPr>
              <w:t xml:space="preserve"> </w:t>
            </w:r>
          </w:p>
          <w:p w14:paraId="3839B257"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lastRenderedPageBreak/>
              <w:t xml:space="preserve">IPAM (International Peoples Agroecology Multiversity): </w:t>
            </w:r>
            <w:hyperlink r:id="rId26" w:history="1">
              <w:r w:rsidRPr="00DF2323">
                <w:rPr>
                  <w:rStyle w:val="Hyperlink"/>
                  <w:rFonts w:eastAsia="Times New Roman"/>
                  <w:iCs/>
                  <w:lang w:val="en-GB" w:eastAsia="en-US"/>
                </w:rPr>
                <w:t>http://ipam-global.org/</w:t>
              </w:r>
            </w:hyperlink>
            <w:r w:rsidRPr="00DF2323">
              <w:rPr>
                <w:rFonts w:eastAsia="Times New Roman"/>
                <w:iCs/>
                <w:sz w:val="20"/>
                <w:szCs w:val="20"/>
                <w:lang w:eastAsia="en-US"/>
              </w:rPr>
              <w:t xml:space="preserve"> </w:t>
            </w:r>
          </w:p>
          <w:p w14:paraId="187B7FA9"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 xml:space="preserve">OISAT (Online Information Service for Non-Chemical Pest Management in the Tropics): </w:t>
            </w:r>
            <w:hyperlink r:id="rId27" w:history="1">
              <w:r w:rsidRPr="00DF2323">
                <w:rPr>
                  <w:rStyle w:val="Hyperlink"/>
                  <w:rFonts w:eastAsia="Times New Roman"/>
                  <w:iCs/>
                  <w:lang w:val="en-GB" w:eastAsia="en-US"/>
                </w:rPr>
                <w:t>http://www.oisat.org/</w:t>
              </w:r>
            </w:hyperlink>
            <w:r w:rsidRPr="00DF2323">
              <w:rPr>
                <w:rFonts w:eastAsia="Times New Roman"/>
                <w:iCs/>
                <w:sz w:val="20"/>
                <w:szCs w:val="20"/>
                <w:lang w:eastAsia="en-US"/>
              </w:rPr>
              <w:t xml:space="preserve"> </w:t>
            </w:r>
          </w:p>
          <w:p w14:paraId="54DD37E2" w14:textId="77777777" w:rsidR="009C38E1" w:rsidRPr="00DF2323" w:rsidRDefault="009C38E1" w:rsidP="00BE0479">
            <w:pPr>
              <w:spacing w:after="120"/>
              <w:rPr>
                <w:rFonts w:eastAsia="Times New Roman"/>
                <w:iCs/>
                <w:sz w:val="20"/>
                <w:szCs w:val="20"/>
                <w:lang w:eastAsia="en-US"/>
              </w:rPr>
            </w:pPr>
            <w:r w:rsidRPr="00DF2323">
              <w:rPr>
                <w:rFonts w:eastAsia="Times New Roman"/>
                <w:iCs/>
                <w:sz w:val="20"/>
                <w:szCs w:val="20"/>
                <w:lang w:eastAsia="en-US"/>
              </w:rPr>
              <w:t xml:space="preserve">Replacing Chemicals with Biology: Phasing out Highly Hazardous Pesticides with Agroecology: </w:t>
            </w:r>
          </w:p>
          <w:p w14:paraId="45B5A980" w14:textId="77777777" w:rsidR="009C38E1" w:rsidRPr="00DF2323" w:rsidRDefault="00921868" w:rsidP="00BE0479">
            <w:pPr>
              <w:spacing w:after="120"/>
              <w:rPr>
                <w:rFonts w:eastAsia="Times New Roman"/>
                <w:sz w:val="20"/>
                <w:szCs w:val="20"/>
                <w:lang w:eastAsia="en-US"/>
              </w:rPr>
            </w:pPr>
            <w:hyperlink r:id="rId28" w:history="1">
              <w:r w:rsidR="009C38E1" w:rsidRPr="00DF2323">
                <w:rPr>
                  <w:rStyle w:val="Hyperlink"/>
                  <w:rFonts w:eastAsia="Times New Roman"/>
                  <w:iCs/>
                  <w:lang w:val="en-GB" w:eastAsia="en-US"/>
                </w:rPr>
                <w:t>https://saicmknowledge.org/library/replacing-chemicals-biology-phasing-out-highly-hazardous-pesticides-agroecology</w:t>
              </w:r>
            </w:hyperlink>
          </w:p>
        </w:tc>
      </w:tr>
      <w:tr w:rsidR="009C38E1" w:rsidRPr="00DF2323" w14:paraId="0474ABE9" w14:textId="77777777" w:rsidTr="00817A0B">
        <w:trPr>
          <w:jc w:val="right"/>
        </w:trPr>
        <w:tc>
          <w:tcPr>
            <w:tcW w:w="9487" w:type="dxa"/>
            <w:gridSpan w:val="3"/>
            <w:tcBorders>
              <w:top w:val="single" w:sz="4" w:space="0" w:color="auto"/>
              <w:left w:val="single" w:sz="4" w:space="0" w:color="auto"/>
              <w:bottom w:val="single" w:sz="4" w:space="0" w:color="auto"/>
              <w:right w:val="single" w:sz="4" w:space="0" w:color="auto"/>
            </w:tcBorders>
          </w:tcPr>
          <w:p w14:paraId="50205BF5"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lastRenderedPageBreak/>
              <w:t>3.4  Socio-economic effects</w:t>
            </w:r>
          </w:p>
        </w:tc>
      </w:tr>
      <w:tr w:rsidR="009C38E1" w:rsidRPr="00DF2323" w14:paraId="43D91DDD" w14:textId="77777777" w:rsidTr="00817A0B">
        <w:trPr>
          <w:jc w:val="right"/>
        </w:trPr>
        <w:tc>
          <w:tcPr>
            <w:tcW w:w="9487" w:type="dxa"/>
            <w:gridSpan w:val="3"/>
            <w:tcBorders>
              <w:top w:val="single" w:sz="4" w:space="0" w:color="auto"/>
            </w:tcBorders>
          </w:tcPr>
          <w:p w14:paraId="0AF3BE53" w14:textId="77777777" w:rsidR="009C38E1" w:rsidRPr="00DF2323" w:rsidRDefault="009C38E1" w:rsidP="00BE0479">
            <w:pPr>
              <w:keepNext/>
              <w:outlineLvl w:val="1"/>
              <w:rPr>
                <w:rFonts w:eastAsia="Times New Roman"/>
                <w:b/>
                <w:bCs/>
                <w:szCs w:val="28"/>
                <w:lang w:eastAsia="en-US"/>
              </w:rPr>
            </w:pPr>
          </w:p>
        </w:tc>
      </w:tr>
      <w:tr w:rsidR="009C38E1" w:rsidRPr="00DF2323" w14:paraId="7B2135A4" w14:textId="77777777" w:rsidTr="00817A0B">
        <w:trPr>
          <w:jc w:val="right"/>
        </w:trPr>
        <w:tc>
          <w:tcPr>
            <w:tcW w:w="9487" w:type="dxa"/>
            <w:gridSpan w:val="3"/>
          </w:tcPr>
          <w:p w14:paraId="7B5B8B76" w14:textId="77777777" w:rsidR="009C38E1" w:rsidRPr="00DF2323" w:rsidRDefault="009C38E1" w:rsidP="00BE0479">
            <w:pPr>
              <w:spacing w:before="20" w:after="120"/>
              <w:outlineLvl w:val="2"/>
              <w:rPr>
                <w:rFonts w:eastAsia="Times New Roman"/>
                <w:b/>
                <w:bCs/>
                <w:i/>
                <w:sz w:val="20"/>
                <w:szCs w:val="20"/>
                <w:lang w:eastAsia="en-US"/>
              </w:rPr>
            </w:pPr>
            <w:r w:rsidRPr="00DF2323">
              <w:rPr>
                <w:rFonts w:eastAsia="Times New Roman"/>
                <w:b/>
                <w:bCs/>
                <w:i/>
                <w:sz w:val="20"/>
                <w:szCs w:val="20"/>
                <w:lang w:eastAsia="en-US"/>
              </w:rPr>
              <w:t>Malaysia</w:t>
            </w:r>
          </w:p>
          <w:p w14:paraId="02022874" w14:textId="77777777" w:rsidR="009C38E1" w:rsidRPr="00DF2323" w:rsidRDefault="009C38E1" w:rsidP="00BE0479">
            <w:pPr>
              <w:keepNext/>
              <w:spacing w:after="120"/>
              <w:outlineLvl w:val="8"/>
              <w:rPr>
                <w:rFonts w:eastAsia="Times New Roman"/>
                <w:sz w:val="20"/>
                <w:szCs w:val="20"/>
                <w:lang w:eastAsia="en-US"/>
              </w:rPr>
            </w:pPr>
            <w:r w:rsidRPr="00DF2323">
              <w:rPr>
                <w:rFonts w:eastAsia="Times New Roman"/>
                <w:sz w:val="20"/>
                <w:szCs w:val="20"/>
                <w:lang w:eastAsia="en-US"/>
              </w:rPr>
              <w:t>During the review period conducted from 2002 to 2013, the Agriculture Department in collaboration with relevant government agencies conducted studies on the effectiveness of alternative pesticides to paraquat. The Agriculture Department and the Pesticides Board had also held a series of consultations with stakeholders such as the paraquat pesticide industry, producers of alternative pesticides, plantation sector, consumer unions, Non-Governmental Organizations (NGOs), academia and the general public.</w:t>
            </w:r>
          </w:p>
          <w:p w14:paraId="27D6A3EA" w14:textId="77777777" w:rsidR="009C38E1" w:rsidRPr="00DF2323" w:rsidRDefault="009C38E1" w:rsidP="00817A0B">
            <w:pPr>
              <w:keepNext/>
              <w:spacing w:after="120"/>
              <w:outlineLvl w:val="8"/>
              <w:rPr>
                <w:rFonts w:eastAsia="Times New Roman"/>
                <w:sz w:val="20"/>
                <w:szCs w:val="20"/>
                <w:lang w:eastAsia="en-US"/>
              </w:rPr>
            </w:pPr>
            <w:r w:rsidRPr="00DF2323">
              <w:rPr>
                <w:rFonts w:eastAsia="Times New Roman"/>
                <w:sz w:val="20"/>
                <w:szCs w:val="20"/>
                <w:lang w:eastAsia="en-US"/>
              </w:rPr>
              <w:t>In assisting the Pesticides Board to make decisions on paraquat, the Department of Agriculture of Malaysia conducted an alternative efficacy study to control weeds in the recommended crop areas. The Alternative to Paraquat Study Committee was formed and was comprised of members from Malaysia Agricultural Research and Development Institute (MARDI), Cocoa Board, Malaysian Rubber Board, Malaysian Palm Oil Board (MPOB) and the Department of Agriculture. Studies have been conducted for mango, starfruit, cocoa, rubber, oil palm and vegetables. In this study, paraquat herbicides, glufosinate and glyphosate were used for comparative purposes in terms of effectiveness, cost and phytotoxic effects.</w:t>
            </w:r>
          </w:p>
          <w:p w14:paraId="6DB0C9BF" w14:textId="77777777" w:rsidR="009C38E1" w:rsidRPr="00DF2323" w:rsidRDefault="009C38E1" w:rsidP="00BE0479">
            <w:pPr>
              <w:spacing w:after="120"/>
              <w:outlineLvl w:val="8"/>
              <w:rPr>
                <w:rFonts w:eastAsia="Times New Roman"/>
                <w:sz w:val="20"/>
                <w:szCs w:val="20"/>
                <w:lang w:eastAsia="en-US"/>
              </w:rPr>
            </w:pPr>
            <w:r w:rsidRPr="00DF2323">
              <w:rPr>
                <w:rFonts w:eastAsia="Times New Roman"/>
                <w:sz w:val="20"/>
                <w:szCs w:val="20"/>
                <w:lang w:eastAsia="en-US"/>
              </w:rPr>
              <w:t>The study was conducted from 19 May 2010 to March 2011.</w:t>
            </w:r>
          </w:p>
          <w:p w14:paraId="32388904" w14:textId="77777777" w:rsidR="009C38E1" w:rsidRPr="00DF2323" w:rsidRDefault="009C38E1" w:rsidP="00BE0479">
            <w:pPr>
              <w:spacing w:after="120"/>
              <w:outlineLvl w:val="8"/>
              <w:rPr>
                <w:rFonts w:eastAsia="Times New Roman"/>
                <w:sz w:val="20"/>
                <w:szCs w:val="20"/>
                <w:lang w:eastAsia="en-US"/>
              </w:rPr>
            </w:pPr>
            <w:r w:rsidRPr="00DF2323">
              <w:rPr>
                <w:rFonts w:eastAsia="Times New Roman"/>
                <w:sz w:val="20"/>
                <w:szCs w:val="20"/>
                <w:lang w:eastAsia="en-US"/>
              </w:rPr>
              <w:t>The results of the above study were presented at the Pesticides Board in 2011. The findings of the study were summarized as follows:</w:t>
            </w:r>
          </w:p>
          <w:p w14:paraId="3DED3632"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All three herbicides were effective in controlling weeds on all crops tested.</w:t>
            </w:r>
          </w:p>
          <w:p w14:paraId="5044EA8A"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All crops tested did not show phytotoxic effects to the three herbicides if used according to the instructions on the label.</w:t>
            </w:r>
          </w:p>
          <w:p w14:paraId="7EE689D2"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Although all pesticides can control weeds, the control period varies according to the pesticides where the longest control was with glyphosate and followed by glufosinate-ammonium.</w:t>
            </w:r>
          </w:p>
          <w:p w14:paraId="6D422763"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After taking into account all the costs involved (pesticides, equipment, manpower, transportation, water and spray frequency) it was concluded that the cost of using glyphosate was the lowest (65 USD/ha/year) and followed by paraquat (90 USD/ha/year) and glufosinate (100 USD/ha/year).</w:t>
            </w:r>
          </w:p>
          <w:p w14:paraId="1DEDE299" w14:textId="77777777" w:rsidR="009C38E1" w:rsidRPr="00DF2323" w:rsidRDefault="009C38E1" w:rsidP="00BE0479">
            <w:pPr>
              <w:spacing w:after="120"/>
              <w:outlineLvl w:val="8"/>
              <w:rPr>
                <w:rFonts w:eastAsia="Times New Roman"/>
                <w:sz w:val="20"/>
                <w:szCs w:val="20"/>
                <w:lang w:eastAsia="en-US"/>
              </w:rPr>
            </w:pPr>
            <w:r w:rsidRPr="00DF2323">
              <w:rPr>
                <w:rFonts w:eastAsia="Times New Roman"/>
                <w:sz w:val="20"/>
                <w:szCs w:val="20"/>
                <w:lang w:eastAsia="en-US"/>
              </w:rPr>
              <w:t>The results of the verification study conducted on the alternative herbicides were disseminated to consumers through demonstration plots. Apart from that, the Department of Agriculture organised a series of briefings to consumers to disseminate information on alternative pesticides that can be used in weed control to replace paraquat.</w:t>
            </w:r>
          </w:p>
          <w:p w14:paraId="4A1AD522" w14:textId="77777777" w:rsidR="009C38E1" w:rsidRPr="00DF2323" w:rsidRDefault="009C38E1" w:rsidP="00BE0479">
            <w:pPr>
              <w:spacing w:after="120"/>
              <w:outlineLvl w:val="8"/>
              <w:rPr>
                <w:rFonts w:eastAsia="Times New Roman"/>
                <w:sz w:val="20"/>
                <w:szCs w:val="20"/>
                <w:lang w:eastAsia="en-US"/>
              </w:rPr>
            </w:pPr>
            <w:r w:rsidRPr="00DF2323">
              <w:rPr>
                <w:rFonts w:eastAsia="Times New Roman"/>
                <w:sz w:val="20"/>
                <w:szCs w:val="20"/>
                <w:lang w:eastAsia="en-US"/>
              </w:rPr>
              <w:t>Based on the verification and demonstration study, the Malaysian authorities considered that there are cost effective alternative herbicides to control weeds under all crop conditions in place of paraquat, thus supporting the argument that the banning of paraquat will not result in negative implications to farms and plantations industry in Malaysia.</w:t>
            </w:r>
          </w:p>
          <w:p w14:paraId="026F531F" w14:textId="77777777" w:rsidR="009C38E1" w:rsidRPr="00DF2323" w:rsidRDefault="009C38E1" w:rsidP="00BE0479">
            <w:pPr>
              <w:spacing w:after="120"/>
              <w:outlineLvl w:val="8"/>
              <w:rPr>
                <w:rFonts w:eastAsia="Times New Roman"/>
                <w:sz w:val="20"/>
                <w:szCs w:val="20"/>
                <w:lang w:eastAsia="en-US"/>
              </w:rPr>
            </w:pPr>
            <w:r w:rsidRPr="00DF2323">
              <w:rPr>
                <w:rFonts w:eastAsia="Times New Roman"/>
                <w:sz w:val="20"/>
                <w:szCs w:val="20"/>
                <w:lang w:eastAsia="en-US"/>
              </w:rPr>
              <w:t>The following studies were also considered during the review period:</w:t>
            </w:r>
          </w:p>
          <w:p w14:paraId="03D4709B"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'The Economic And Social Impact of A Paraquat Prohibition In Malaysia: A Position Paper' conducted by Intercedent Asia (Asian Consultation &amp; Research) sponsored by Syngenta Malaysia in 2003.</w:t>
            </w:r>
          </w:p>
          <w:p w14:paraId="07F0A176"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A study on the use of pesticides in the oil palm plantation sector in Malaysia conducted by the Commonwealth Agricultural Bureau International (CABI) on behalf of The Roundtable On Sustainable Oil Palm (RSPO).</w:t>
            </w:r>
          </w:p>
          <w:p w14:paraId="356EEA59" w14:textId="77777777" w:rsidR="009C38E1" w:rsidRPr="00DF2323" w:rsidRDefault="009C38E1" w:rsidP="009C38E1">
            <w:pPr>
              <w:numPr>
                <w:ilvl w:val="0"/>
                <w:numId w:val="30"/>
              </w:numPr>
              <w:spacing w:after="120"/>
              <w:outlineLvl w:val="8"/>
              <w:rPr>
                <w:rFonts w:eastAsia="Times New Roman"/>
                <w:sz w:val="20"/>
                <w:szCs w:val="20"/>
                <w:lang w:eastAsia="en-US"/>
              </w:rPr>
            </w:pPr>
            <w:r w:rsidRPr="00DF2323">
              <w:rPr>
                <w:rFonts w:eastAsia="Times New Roman"/>
                <w:sz w:val="20"/>
                <w:szCs w:val="20"/>
                <w:lang w:eastAsia="en-US"/>
              </w:rPr>
              <w:t xml:space="preserve">A study on the implication of paraquat banning in Malaysia conducted by the Malaysian Palm Oil Board (MPOB) in collaboration with University of Sains Malaysia (USM), University of Putra Malaysia (UPM) and several other parties. </w:t>
            </w:r>
          </w:p>
        </w:tc>
      </w:tr>
      <w:tr w:rsidR="009C38E1" w:rsidRPr="00DF2323" w14:paraId="0F30F047" w14:textId="77777777" w:rsidTr="00817A0B">
        <w:tblPrEx>
          <w:tblCellMar>
            <w:left w:w="107" w:type="dxa"/>
            <w:right w:w="107" w:type="dxa"/>
          </w:tblCellMar>
        </w:tblPrEx>
        <w:trPr>
          <w:jc w:val="right"/>
        </w:trPr>
        <w:tc>
          <w:tcPr>
            <w:tcW w:w="9487" w:type="dxa"/>
            <w:gridSpan w:val="3"/>
            <w:tcBorders>
              <w:top w:val="single" w:sz="6" w:space="0" w:color="000000"/>
              <w:left w:val="single" w:sz="6" w:space="0" w:color="000000"/>
              <w:bottom w:val="single" w:sz="4" w:space="0" w:color="auto"/>
              <w:right w:val="single" w:sz="6" w:space="0" w:color="000000"/>
            </w:tcBorders>
            <w:shd w:val="pct15" w:color="auto" w:fill="FFFFFF"/>
          </w:tcPr>
          <w:p w14:paraId="2E084AF9" w14:textId="77777777" w:rsidR="009C38E1" w:rsidRPr="00DF2323" w:rsidRDefault="009C38E1" w:rsidP="00817A0B">
            <w:pPr>
              <w:keepNext/>
              <w:keepLines/>
              <w:rPr>
                <w:rFonts w:eastAsia="Times New Roman"/>
                <w:b/>
                <w:szCs w:val="20"/>
                <w:lang w:eastAsia="en-US"/>
              </w:rPr>
            </w:pPr>
            <w:r w:rsidRPr="00DF2323">
              <w:rPr>
                <w:rFonts w:eastAsia="Times New Roman"/>
                <w:b/>
                <w:szCs w:val="20"/>
                <w:lang w:eastAsia="en-US"/>
              </w:rPr>
              <w:lastRenderedPageBreak/>
              <w:t>4. Hazards and Risks to human health and the environment</w:t>
            </w:r>
          </w:p>
        </w:tc>
      </w:tr>
      <w:tr w:rsidR="009C38E1" w:rsidRPr="00DF2323" w14:paraId="07409D71" w14:textId="77777777" w:rsidTr="00817A0B">
        <w:tblPrEx>
          <w:tblCellMar>
            <w:left w:w="107" w:type="dxa"/>
            <w:right w:w="107" w:type="dxa"/>
          </w:tblCellMar>
        </w:tblPrEx>
        <w:trPr>
          <w:jc w:val="right"/>
        </w:trPr>
        <w:tc>
          <w:tcPr>
            <w:tcW w:w="9487" w:type="dxa"/>
            <w:gridSpan w:val="3"/>
            <w:tcBorders>
              <w:top w:val="single" w:sz="4" w:space="0" w:color="auto"/>
              <w:left w:val="single" w:sz="4" w:space="0" w:color="auto"/>
              <w:bottom w:val="single" w:sz="4" w:space="0" w:color="auto"/>
              <w:right w:val="single" w:sz="4" w:space="0" w:color="auto"/>
            </w:tcBorders>
            <w:shd w:val="clear" w:color="auto" w:fill="auto"/>
          </w:tcPr>
          <w:p w14:paraId="637E81A6" w14:textId="77777777" w:rsidR="009C38E1" w:rsidRPr="00DF2323" w:rsidRDefault="009C38E1" w:rsidP="00817A0B">
            <w:pPr>
              <w:keepNext/>
              <w:keepLines/>
              <w:rPr>
                <w:rFonts w:eastAsia="Times New Roman"/>
                <w:b/>
                <w:sz w:val="28"/>
                <w:szCs w:val="20"/>
                <w:lang w:eastAsia="en-US"/>
              </w:rPr>
            </w:pPr>
            <w:r w:rsidRPr="00DF2323">
              <w:rPr>
                <w:rFonts w:eastAsia="Times New Roman"/>
                <w:b/>
                <w:szCs w:val="20"/>
                <w:lang w:eastAsia="en-US"/>
              </w:rPr>
              <w:t xml:space="preserve">4.1 Hazard Classification </w:t>
            </w:r>
          </w:p>
        </w:tc>
      </w:tr>
      <w:tr w:rsidR="009C38E1" w:rsidRPr="00DF2323" w14:paraId="028971B7" w14:textId="77777777" w:rsidTr="00817A0B">
        <w:tblPrEx>
          <w:tblCellMar>
            <w:left w:w="107" w:type="dxa"/>
            <w:right w:w="107" w:type="dxa"/>
          </w:tblCellMar>
        </w:tblPrEx>
        <w:trPr>
          <w:jc w:val="right"/>
        </w:trPr>
        <w:tc>
          <w:tcPr>
            <w:tcW w:w="1114" w:type="dxa"/>
            <w:tcBorders>
              <w:top w:val="single" w:sz="4" w:space="0" w:color="auto"/>
              <w:left w:val="single" w:sz="4" w:space="0" w:color="auto"/>
              <w:bottom w:val="single" w:sz="4" w:space="0" w:color="auto"/>
              <w:right w:val="single" w:sz="4" w:space="0" w:color="auto"/>
            </w:tcBorders>
          </w:tcPr>
          <w:p w14:paraId="54E4AD40"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WHO / IPCS</w:t>
            </w:r>
          </w:p>
        </w:tc>
        <w:tc>
          <w:tcPr>
            <w:tcW w:w="8373" w:type="dxa"/>
            <w:gridSpan w:val="2"/>
            <w:tcBorders>
              <w:top w:val="single" w:sz="4" w:space="0" w:color="auto"/>
              <w:left w:val="single" w:sz="4" w:space="0" w:color="auto"/>
              <w:bottom w:val="single" w:sz="4" w:space="0" w:color="auto"/>
              <w:right w:val="single" w:sz="4" w:space="0" w:color="auto"/>
            </w:tcBorders>
          </w:tcPr>
          <w:p w14:paraId="63D748BD" w14:textId="77777777" w:rsidR="009C38E1" w:rsidRPr="00DF2323" w:rsidRDefault="009C38E1" w:rsidP="00817A0B">
            <w:pPr>
              <w:spacing w:after="120"/>
              <w:rPr>
                <w:rFonts w:eastAsia="Times New Roman"/>
                <w:sz w:val="20"/>
                <w:szCs w:val="20"/>
                <w:lang w:eastAsia="en-US"/>
              </w:rPr>
            </w:pPr>
            <w:r w:rsidRPr="00DF2323">
              <w:rPr>
                <w:rFonts w:eastAsia="Times New Roman"/>
                <w:sz w:val="20"/>
                <w:szCs w:val="20"/>
                <w:lang w:eastAsia="en-US"/>
              </w:rPr>
              <w:t>Moderately hazardous (Class II) with notes 7 and 15. (WHO, 2010, 2019)</w:t>
            </w:r>
          </w:p>
          <w:p w14:paraId="24C641E7" w14:textId="77777777" w:rsidR="009C38E1" w:rsidRPr="00DF2323" w:rsidRDefault="009C38E1" w:rsidP="00817A0B">
            <w:pPr>
              <w:spacing w:after="120"/>
              <w:rPr>
                <w:rFonts w:eastAsia="Times New Roman"/>
                <w:sz w:val="20"/>
                <w:szCs w:val="20"/>
                <w:lang w:eastAsia="en-US"/>
              </w:rPr>
            </w:pPr>
            <w:r w:rsidRPr="00DF2323">
              <w:rPr>
                <w:rFonts w:eastAsia="Times New Roman"/>
                <w:sz w:val="20"/>
                <w:szCs w:val="20"/>
                <w:lang w:eastAsia="en-US"/>
              </w:rPr>
              <w:t>Note 7. Paraquat has serious delayed effects if absorbed. It is of relatively low hazard in normal use but may be fatal if the concentrated product is taken by mouth or spread on the skin. May be used as paraquat dichloride (CAS number 1910-42-5).</w:t>
            </w:r>
          </w:p>
          <w:p w14:paraId="0185BBFC" w14:textId="2DCDECAF" w:rsidR="009C38E1" w:rsidRPr="00DF2323" w:rsidRDefault="009C38E1" w:rsidP="00817A0B">
            <w:pPr>
              <w:spacing w:after="120"/>
              <w:rPr>
                <w:rFonts w:eastAsia="Times New Roman"/>
                <w:sz w:val="20"/>
                <w:szCs w:val="20"/>
                <w:lang w:eastAsia="en-US"/>
              </w:rPr>
            </w:pPr>
            <w:r w:rsidRPr="00DF2323">
              <w:rPr>
                <w:rFonts w:eastAsia="Times New Roman"/>
                <w:sz w:val="20"/>
                <w:szCs w:val="20"/>
                <w:lang w:eastAsia="en-US"/>
              </w:rPr>
              <w:t>Notes 15. A high case fatality has been reported in poisoning cases with this substance.</w:t>
            </w:r>
          </w:p>
        </w:tc>
      </w:tr>
      <w:tr w:rsidR="009C38E1" w:rsidRPr="00DF2323" w14:paraId="7417B703" w14:textId="77777777" w:rsidTr="00817A0B">
        <w:tblPrEx>
          <w:tblCellMar>
            <w:left w:w="107" w:type="dxa"/>
            <w:right w:w="107" w:type="dxa"/>
          </w:tblCellMar>
        </w:tblPrEx>
        <w:trPr>
          <w:jc w:val="right"/>
        </w:trPr>
        <w:tc>
          <w:tcPr>
            <w:tcW w:w="1114" w:type="dxa"/>
            <w:tcBorders>
              <w:top w:val="single" w:sz="4" w:space="0" w:color="auto"/>
              <w:left w:val="single" w:sz="4" w:space="0" w:color="auto"/>
              <w:bottom w:val="single" w:sz="4" w:space="0" w:color="auto"/>
              <w:right w:val="single" w:sz="4" w:space="0" w:color="auto"/>
            </w:tcBorders>
          </w:tcPr>
          <w:p w14:paraId="6DDC31AD" w14:textId="77777777" w:rsidR="009C38E1" w:rsidRPr="00DF2323" w:rsidRDefault="009C38E1" w:rsidP="00BE0479">
            <w:pPr>
              <w:spacing w:before="20" w:after="20"/>
              <w:outlineLvl w:val="2"/>
              <w:rPr>
                <w:rFonts w:eastAsia="Times New Roman"/>
                <w:b/>
                <w:bCs/>
                <w:sz w:val="20"/>
                <w:szCs w:val="20"/>
                <w:lang w:eastAsia="en-US"/>
              </w:rPr>
            </w:pPr>
            <w:smartTag w:uri="urn:schemas-microsoft-com:office:smarttags" w:element="stockticker">
              <w:r w:rsidRPr="00DF2323">
                <w:rPr>
                  <w:rFonts w:eastAsia="Times New Roman"/>
                  <w:b/>
                  <w:bCs/>
                  <w:sz w:val="20"/>
                  <w:szCs w:val="20"/>
                  <w:lang w:eastAsia="en-US"/>
                </w:rPr>
                <w:t>IARC</w:t>
              </w:r>
            </w:smartTag>
          </w:p>
        </w:tc>
        <w:tc>
          <w:tcPr>
            <w:tcW w:w="8373" w:type="dxa"/>
            <w:gridSpan w:val="2"/>
            <w:tcBorders>
              <w:top w:val="single" w:sz="4" w:space="0" w:color="auto"/>
              <w:left w:val="single" w:sz="4" w:space="0" w:color="auto"/>
              <w:bottom w:val="single" w:sz="4" w:space="0" w:color="auto"/>
              <w:right w:val="single" w:sz="4" w:space="0" w:color="auto"/>
            </w:tcBorders>
          </w:tcPr>
          <w:p w14:paraId="1DBCEE89" w14:textId="6A2F2180" w:rsidR="009C38E1" w:rsidRPr="00DF2323" w:rsidRDefault="009C38E1" w:rsidP="00817A0B">
            <w:pPr>
              <w:rPr>
                <w:rFonts w:eastAsia="Times New Roman"/>
                <w:sz w:val="20"/>
                <w:szCs w:val="20"/>
                <w:lang w:eastAsia="en-US"/>
              </w:rPr>
            </w:pPr>
            <w:r w:rsidRPr="00DF2323">
              <w:rPr>
                <w:rFonts w:eastAsia="Times New Roman"/>
                <w:sz w:val="20"/>
                <w:szCs w:val="20"/>
                <w:lang w:eastAsia="en-US"/>
              </w:rPr>
              <w:t>Not evaluated</w:t>
            </w:r>
          </w:p>
        </w:tc>
      </w:tr>
      <w:tr w:rsidR="009C38E1" w:rsidRPr="00DF2323" w14:paraId="5C42D73E" w14:textId="77777777" w:rsidTr="00817A0B">
        <w:tblPrEx>
          <w:tblCellMar>
            <w:left w:w="107" w:type="dxa"/>
            <w:right w:w="107" w:type="dxa"/>
          </w:tblCellMar>
        </w:tblPrEx>
        <w:trPr>
          <w:trHeight w:val="3432"/>
          <w:jc w:val="right"/>
        </w:trPr>
        <w:tc>
          <w:tcPr>
            <w:tcW w:w="1114" w:type="dxa"/>
            <w:tcBorders>
              <w:top w:val="single" w:sz="4" w:space="0" w:color="auto"/>
              <w:left w:val="single" w:sz="6" w:space="0" w:color="auto"/>
              <w:bottom w:val="single" w:sz="4" w:space="0" w:color="auto"/>
              <w:right w:val="single" w:sz="6" w:space="0" w:color="auto"/>
            </w:tcBorders>
          </w:tcPr>
          <w:p w14:paraId="4CD4E59A"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European Union</w:t>
            </w:r>
          </w:p>
        </w:tc>
        <w:tc>
          <w:tcPr>
            <w:tcW w:w="8373" w:type="dxa"/>
            <w:gridSpan w:val="2"/>
            <w:tcBorders>
              <w:top w:val="single" w:sz="4" w:space="0" w:color="auto"/>
              <w:bottom w:val="single" w:sz="4" w:space="0" w:color="auto"/>
              <w:right w:val="single" w:sz="6" w:space="0" w:color="auto"/>
            </w:tcBorders>
          </w:tcPr>
          <w:p w14:paraId="1E7913F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Classification according to Regulation (EC) No 1272/2008 of the European Parliament and of the Council (CLP-Regulation)</w:t>
            </w:r>
          </w:p>
          <w:tbl>
            <w:tblPr>
              <w:tblpPr w:leftFromText="180" w:rightFromText="180" w:vertAnchor="text" w:horzAnchor="margin" w:tblpY="322"/>
              <w:tblOverlap w:val="never"/>
              <w:tblW w:w="7687" w:type="dxa"/>
              <w:tblLayout w:type="fixed"/>
              <w:tblLook w:val="04A0" w:firstRow="1" w:lastRow="0" w:firstColumn="1" w:lastColumn="0" w:noHBand="0" w:noVBand="1"/>
            </w:tblPr>
            <w:tblGrid>
              <w:gridCol w:w="1734"/>
              <w:gridCol w:w="5953"/>
            </w:tblGrid>
            <w:tr w:rsidR="009C38E1" w:rsidRPr="00DF2323" w14:paraId="7F55C053" w14:textId="77777777" w:rsidTr="00BE0479">
              <w:trPr>
                <w:trHeight w:val="265"/>
              </w:trPr>
              <w:tc>
                <w:tcPr>
                  <w:tcW w:w="1734" w:type="dxa"/>
                  <w:tcBorders>
                    <w:top w:val="nil"/>
                    <w:left w:val="nil"/>
                    <w:bottom w:val="nil"/>
                    <w:right w:val="nil"/>
                  </w:tcBorders>
                  <w:shd w:val="clear" w:color="auto" w:fill="auto"/>
                  <w:vAlign w:val="center"/>
                  <w:hideMark/>
                </w:tcPr>
                <w:p w14:paraId="2600E951"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Acute Tox. 3 * </w:t>
                  </w:r>
                </w:p>
              </w:tc>
              <w:tc>
                <w:tcPr>
                  <w:tcW w:w="5953" w:type="dxa"/>
                  <w:tcBorders>
                    <w:top w:val="nil"/>
                    <w:left w:val="nil"/>
                    <w:bottom w:val="nil"/>
                    <w:right w:val="nil"/>
                  </w:tcBorders>
                  <w:shd w:val="clear" w:color="auto" w:fill="auto"/>
                  <w:vAlign w:val="center"/>
                  <w:hideMark/>
                </w:tcPr>
                <w:p w14:paraId="0C038D70"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H301 -Toxic if swallowed </w:t>
                  </w:r>
                </w:p>
              </w:tc>
            </w:tr>
            <w:tr w:rsidR="009C38E1" w:rsidRPr="00DF2323" w14:paraId="7D6E2380" w14:textId="77777777" w:rsidTr="00BE0479">
              <w:trPr>
                <w:trHeight w:val="265"/>
              </w:trPr>
              <w:tc>
                <w:tcPr>
                  <w:tcW w:w="1734" w:type="dxa"/>
                  <w:tcBorders>
                    <w:top w:val="nil"/>
                    <w:left w:val="nil"/>
                    <w:bottom w:val="nil"/>
                    <w:right w:val="nil"/>
                  </w:tcBorders>
                  <w:shd w:val="clear" w:color="auto" w:fill="auto"/>
                  <w:vAlign w:val="center"/>
                  <w:hideMark/>
                </w:tcPr>
                <w:p w14:paraId="17C02AA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Acute Tox. 3 * </w:t>
                  </w:r>
                </w:p>
              </w:tc>
              <w:tc>
                <w:tcPr>
                  <w:tcW w:w="5953" w:type="dxa"/>
                  <w:tcBorders>
                    <w:top w:val="nil"/>
                    <w:left w:val="nil"/>
                    <w:bottom w:val="nil"/>
                    <w:right w:val="nil"/>
                  </w:tcBorders>
                  <w:shd w:val="clear" w:color="auto" w:fill="auto"/>
                  <w:vAlign w:val="center"/>
                  <w:hideMark/>
                </w:tcPr>
                <w:p w14:paraId="42316EA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H311 – Toxic in contact with skin</w:t>
                  </w:r>
                </w:p>
              </w:tc>
            </w:tr>
            <w:tr w:rsidR="009C38E1" w:rsidRPr="00DF2323" w14:paraId="7EED6799" w14:textId="77777777" w:rsidTr="00BE0479">
              <w:trPr>
                <w:trHeight w:val="265"/>
              </w:trPr>
              <w:tc>
                <w:tcPr>
                  <w:tcW w:w="1734" w:type="dxa"/>
                  <w:tcBorders>
                    <w:top w:val="nil"/>
                    <w:left w:val="nil"/>
                    <w:bottom w:val="nil"/>
                    <w:right w:val="nil"/>
                  </w:tcBorders>
                  <w:shd w:val="clear" w:color="auto" w:fill="auto"/>
                  <w:vAlign w:val="center"/>
                  <w:hideMark/>
                </w:tcPr>
                <w:p w14:paraId="0554DFD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Skin Irrit. 2 </w:t>
                  </w:r>
                </w:p>
              </w:tc>
              <w:tc>
                <w:tcPr>
                  <w:tcW w:w="5953" w:type="dxa"/>
                  <w:tcBorders>
                    <w:top w:val="nil"/>
                    <w:left w:val="nil"/>
                    <w:bottom w:val="nil"/>
                    <w:right w:val="nil"/>
                  </w:tcBorders>
                  <w:shd w:val="clear" w:color="auto" w:fill="auto"/>
                  <w:vAlign w:val="center"/>
                  <w:hideMark/>
                </w:tcPr>
                <w:p w14:paraId="241CC63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H315 – Causes skin irritation</w:t>
                  </w:r>
                </w:p>
              </w:tc>
            </w:tr>
            <w:tr w:rsidR="009C38E1" w:rsidRPr="00DF2323" w14:paraId="71782141" w14:textId="77777777" w:rsidTr="00BE0479">
              <w:trPr>
                <w:trHeight w:val="265"/>
              </w:trPr>
              <w:tc>
                <w:tcPr>
                  <w:tcW w:w="1734" w:type="dxa"/>
                  <w:tcBorders>
                    <w:top w:val="nil"/>
                    <w:left w:val="nil"/>
                    <w:bottom w:val="nil"/>
                    <w:right w:val="nil"/>
                  </w:tcBorders>
                  <w:shd w:val="clear" w:color="auto" w:fill="auto"/>
                  <w:vAlign w:val="center"/>
                  <w:hideMark/>
                </w:tcPr>
                <w:p w14:paraId="74AC5230"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Eye Irrit. 2 </w:t>
                  </w:r>
                </w:p>
              </w:tc>
              <w:tc>
                <w:tcPr>
                  <w:tcW w:w="5953" w:type="dxa"/>
                  <w:tcBorders>
                    <w:top w:val="nil"/>
                    <w:left w:val="nil"/>
                    <w:bottom w:val="nil"/>
                    <w:right w:val="nil"/>
                  </w:tcBorders>
                  <w:shd w:val="clear" w:color="auto" w:fill="auto"/>
                  <w:vAlign w:val="center"/>
                  <w:hideMark/>
                </w:tcPr>
                <w:p w14:paraId="11D9F426"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H319 – Causes serious eye irritation </w:t>
                  </w:r>
                </w:p>
              </w:tc>
            </w:tr>
            <w:tr w:rsidR="009C38E1" w:rsidRPr="00DF2323" w14:paraId="7A87AAA1" w14:textId="77777777" w:rsidTr="00BE0479">
              <w:trPr>
                <w:trHeight w:val="265"/>
              </w:trPr>
              <w:tc>
                <w:tcPr>
                  <w:tcW w:w="1734" w:type="dxa"/>
                  <w:tcBorders>
                    <w:top w:val="nil"/>
                    <w:left w:val="nil"/>
                    <w:bottom w:val="nil"/>
                    <w:right w:val="nil"/>
                  </w:tcBorders>
                  <w:shd w:val="clear" w:color="auto" w:fill="auto"/>
                  <w:vAlign w:val="center"/>
                  <w:hideMark/>
                </w:tcPr>
                <w:p w14:paraId="28A0B77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Acute Tox. 2 * </w:t>
                  </w:r>
                </w:p>
              </w:tc>
              <w:tc>
                <w:tcPr>
                  <w:tcW w:w="5953" w:type="dxa"/>
                  <w:tcBorders>
                    <w:top w:val="nil"/>
                    <w:left w:val="nil"/>
                    <w:bottom w:val="nil"/>
                    <w:right w:val="nil"/>
                  </w:tcBorders>
                  <w:shd w:val="clear" w:color="auto" w:fill="auto"/>
                  <w:vAlign w:val="center"/>
                  <w:hideMark/>
                </w:tcPr>
                <w:p w14:paraId="38AA5B91"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H330 – Fatal if inhaled</w:t>
                  </w:r>
                </w:p>
              </w:tc>
            </w:tr>
            <w:tr w:rsidR="009C38E1" w:rsidRPr="00DF2323" w14:paraId="61B3304F" w14:textId="77777777" w:rsidTr="00BE0479">
              <w:trPr>
                <w:trHeight w:val="265"/>
              </w:trPr>
              <w:tc>
                <w:tcPr>
                  <w:tcW w:w="1734" w:type="dxa"/>
                  <w:tcBorders>
                    <w:top w:val="nil"/>
                    <w:left w:val="nil"/>
                    <w:bottom w:val="nil"/>
                    <w:right w:val="nil"/>
                  </w:tcBorders>
                  <w:shd w:val="clear" w:color="auto" w:fill="auto"/>
                  <w:vAlign w:val="center"/>
                  <w:hideMark/>
                </w:tcPr>
                <w:p w14:paraId="41A9E45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STOT SE 3 </w:t>
                  </w:r>
                </w:p>
              </w:tc>
              <w:tc>
                <w:tcPr>
                  <w:tcW w:w="5953" w:type="dxa"/>
                  <w:tcBorders>
                    <w:top w:val="nil"/>
                    <w:left w:val="nil"/>
                    <w:bottom w:val="nil"/>
                    <w:right w:val="nil"/>
                  </w:tcBorders>
                  <w:shd w:val="clear" w:color="auto" w:fill="auto"/>
                  <w:vAlign w:val="center"/>
                  <w:hideMark/>
                </w:tcPr>
                <w:p w14:paraId="2DA9AF34"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H335 – May cause respiratory irritation</w:t>
                  </w:r>
                </w:p>
              </w:tc>
            </w:tr>
            <w:tr w:rsidR="009C38E1" w:rsidRPr="00DF2323" w14:paraId="2ED5662E" w14:textId="77777777" w:rsidTr="00BE0479">
              <w:trPr>
                <w:trHeight w:val="265"/>
              </w:trPr>
              <w:tc>
                <w:tcPr>
                  <w:tcW w:w="1734" w:type="dxa"/>
                  <w:tcBorders>
                    <w:top w:val="nil"/>
                    <w:left w:val="nil"/>
                    <w:bottom w:val="nil"/>
                    <w:right w:val="nil"/>
                  </w:tcBorders>
                  <w:shd w:val="clear" w:color="auto" w:fill="auto"/>
                  <w:vAlign w:val="center"/>
                  <w:hideMark/>
                </w:tcPr>
                <w:p w14:paraId="32513F6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STOT RE 1 </w:t>
                  </w:r>
                </w:p>
              </w:tc>
              <w:tc>
                <w:tcPr>
                  <w:tcW w:w="5953" w:type="dxa"/>
                  <w:tcBorders>
                    <w:top w:val="nil"/>
                    <w:left w:val="nil"/>
                    <w:bottom w:val="nil"/>
                    <w:right w:val="nil"/>
                  </w:tcBorders>
                  <w:shd w:val="clear" w:color="auto" w:fill="auto"/>
                  <w:vAlign w:val="center"/>
                  <w:hideMark/>
                </w:tcPr>
                <w:p w14:paraId="71FA6A85"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H372 ** - Causes damaged to organs through prolonged or repeated exposure</w:t>
                  </w:r>
                </w:p>
              </w:tc>
            </w:tr>
            <w:tr w:rsidR="009C38E1" w:rsidRPr="00DF2323" w14:paraId="2102841C" w14:textId="77777777" w:rsidTr="00BE0479">
              <w:trPr>
                <w:trHeight w:val="265"/>
              </w:trPr>
              <w:tc>
                <w:tcPr>
                  <w:tcW w:w="1734" w:type="dxa"/>
                  <w:tcBorders>
                    <w:top w:val="nil"/>
                    <w:left w:val="nil"/>
                    <w:bottom w:val="nil"/>
                    <w:right w:val="nil"/>
                  </w:tcBorders>
                  <w:shd w:val="clear" w:color="auto" w:fill="auto"/>
                  <w:vAlign w:val="center"/>
                  <w:hideMark/>
                </w:tcPr>
                <w:p w14:paraId="4BBDC1E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Aquatic Acute 1 </w:t>
                  </w:r>
                </w:p>
              </w:tc>
              <w:tc>
                <w:tcPr>
                  <w:tcW w:w="5953" w:type="dxa"/>
                  <w:tcBorders>
                    <w:top w:val="nil"/>
                    <w:left w:val="nil"/>
                    <w:bottom w:val="nil"/>
                    <w:right w:val="nil"/>
                  </w:tcBorders>
                  <w:shd w:val="clear" w:color="auto" w:fill="auto"/>
                  <w:vAlign w:val="center"/>
                  <w:hideMark/>
                </w:tcPr>
                <w:p w14:paraId="49C4E14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H400 – Very toxic to aquatic life</w:t>
                  </w:r>
                </w:p>
              </w:tc>
            </w:tr>
            <w:tr w:rsidR="009C38E1" w:rsidRPr="00DF2323" w14:paraId="0A66C2E7" w14:textId="77777777" w:rsidTr="00BE0479">
              <w:trPr>
                <w:trHeight w:val="265"/>
              </w:trPr>
              <w:tc>
                <w:tcPr>
                  <w:tcW w:w="1734" w:type="dxa"/>
                  <w:tcBorders>
                    <w:top w:val="nil"/>
                    <w:left w:val="nil"/>
                    <w:bottom w:val="nil"/>
                    <w:right w:val="nil"/>
                  </w:tcBorders>
                  <w:shd w:val="clear" w:color="auto" w:fill="auto"/>
                  <w:vAlign w:val="center"/>
                  <w:hideMark/>
                </w:tcPr>
                <w:p w14:paraId="7892E58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Aquatic Chronic 1 </w:t>
                  </w:r>
                </w:p>
              </w:tc>
              <w:tc>
                <w:tcPr>
                  <w:tcW w:w="5953" w:type="dxa"/>
                  <w:tcBorders>
                    <w:top w:val="nil"/>
                    <w:left w:val="nil"/>
                    <w:bottom w:val="nil"/>
                    <w:right w:val="nil"/>
                  </w:tcBorders>
                  <w:shd w:val="clear" w:color="auto" w:fill="auto"/>
                  <w:vAlign w:val="center"/>
                  <w:hideMark/>
                </w:tcPr>
                <w:p w14:paraId="367D926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H410 – Very toxic to aquatic life with long lasting effects</w:t>
                  </w:r>
                </w:p>
              </w:tc>
            </w:tr>
          </w:tbl>
          <w:p w14:paraId="234FDBF4" w14:textId="77777777" w:rsidR="009C38E1" w:rsidRPr="00DF2323" w:rsidRDefault="009C38E1" w:rsidP="00BE0479">
            <w:pPr>
              <w:rPr>
                <w:rFonts w:eastAsia="Times New Roman"/>
                <w:sz w:val="20"/>
                <w:szCs w:val="20"/>
                <w:lang w:eastAsia="en-US"/>
              </w:rPr>
            </w:pPr>
          </w:p>
          <w:p w14:paraId="64C93A02" w14:textId="77777777" w:rsidR="009C38E1" w:rsidRPr="00DF2323" w:rsidRDefault="009C38E1" w:rsidP="007F1291">
            <w:pPr>
              <w:spacing w:before="120" w:after="120"/>
              <w:rPr>
                <w:rFonts w:eastAsia="Times New Roman"/>
                <w:sz w:val="20"/>
                <w:szCs w:val="20"/>
                <w:lang w:eastAsia="en-US"/>
              </w:rPr>
            </w:pPr>
            <w:r w:rsidRPr="00DF2323">
              <w:rPr>
                <w:rFonts w:eastAsia="Times New Roman"/>
                <w:sz w:val="20"/>
                <w:szCs w:val="20"/>
                <w:lang w:eastAsia="en-US"/>
              </w:rPr>
              <w:t>* The manufacturers or importers must apply at least the minimum classification but must classify in a more severe hazard category in the event that further information is available which shows that the hazard(s) meet the criteria for the classification in the more severe category (see Annex VI, Section 1.2.1 of the CLP Regulation.)</w:t>
            </w:r>
          </w:p>
          <w:p w14:paraId="0B872FD6" w14:textId="5C8FCC5D"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 The classification under 67/548/EEC indicating the route of exposure has been translated into the corresponding class and category according to this Regulation, but with a general hazard assessment not specifying the route of exposure as the necessary information is not available</w:t>
            </w:r>
          </w:p>
        </w:tc>
      </w:tr>
      <w:tr w:rsidR="009C38E1" w:rsidRPr="00DF2323" w14:paraId="53A5BA33" w14:textId="77777777" w:rsidTr="00817A0B">
        <w:tblPrEx>
          <w:tblCellMar>
            <w:left w:w="107" w:type="dxa"/>
            <w:right w:w="107" w:type="dxa"/>
          </w:tblCellMar>
        </w:tblPrEx>
        <w:trPr>
          <w:trHeight w:val="1124"/>
          <w:jc w:val="right"/>
        </w:trPr>
        <w:tc>
          <w:tcPr>
            <w:tcW w:w="1114" w:type="dxa"/>
            <w:tcBorders>
              <w:top w:val="single" w:sz="4" w:space="0" w:color="auto"/>
              <w:left w:val="single" w:sz="6" w:space="0" w:color="auto"/>
              <w:bottom w:val="single" w:sz="4" w:space="0" w:color="auto"/>
              <w:right w:val="single" w:sz="6" w:space="0" w:color="auto"/>
            </w:tcBorders>
          </w:tcPr>
          <w:p w14:paraId="0B484FB3"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US EPA</w:t>
            </w:r>
          </w:p>
        </w:tc>
        <w:tc>
          <w:tcPr>
            <w:tcW w:w="8373" w:type="dxa"/>
            <w:gridSpan w:val="2"/>
            <w:tcBorders>
              <w:top w:val="single" w:sz="4" w:space="0" w:color="auto"/>
              <w:bottom w:val="single" w:sz="4" w:space="0" w:color="auto"/>
              <w:right w:val="single" w:sz="6" w:space="0" w:color="auto"/>
            </w:tcBorders>
          </w:tcPr>
          <w:p w14:paraId="70264843"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Highly toxic (Class I) by inhalation route</w:t>
            </w:r>
          </w:p>
          <w:p w14:paraId="07AF2210"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Moderately toxic (Category II) by the oral route </w:t>
            </w:r>
          </w:p>
          <w:p w14:paraId="64BA6CB1"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Slightly toxic (Category III) by the dermal route</w:t>
            </w:r>
          </w:p>
          <w:p w14:paraId="21584D99" w14:textId="5A2F116F" w:rsidR="009C38E1" w:rsidRPr="00DF2323" w:rsidRDefault="009C38E1" w:rsidP="00817A0B">
            <w:pPr>
              <w:rPr>
                <w:rFonts w:eastAsia="Times New Roman"/>
                <w:sz w:val="20"/>
                <w:szCs w:val="20"/>
                <w:lang w:eastAsia="en-US"/>
              </w:rPr>
            </w:pPr>
            <w:r w:rsidRPr="00DF2323">
              <w:rPr>
                <w:rFonts w:eastAsia="Times New Roman"/>
                <w:sz w:val="20"/>
                <w:szCs w:val="20"/>
                <w:lang w:eastAsia="en-US"/>
              </w:rPr>
              <w:t>Category E (no evidence of carcinogenicity in animal studies) (US EPA, 1997)</w:t>
            </w:r>
          </w:p>
        </w:tc>
      </w:tr>
      <w:tr w:rsidR="009C38E1" w:rsidRPr="00DF2323" w14:paraId="4DC808BF" w14:textId="77777777" w:rsidTr="00817A0B">
        <w:tblPrEx>
          <w:tblBorders>
            <w:top w:val="single" w:sz="6" w:space="0" w:color="auto"/>
            <w:left w:val="single" w:sz="6" w:space="0" w:color="auto"/>
            <w:bottom w:val="single" w:sz="6" w:space="0" w:color="auto"/>
            <w:right w:val="single" w:sz="6" w:space="0" w:color="auto"/>
          </w:tblBorders>
        </w:tblPrEx>
        <w:trPr>
          <w:jc w:val="right"/>
        </w:trPr>
        <w:tc>
          <w:tcPr>
            <w:tcW w:w="9487" w:type="dxa"/>
            <w:gridSpan w:val="3"/>
            <w:tcBorders>
              <w:top w:val="nil"/>
              <w:left w:val="nil"/>
              <w:bottom w:val="single" w:sz="4" w:space="0" w:color="auto"/>
              <w:right w:val="nil"/>
            </w:tcBorders>
          </w:tcPr>
          <w:p w14:paraId="17E52BA5" w14:textId="77777777" w:rsidR="009C38E1" w:rsidRPr="00DF2323" w:rsidRDefault="009C38E1" w:rsidP="00BE0479">
            <w:pPr>
              <w:keepNext/>
              <w:outlineLvl w:val="1"/>
              <w:rPr>
                <w:rFonts w:eastAsia="Times New Roman"/>
                <w:b/>
                <w:bCs/>
                <w:szCs w:val="28"/>
                <w:lang w:eastAsia="en-US"/>
              </w:rPr>
            </w:pPr>
          </w:p>
        </w:tc>
      </w:tr>
      <w:tr w:rsidR="009C38E1" w:rsidRPr="00DF2323" w14:paraId="586C073E" w14:textId="77777777" w:rsidTr="00817A0B">
        <w:tblPrEx>
          <w:tblBorders>
            <w:top w:val="single" w:sz="6" w:space="0" w:color="auto"/>
            <w:left w:val="single" w:sz="6" w:space="0" w:color="auto"/>
            <w:bottom w:val="single" w:sz="6" w:space="0" w:color="auto"/>
            <w:right w:val="single" w:sz="6" w:space="0" w:color="auto"/>
          </w:tblBorders>
        </w:tblPrEx>
        <w:trPr>
          <w:jc w:val="right"/>
        </w:trPr>
        <w:tc>
          <w:tcPr>
            <w:tcW w:w="9487" w:type="dxa"/>
            <w:gridSpan w:val="3"/>
            <w:tcBorders>
              <w:top w:val="single" w:sz="4" w:space="0" w:color="auto"/>
              <w:left w:val="single" w:sz="4" w:space="0" w:color="auto"/>
              <w:bottom w:val="single" w:sz="4" w:space="0" w:color="auto"/>
              <w:right w:val="single" w:sz="4" w:space="0" w:color="auto"/>
            </w:tcBorders>
          </w:tcPr>
          <w:p w14:paraId="0E045CE2"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t>4.2  Exposure limits</w:t>
            </w:r>
          </w:p>
        </w:tc>
      </w:tr>
      <w:tr w:rsidR="009C38E1" w:rsidRPr="00DF2323" w14:paraId="23BC45F9" w14:textId="77777777" w:rsidTr="00817A0B">
        <w:tblPrEx>
          <w:tblBorders>
            <w:top w:val="single" w:sz="6" w:space="0" w:color="auto"/>
            <w:left w:val="single" w:sz="6" w:space="0" w:color="auto"/>
            <w:bottom w:val="single" w:sz="6" w:space="0" w:color="auto"/>
            <w:right w:val="single" w:sz="6" w:space="0" w:color="auto"/>
          </w:tblBorders>
        </w:tblPrEx>
        <w:trPr>
          <w:trHeight w:val="66"/>
          <w:jc w:val="right"/>
        </w:trPr>
        <w:tc>
          <w:tcPr>
            <w:tcW w:w="9487" w:type="dxa"/>
            <w:gridSpan w:val="3"/>
            <w:tcBorders>
              <w:top w:val="single" w:sz="4" w:space="0" w:color="auto"/>
              <w:left w:val="nil"/>
              <w:bottom w:val="nil"/>
              <w:right w:val="nil"/>
            </w:tcBorders>
          </w:tcPr>
          <w:p w14:paraId="435EB7C1" w14:textId="77777777" w:rsidR="009C38E1" w:rsidRPr="00DF2323" w:rsidRDefault="009C38E1" w:rsidP="00BE0479">
            <w:pPr>
              <w:keepNext/>
              <w:outlineLvl w:val="1"/>
              <w:rPr>
                <w:rFonts w:eastAsia="Times New Roman"/>
                <w:b/>
                <w:bCs/>
                <w:szCs w:val="28"/>
                <w:lang w:eastAsia="en-US"/>
              </w:rPr>
            </w:pPr>
          </w:p>
        </w:tc>
      </w:tr>
      <w:tr w:rsidR="009C38E1" w:rsidRPr="00DF2323" w14:paraId="2D9CCDBD" w14:textId="77777777" w:rsidTr="00817A0B">
        <w:tblPrEx>
          <w:tblBorders>
            <w:top w:val="single" w:sz="6" w:space="0" w:color="auto"/>
            <w:left w:val="single" w:sz="6" w:space="0" w:color="auto"/>
            <w:bottom w:val="single" w:sz="6" w:space="0" w:color="auto"/>
            <w:right w:val="single" w:sz="6" w:space="0" w:color="auto"/>
          </w:tblBorders>
        </w:tblPrEx>
        <w:trPr>
          <w:jc w:val="right"/>
        </w:trPr>
        <w:tc>
          <w:tcPr>
            <w:tcW w:w="9487" w:type="dxa"/>
            <w:gridSpan w:val="3"/>
            <w:tcBorders>
              <w:top w:val="nil"/>
              <w:left w:val="nil"/>
              <w:bottom w:val="nil"/>
              <w:right w:val="nil"/>
            </w:tcBorders>
          </w:tcPr>
          <w:p w14:paraId="08D539A7" w14:textId="77777777" w:rsidR="009C38E1" w:rsidRPr="00DF2323" w:rsidRDefault="009C38E1" w:rsidP="00BE0479">
            <w:pPr>
              <w:spacing w:after="120"/>
              <w:rPr>
                <w:rFonts w:eastAsia="Times New Roman"/>
                <w:b/>
                <w:color w:val="000000"/>
                <w:sz w:val="20"/>
                <w:szCs w:val="20"/>
                <w:u w:val="single"/>
              </w:rPr>
            </w:pPr>
            <w:r w:rsidRPr="00DF2323">
              <w:rPr>
                <w:rFonts w:eastAsia="Times New Roman"/>
                <w:b/>
                <w:color w:val="000000"/>
                <w:sz w:val="20"/>
                <w:szCs w:val="20"/>
                <w:u w:val="single"/>
              </w:rPr>
              <w:t xml:space="preserve">JMPR (2003a, b) </w:t>
            </w:r>
          </w:p>
          <w:p w14:paraId="77116720" w14:textId="77777777" w:rsidR="009C38E1" w:rsidRPr="00DF2323" w:rsidRDefault="009C38E1" w:rsidP="00BE0479">
            <w:pPr>
              <w:spacing w:before="2" w:after="120" w:line="230" w:lineRule="exact"/>
              <w:ind w:right="216"/>
              <w:textAlignment w:val="baseline"/>
              <w:rPr>
                <w:rFonts w:eastAsia="Times New Roman"/>
                <w:sz w:val="20"/>
                <w:szCs w:val="20"/>
                <w:lang w:eastAsia="en-US"/>
              </w:rPr>
            </w:pPr>
            <w:r w:rsidRPr="00DF2323">
              <w:rPr>
                <w:rFonts w:eastAsia="Times New Roman"/>
                <w:color w:val="000000"/>
                <w:sz w:val="20"/>
                <w:szCs w:val="20"/>
              </w:rPr>
              <w:t xml:space="preserve">Acute reference dose (ARfD): </w:t>
            </w:r>
            <w:r w:rsidRPr="00DF2323">
              <w:rPr>
                <w:rFonts w:eastAsia="Times New Roman"/>
                <w:sz w:val="20"/>
                <w:szCs w:val="20"/>
                <w:lang w:eastAsia="en-US"/>
              </w:rPr>
              <w:t>0.006 mg paraquat ion/kg bw based on the NOAEL of 0.55 mg of paraquat ion/kg bw per day in the 13-week study in dogs, with</w:t>
            </w:r>
            <w:r w:rsidRPr="00DF2323">
              <w:t xml:space="preserve"> </w:t>
            </w:r>
            <w:r w:rsidRPr="00DF2323">
              <w:rPr>
                <w:rFonts w:eastAsia="Times New Roman"/>
                <w:sz w:val="20"/>
                <w:szCs w:val="20"/>
                <w:lang w:eastAsia="en-US"/>
              </w:rPr>
              <w:t>a safety factor of 100. Histopathological changes in the lungs were present at higher doses in both studies in dogs.</w:t>
            </w:r>
          </w:p>
          <w:p w14:paraId="71AE1DF3" w14:textId="77777777" w:rsidR="009C38E1" w:rsidRPr="00DF2323" w:rsidRDefault="009C38E1" w:rsidP="00BE0479">
            <w:pPr>
              <w:spacing w:before="2" w:after="120" w:line="230" w:lineRule="exact"/>
              <w:ind w:right="216"/>
              <w:textAlignment w:val="baseline"/>
              <w:rPr>
                <w:rFonts w:eastAsia="Times New Roman"/>
                <w:sz w:val="20"/>
                <w:szCs w:val="20"/>
                <w:lang w:eastAsia="en-US"/>
              </w:rPr>
            </w:pPr>
            <w:r w:rsidRPr="00DF2323">
              <w:rPr>
                <w:rFonts w:eastAsia="Times New Roman"/>
                <w:color w:val="000000"/>
                <w:sz w:val="20"/>
                <w:szCs w:val="20"/>
              </w:rPr>
              <w:t>Acceptable Daily Intake (ADI):</w:t>
            </w:r>
            <w:r w:rsidRPr="00DF2323">
              <w:rPr>
                <w:rFonts w:eastAsia="Times New Roman"/>
                <w:sz w:val="20"/>
                <w:szCs w:val="20"/>
                <w:lang w:eastAsia="en-US"/>
              </w:rPr>
              <w:t xml:space="preserve"> 0-0.005 mg of paraquat ion/kg bw based on a NOAEL of 0.45 mg of paraquat ion/kg bw per day in the 1-year study in dogs and using a safety factor of 100. Although a 1-year study in dogs is not considered to be a long-term study, the nature and time-course of the pathogenesis of the lung lesions were such that the application of an additional safety factor was not considered to be necessary.</w:t>
            </w:r>
          </w:p>
          <w:p w14:paraId="3FBFDFB3" w14:textId="77777777" w:rsidR="009C38E1" w:rsidRPr="00DF2323" w:rsidRDefault="009C38E1" w:rsidP="00BE0479">
            <w:pPr>
              <w:spacing w:after="120"/>
              <w:rPr>
                <w:rFonts w:eastAsia="Times New Roman"/>
                <w:b/>
                <w:color w:val="000000"/>
                <w:sz w:val="20"/>
                <w:szCs w:val="20"/>
                <w:u w:val="single"/>
              </w:rPr>
            </w:pPr>
            <w:r w:rsidRPr="00DF2323">
              <w:rPr>
                <w:rFonts w:eastAsia="Times New Roman"/>
                <w:b/>
                <w:color w:val="000000"/>
                <w:sz w:val="20"/>
                <w:szCs w:val="20"/>
                <w:u w:val="single"/>
              </w:rPr>
              <w:t>European Union (2003)</w:t>
            </w:r>
          </w:p>
          <w:p w14:paraId="3EF5A993"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ADI: 0.004 mg of paraquat ion/kg bw based on a NOAEL of 0.45 mg of paraquat ion/kg bw per day in the 1-year study in dogs and using a safety factor of 100.</w:t>
            </w:r>
          </w:p>
          <w:p w14:paraId="7177342E"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AOEL systemic (long term): 0.0004 mg of paraquat ion/kg bw/d based on the 1-year dog study corrected for 10 % oral absorption and using a safety factor of 100.</w:t>
            </w:r>
          </w:p>
          <w:p w14:paraId="0519C95E" w14:textId="77777777" w:rsidR="009C38E1" w:rsidRPr="00DF2323" w:rsidRDefault="009C38E1" w:rsidP="00BE047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AAOEL systemic (short term): 0.0005 mg of paraquat ion/kg bw/d based on the NOAEL of 0.55 mg of paraquat ion/kg bw per day in the 90-day dog study corrected for 10 % oral absorption and using a safety factor of 100.</w:t>
            </w:r>
          </w:p>
          <w:p w14:paraId="494EC9FA"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AEOL inhalation</w:t>
            </w:r>
            <w:r w:rsidRPr="00DF2323">
              <w:rPr>
                <w:rFonts w:eastAsia="Times New Roman"/>
                <w:sz w:val="20"/>
                <w:szCs w:val="20"/>
                <w:lang w:eastAsia="en-US"/>
              </w:rPr>
              <w:tab/>
              <w:t>N/A, use systemic value.</w:t>
            </w:r>
          </w:p>
          <w:p w14:paraId="6EA769D0"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lastRenderedPageBreak/>
              <w:t>AOEL dermal: N/A, use systemic value.</w:t>
            </w:r>
          </w:p>
          <w:p w14:paraId="27934348"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ARfD: 0.005 mg of paraquat ion/kg bw/d based on the NOAEL of 0.55 mg of paraquat ion/kg bw per day in the 90-day study in dogs, with</w:t>
            </w:r>
            <w:r w:rsidRPr="00DF2323">
              <w:t xml:space="preserve"> </w:t>
            </w:r>
            <w:r w:rsidRPr="00DF2323">
              <w:rPr>
                <w:rFonts w:eastAsia="Times New Roman"/>
                <w:sz w:val="20"/>
                <w:szCs w:val="20"/>
                <w:lang w:eastAsia="en-US"/>
              </w:rPr>
              <w:t xml:space="preserve">a safety factor of 100. </w:t>
            </w:r>
          </w:p>
          <w:p w14:paraId="37DC1651" w14:textId="77777777" w:rsidR="009C38E1" w:rsidRPr="00DF2323" w:rsidRDefault="009C38E1" w:rsidP="004A787E">
            <w:pPr>
              <w:spacing w:before="240" w:after="120"/>
              <w:rPr>
                <w:rFonts w:eastAsia="Times New Roman"/>
                <w:b/>
                <w:bCs/>
                <w:sz w:val="20"/>
                <w:szCs w:val="20"/>
                <w:u w:val="single"/>
                <w:lang w:eastAsia="en-US"/>
              </w:rPr>
            </w:pPr>
            <w:r w:rsidRPr="00DF2323">
              <w:rPr>
                <w:rFonts w:eastAsia="Times New Roman"/>
                <w:b/>
                <w:bCs/>
                <w:sz w:val="20"/>
                <w:szCs w:val="20"/>
                <w:u w:val="single"/>
                <w:lang w:eastAsia="en-US"/>
              </w:rPr>
              <w:t>Maximum Residue Limits</w:t>
            </w:r>
          </w:p>
          <w:p w14:paraId="77FF76AA" w14:textId="2B029052" w:rsidR="009C38E1" w:rsidRPr="00DF2323" w:rsidRDefault="009C38E1" w:rsidP="004A787E">
            <w:pPr>
              <w:spacing w:after="120"/>
              <w:rPr>
                <w:rFonts w:eastAsia="Times New Roman"/>
                <w:sz w:val="20"/>
                <w:szCs w:val="20"/>
                <w:lang w:eastAsia="en-US"/>
              </w:rPr>
            </w:pPr>
            <w:r w:rsidRPr="00DF2323">
              <w:rPr>
                <w:rFonts w:eastAsia="Times New Roman"/>
                <w:b/>
                <w:bCs/>
                <w:sz w:val="20"/>
                <w:szCs w:val="20"/>
                <w:lang w:eastAsia="en-US"/>
              </w:rPr>
              <w:t>Codex Alimentarius Maximum Residue Limits (MRLs)</w:t>
            </w:r>
          </w:p>
          <w:tbl>
            <w:tblPr>
              <w:tblW w:w="8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1544"/>
              <w:gridCol w:w="1805"/>
              <w:gridCol w:w="1036"/>
            </w:tblGrid>
            <w:tr w:rsidR="009C38E1" w:rsidRPr="00DF2323" w14:paraId="18734F01" w14:textId="77777777" w:rsidTr="00BE0479">
              <w:trPr>
                <w:trHeight w:val="300"/>
              </w:trPr>
              <w:tc>
                <w:tcPr>
                  <w:tcW w:w="4148" w:type="dxa"/>
                  <w:shd w:val="clear" w:color="auto" w:fill="auto"/>
                  <w:noWrap/>
                  <w:hideMark/>
                </w:tcPr>
                <w:p w14:paraId="1E78527E"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Commodity</w:t>
                  </w:r>
                </w:p>
              </w:tc>
              <w:tc>
                <w:tcPr>
                  <w:tcW w:w="1544" w:type="dxa"/>
                  <w:shd w:val="clear" w:color="auto" w:fill="auto"/>
                  <w:noWrap/>
                  <w:hideMark/>
                </w:tcPr>
                <w:p w14:paraId="090173A2"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MRL (mg/kg)</w:t>
                  </w:r>
                </w:p>
              </w:tc>
              <w:tc>
                <w:tcPr>
                  <w:tcW w:w="1805" w:type="dxa"/>
                  <w:shd w:val="clear" w:color="auto" w:fill="auto"/>
                  <w:noWrap/>
                  <w:hideMark/>
                </w:tcPr>
                <w:p w14:paraId="17BDC8BF"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Year of Adoption</w:t>
                  </w:r>
                </w:p>
              </w:tc>
              <w:tc>
                <w:tcPr>
                  <w:tcW w:w="1036" w:type="dxa"/>
                  <w:shd w:val="clear" w:color="auto" w:fill="auto"/>
                  <w:noWrap/>
                  <w:hideMark/>
                </w:tcPr>
                <w:p w14:paraId="66CB1862"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Symbol</w:t>
                  </w:r>
                </w:p>
              </w:tc>
            </w:tr>
            <w:tr w:rsidR="009C38E1" w:rsidRPr="00DF2323" w14:paraId="0039D4B0" w14:textId="77777777" w:rsidTr="00BE0479">
              <w:trPr>
                <w:trHeight w:val="300"/>
              </w:trPr>
              <w:tc>
                <w:tcPr>
                  <w:tcW w:w="4148" w:type="dxa"/>
                  <w:shd w:val="clear" w:color="auto" w:fill="auto"/>
                  <w:noWrap/>
                  <w:hideMark/>
                </w:tcPr>
                <w:p w14:paraId="1AAAA651"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Almond hulls</w:t>
                  </w:r>
                </w:p>
              </w:tc>
              <w:tc>
                <w:tcPr>
                  <w:tcW w:w="1544" w:type="dxa"/>
                  <w:shd w:val="clear" w:color="auto" w:fill="auto"/>
                  <w:noWrap/>
                  <w:hideMark/>
                </w:tcPr>
                <w:p w14:paraId="1FBB39CF"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0.01</w:t>
                  </w:r>
                </w:p>
              </w:tc>
              <w:tc>
                <w:tcPr>
                  <w:tcW w:w="1805" w:type="dxa"/>
                  <w:shd w:val="clear" w:color="auto" w:fill="auto"/>
                  <w:noWrap/>
                  <w:hideMark/>
                </w:tcPr>
                <w:p w14:paraId="6CA57F8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41978BE"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593CBE4D" w14:textId="77777777" w:rsidTr="00BE0479">
              <w:trPr>
                <w:trHeight w:val="300"/>
              </w:trPr>
              <w:tc>
                <w:tcPr>
                  <w:tcW w:w="4148" w:type="dxa"/>
                  <w:shd w:val="clear" w:color="auto" w:fill="auto"/>
                  <w:noWrap/>
                  <w:hideMark/>
                </w:tcPr>
                <w:p w14:paraId="45A1183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Assorted tropical and sub-tropical fruits - inedible peel</w:t>
                  </w:r>
                </w:p>
              </w:tc>
              <w:tc>
                <w:tcPr>
                  <w:tcW w:w="1544" w:type="dxa"/>
                  <w:shd w:val="clear" w:color="auto" w:fill="auto"/>
                  <w:noWrap/>
                  <w:hideMark/>
                </w:tcPr>
                <w:p w14:paraId="502BADC2"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0.01</w:t>
                  </w:r>
                </w:p>
              </w:tc>
              <w:tc>
                <w:tcPr>
                  <w:tcW w:w="1805" w:type="dxa"/>
                  <w:shd w:val="clear" w:color="auto" w:fill="auto"/>
                  <w:noWrap/>
                  <w:hideMark/>
                </w:tcPr>
                <w:p w14:paraId="36B5CC4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776ADA1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6230DCA3" w14:textId="77777777" w:rsidTr="00BE0479">
              <w:trPr>
                <w:trHeight w:val="300"/>
              </w:trPr>
              <w:tc>
                <w:tcPr>
                  <w:tcW w:w="4148" w:type="dxa"/>
                  <w:shd w:val="clear" w:color="auto" w:fill="auto"/>
                  <w:noWrap/>
                  <w:hideMark/>
                </w:tcPr>
                <w:p w14:paraId="0A5D8131"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Berries and other small fruits</w:t>
                  </w:r>
                </w:p>
              </w:tc>
              <w:tc>
                <w:tcPr>
                  <w:tcW w:w="1544" w:type="dxa"/>
                  <w:shd w:val="clear" w:color="auto" w:fill="auto"/>
                  <w:noWrap/>
                  <w:hideMark/>
                </w:tcPr>
                <w:p w14:paraId="4031F9E3"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0.01</w:t>
                  </w:r>
                </w:p>
              </w:tc>
              <w:tc>
                <w:tcPr>
                  <w:tcW w:w="1805" w:type="dxa"/>
                  <w:shd w:val="clear" w:color="auto" w:fill="auto"/>
                  <w:noWrap/>
                  <w:hideMark/>
                </w:tcPr>
                <w:p w14:paraId="584C3F12"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001C8BEE"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199BDA80" w14:textId="77777777" w:rsidTr="00BE0479">
              <w:trPr>
                <w:trHeight w:val="300"/>
              </w:trPr>
              <w:tc>
                <w:tcPr>
                  <w:tcW w:w="4148" w:type="dxa"/>
                  <w:shd w:val="clear" w:color="auto" w:fill="auto"/>
                  <w:noWrap/>
                  <w:hideMark/>
                </w:tcPr>
                <w:p w14:paraId="078D356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Citrus fruits (group)</w:t>
                  </w:r>
                </w:p>
              </w:tc>
              <w:tc>
                <w:tcPr>
                  <w:tcW w:w="1544" w:type="dxa"/>
                  <w:shd w:val="clear" w:color="auto" w:fill="auto"/>
                  <w:noWrap/>
                  <w:hideMark/>
                </w:tcPr>
                <w:p w14:paraId="4F459C22"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0.02</w:t>
                  </w:r>
                </w:p>
              </w:tc>
              <w:tc>
                <w:tcPr>
                  <w:tcW w:w="1805" w:type="dxa"/>
                  <w:shd w:val="clear" w:color="auto" w:fill="auto"/>
                  <w:noWrap/>
                  <w:hideMark/>
                </w:tcPr>
                <w:p w14:paraId="3C83B2A6"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3694C2B" w14:textId="77777777" w:rsidR="009C38E1" w:rsidRPr="00DF2323" w:rsidRDefault="009C38E1" w:rsidP="00BE0479">
                  <w:pPr>
                    <w:jc w:val="center"/>
                    <w:rPr>
                      <w:rFonts w:eastAsia="Times New Roman"/>
                      <w:sz w:val="20"/>
                      <w:szCs w:val="20"/>
                      <w:lang w:eastAsia="en-US"/>
                    </w:rPr>
                  </w:pPr>
                </w:p>
              </w:tc>
            </w:tr>
            <w:tr w:rsidR="009C38E1" w:rsidRPr="00DF2323" w14:paraId="6BC4AE6E" w14:textId="77777777" w:rsidTr="00BE0479">
              <w:trPr>
                <w:trHeight w:val="300"/>
              </w:trPr>
              <w:tc>
                <w:tcPr>
                  <w:tcW w:w="4148" w:type="dxa"/>
                  <w:shd w:val="clear" w:color="auto" w:fill="auto"/>
                  <w:noWrap/>
                  <w:hideMark/>
                </w:tcPr>
                <w:p w14:paraId="0B1A21E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Cotton seed</w:t>
                  </w:r>
                </w:p>
              </w:tc>
              <w:tc>
                <w:tcPr>
                  <w:tcW w:w="1544" w:type="dxa"/>
                  <w:shd w:val="clear" w:color="auto" w:fill="auto"/>
                  <w:noWrap/>
                  <w:hideMark/>
                </w:tcPr>
                <w:p w14:paraId="0493D77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w:t>
                  </w:r>
                </w:p>
              </w:tc>
              <w:tc>
                <w:tcPr>
                  <w:tcW w:w="1805" w:type="dxa"/>
                  <w:shd w:val="clear" w:color="auto" w:fill="auto"/>
                  <w:noWrap/>
                  <w:hideMark/>
                </w:tcPr>
                <w:p w14:paraId="36BCBDD4"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01CB3534" w14:textId="77777777" w:rsidR="009C38E1" w:rsidRPr="00DF2323" w:rsidRDefault="009C38E1" w:rsidP="00BE0479">
                  <w:pPr>
                    <w:jc w:val="center"/>
                    <w:rPr>
                      <w:rFonts w:eastAsia="Times New Roman"/>
                      <w:sz w:val="20"/>
                      <w:szCs w:val="20"/>
                      <w:lang w:eastAsia="en-US"/>
                    </w:rPr>
                  </w:pPr>
                </w:p>
              </w:tc>
            </w:tr>
            <w:tr w:rsidR="009C38E1" w:rsidRPr="00DF2323" w14:paraId="0AC0DE64" w14:textId="77777777" w:rsidTr="00BE0479">
              <w:trPr>
                <w:trHeight w:val="300"/>
              </w:trPr>
              <w:tc>
                <w:tcPr>
                  <w:tcW w:w="4148" w:type="dxa"/>
                  <w:shd w:val="clear" w:color="auto" w:fill="auto"/>
                  <w:noWrap/>
                  <w:hideMark/>
                </w:tcPr>
                <w:p w14:paraId="7364A80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Edible offal (mammalian)</w:t>
                  </w:r>
                </w:p>
              </w:tc>
              <w:tc>
                <w:tcPr>
                  <w:tcW w:w="1544" w:type="dxa"/>
                  <w:shd w:val="clear" w:color="auto" w:fill="auto"/>
                  <w:noWrap/>
                  <w:hideMark/>
                </w:tcPr>
                <w:p w14:paraId="778FCF77"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6316F2DA"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026F8152" w14:textId="77777777" w:rsidR="009C38E1" w:rsidRPr="00DF2323" w:rsidRDefault="009C38E1" w:rsidP="00BE0479">
                  <w:pPr>
                    <w:jc w:val="center"/>
                    <w:rPr>
                      <w:rFonts w:eastAsia="Times New Roman"/>
                      <w:sz w:val="20"/>
                      <w:szCs w:val="20"/>
                      <w:lang w:eastAsia="en-US"/>
                    </w:rPr>
                  </w:pPr>
                </w:p>
              </w:tc>
            </w:tr>
            <w:tr w:rsidR="009C38E1" w:rsidRPr="00DF2323" w14:paraId="5043C746" w14:textId="77777777" w:rsidTr="00BE0479">
              <w:trPr>
                <w:trHeight w:val="300"/>
              </w:trPr>
              <w:tc>
                <w:tcPr>
                  <w:tcW w:w="4148" w:type="dxa"/>
                  <w:shd w:val="clear" w:color="auto" w:fill="auto"/>
                  <w:noWrap/>
                  <w:hideMark/>
                </w:tcPr>
                <w:p w14:paraId="24204D44"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Eggs</w:t>
                  </w:r>
                </w:p>
              </w:tc>
              <w:tc>
                <w:tcPr>
                  <w:tcW w:w="1544" w:type="dxa"/>
                  <w:shd w:val="clear" w:color="auto" w:fill="auto"/>
                  <w:noWrap/>
                  <w:hideMark/>
                </w:tcPr>
                <w:p w14:paraId="0640F74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0.005</w:t>
                  </w:r>
                </w:p>
              </w:tc>
              <w:tc>
                <w:tcPr>
                  <w:tcW w:w="1805" w:type="dxa"/>
                  <w:shd w:val="clear" w:color="auto" w:fill="auto"/>
                  <w:noWrap/>
                  <w:hideMark/>
                </w:tcPr>
                <w:p w14:paraId="0559F668"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674EACB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0661D4A7" w14:textId="77777777" w:rsidTr="00BE0479">
              <w:trPr>
                <w:trHeight w:val="300"/>
              </w:trPr>
              <w:tc>
                <w:tcPr>
                  <w:tcW w:w="4148" w:type="dxa"/>
                  <w:shd w:val="clear" w:color="auto" w:fill="auto"/>
                  <w:noWrap/>
                  <w:hideMark/>
                </w:tcPr>
                <w:p w14:paraId="534096C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Fruiting vegetables, cucurbits (group)</w:t>
                  </w:r>
                </w:p>
              </w:tc>
              <w:tc>
                <w:tcPr>
                  <w:tcW w:w="1544" w:type="dxa"/>
                  <w:shd w:val="clear" w:color="auto" w:fill="auto"/>
                  <w:noWrap/>
                  <w:hideMark/>
                </w:tcPr>
                <w:p w14:paraId="6FE63686"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0.02</w:t>
                  </w:r>
                </w:p>
              </w:tc>
              <w:tc>
                <w:tcPr>
                  <w:tcW w:w="1805" w:type="dxa"/>
                  <w:shd w:val="clear" w:color="auto" w:fill="auto"/>
                  <w:noWrap/>
                  <w:hideMark/>
                </w:tcPr>
                <w:p w14:paraId="6DC69CC7"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77795FEC" w14:textId="77777777" w:rsidR="009C38E1" w:rsidRPr="00DF2323" w:rsidRDefault="009C38E1" w:rsidP="00BE0479">
                  <w:pPr>
                    <w:jc w:val="center"/>
                    <w:rPr>
                      <w:rFonts w:eastAsia="Times New Roman"/>
                      <w:sz w:val="20"/>
                      <w:szCs w:val="20"/>
                      <w:lang w:eastAsia="en-US"/>
                    </w:rPr>
                  </w:pPr>
                </w:p>
              </w:tc>
            </w:tr>
            <w:tr w:rsidR="009C38E1" w:rsidRPr="00DF2323" w14:paraId="7BF7218E" w14:textId="77777777" w:rsidTr="00BE0479">
              <w:trPr>
                <w:trHeight w:val="300"/>
              </w:trPr>
              <w:tc>
                <w:tcPr>
                  <w:tcW w:w="4148" w:type="dxa"/>
                  <w:shd w:val="clear" w:color="auto" w:fill="auto"/>
                  <w:noWrap/>
                  <w:hideMark/>
                </w:tcPr>
                <w:p w14:paraId="7227BE24"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Fruiting vegetables, other than cucurbits (group)</w:t>
                  </w:r>
                </w:p>
              </w:tc>
              <w:tc>
                <w:tcPr>
                  <w:tcW w:w="1544" w:type="dxa"/>
                  <w:shd w:val="clear" w:color="auto" w:fill="auto"/>
                  <w:noWrap/>
                  <w:hideMark/>
                </w:tcPr>
                <w:p w14:paraId="79B6631C"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65052913"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12059A24" w14:textId="77777777" w:rsidR="009C38E1" w:rsidRPr="00DF2323" w:rsidRDefault="009C38E1" w:rsidP="00BE0479">
                  <w:pPr>
                    <w:jc w:val="center"/>
                    <w:rPr>
                      <w:rFonts w:eastAsia="Times New Roman"/>
                      <w:sz w:val="20"/>
                      <w:szCs w:val="20"/>
                      <w:lang w:eastAsia="en-US"/>
                    </w:rPr>
                  </w:pPr>
                </w:p>
              </w:tc>
            </w:tr>
            <w:tr w:rsidR="009C38E1" w:rsidRPr="00DF2323" w14:paraId="1D438EF3" w14:textId="77777777" w:rsidTr="00BE0479">
              <w:trPr>
                <w:trHeight w:val="300"/>
              </w:trPr>
              <w:tc>
                <w:tcPr>
                  <w:tcW w:w="4148" w:type="dxa"/>
                  <w:shd w:val="clear" w:color="auto" w:fill="auto"/>
                  <w:noWrap/>
                  <w:hideMark/>
                </w:tcPr>
                <w:p w14:paraId="52CF338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Hops, dry</w:t>
                  </w:r>
                </w:p>
              </w:tc>
              <w:tc>
                <w:tcPr>
                  <w:tcW w:w="1544" w:type="dxa"/>
                  <w:shd w:val="clear" w:color="auto" w:fill="auto"/>
                  <w:noWrap/>
                  <w:hideMark/>
                </w:tcPr>
                <w:p w14:paraId="71F9A8DF"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0.1</w:t>
                  </w:r>
                </w:p>
              </w:tc>
              <w:tc>
                <w:tcPr>
                  <w:tcW w:w="1805" w:type="dxa"/>
                  <w:shd w:val="clear" w:color="auto" w:fill="auto"/>
                  <w:noWrap/>
                  <w:hideMark/>
                </w:tcPr>
                <w:p w14:paraId="11D06E7F"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042BBECE" w14:textId="77777777" w:rsidR="009C38E1" w:rsidRPr="00DF2323" w:rsidRDefault="009C38E1" w:rsidP="00BE0479">
                  <w:pPr>
                    <w:jc w:val="center"/>
                    <w:rPr>
                      <w:rFonts w:eastAsia="Times New Roman"/>
                      <w:sz w:val="20"/>
                      <w:szCs w:val="20"/>
                      <w:lang w:eastAsia="en-US"/>
                    </w:rPr>
                  </w:pPr>
                </w:p>
              </w:tc>
            </w:tr>
            <w:tr w:rsidR="009C38E1" w:rsidRPr="00DF2323" w14:paraId="153C0BC4" w14:textId="77777777" w:rsidTr="00BE0479">
              <w:trPr>
                <w:trHeight w:val="300"/>
              </w:trPr>
              <w:tc>
                <w:tcPr>
                  <w:tcW w:w="4148" w:type="dxa"/>
                  <w:shd w:val="clear" w:color="auto" w:fill="auto"/>
                  <w:noWrap/>
                  <w:hideMark/>
                </w:tcPr>
                <w:p w14:paraId="43CFB6E6"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Leafy vegetables</w:t>
                  </w:r>
                </w:p>
              </w:tc>
              <w:tc>
                <w:tcPr>
                  <w:tcW w:w="1544" w:type="dxa"/>
                  <w:shd w:val="clear" w:color="auto" w:fill="auto"/>
                  <w:noWrap/>
                  <w:hideMark/>
                </w:tcPr>
                <w:p w14:paraId="12A87F5B"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0.07</w:t>
                  </w:r>
                </w:p>
              </w:tc>
              <w:tc>
                <w:tcPr>
                  <w:tcW w:w="1805" w:type="dxa"/>
                  <w:shd w:val="clear" w:color="auto" w:fill="auto"/>
                  <w:noWrap/>
                  <w:hideMark/>
                </w:tcPr>
                <w:p w14:paraId="652A8BD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C42AEE3" w14:textId="77777777" w:rsidR="009C38E1" w:rsidRPr="00DF2323" w:rsidRDefault="009C38E1" w:rsidP="00BE0479">
                  <w:pPr>
                    <w:jc w:val="center"/>
                    <w:rPr>
                      <w:rFonts w:eastAsia="Times New Roman"/>
                      <w:sz w:val="20"/>
                      <w:szCs w:val="20"/>
                      <w:lang w:eastAsia="en-US"/>
                    </w:rPr>
                  </w:pPr>
                </w:p>
              </w:tc>
            </w:tr>
            <w:tr w:rsidR="009C38E1" w:rsidRPr="00DF2323" w14:paraId="0263FDA0" w14:textId="77777777" w:rsidTr="00BE0479">
              <w:trPr>
                <w:trHeight w:val="300"/>
              </w:trPr>
              <w:tc>
                <w:tcPr>
                  <w:tcW w:w="4148" w:type="dxa"/>
                  <w:shd w:val="clear" w:color="auto" w:fill="auto"/>
                  <w:noWrap/>
                  <w:hideMark/>
                </w:tcPr>
                <w:p w14:paraId="3B9C14C0"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Maize</w:t>
                  </w:r>
                </w:p>
              </w:tc>
              <w:tc>
                <w:tcPr>
                  <w:tcW w:w="1544" w:type="dxa"/>
                  <w:shd w:val="clear" w:color="auto" w:fill="auto"/>
                  <w:noWrap/>
                  <w:hideMark/>
                </w:tcPr>
                <w:p w14:paraId="6DD4EC94"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0.03</w:t>
                  </w:r>
                </w:p>
              </w:tc>
              <w:tc>
                <w:tcPr>
                  <w:tcW w:w="1805" w:type="dxa"/>
                  <w:shd w:val="clear" w:color="auto" w:fill="auto"/>
                  <w:noWrap/>
                  <w:hideMark/>
                </w:tcPr>
                <w:p w14:paraId="1C84DA03"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FAC5C77" w14:textId="77777777" w:rsidR="009C38E1" w:rsidRPr="00DF2323" w:rsidRDefault="009C38E1" w:rsidP="00BE0479">
                  <w:pPr>
                    <w:jc w:val="center"/>
                    <w:rPr>
                      <w:rFonts w:eastAsia="Times New Roman"/>
                      <w:sz w:val="20"/>
                      <w:szCs w:val="20"/>
                      <w:lang w:eastAsia="en-US"/>
                    </w:rPr>
                  </w:pPr>
                </w:p>
              </w:tc>
            </w:tr>
            <w:tr w:rsidR="009C38E1" w:rsidRPr="00DF2323" w14:paraId="299A82DF" w14:textId="77777777" w:rsidTr="00BE0479">
              <w:trPr>
                <w:trHeight w:val="300"/>
              </w:trPr>
              <w:tc>
                <w:tcPr>
                  <w:tcW w:w="4148" w:type="dxa"/>
                  <w:shd w:val="clear" w:color="auto" w:fill="auto"/>
                  <w:noWrap/>
                  <w:hideMark/>
                </w:tcPr>
                <w:p w14:paraId="5105A60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Maize flour</w:t>
                  </w:r>
                </w:p>
              </w:tc>
              <w:tc>
                <w:tcPr>
                  <w:tcW w:w="1544" w:type="dxa"/>
                  <w:shd w:val="clear" w:color="auto" w:fill="auto"/>
                  <w:noWrap/>
                  <w:hideMark/>
                </w:tcPr>
                <w:p w14:paraId="60BF88FA"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2EF6CA45"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4CBA7EAD" w14:textId="77777777" w:rsidR="009C38E1" w:rsidRPr="00DF2323" w:rsidRDefault="009C38E1" w:rsidP="00BE0479">
                  <w:pPr>
                    <w:jc w:val="center"/>
                    <w:rPr>
                      <w:rFonts w:eastAsia="Times New Roman"/>
                      <w:sz w:val="20"/>
                      <w:szCs w:val="20"/>
                      <w:lang w:eastAsia="en-US"/>
                    </w:rPr>
                  </w:pPr>
                </w:p>
              </w:tc>
            </w:tr>
            <w:tr w:rsidR="009C38E1" w:rsidRPr="00DF2323" w14:paraId="240D3733" w14:textId="77777777" w:rsidTr="00BE0479">
              <w:trPr>
                <w:trHeight w:val="300"/>
              </w:trPr>
              <w:tc>
                <w:tcPr>
                  <w:tcW w:w="4148" w:type="dxa"/>
                  <w:shd w:val="clear" w:color="auto" w:fill="auto"/>
                  <w:noWrap/>
                  <w:hideMark/>
                </w:tcPr>
                <w:p w14:paraId="279B7E8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Maize fodder (dry)</w:t>
                  </w:r>
                </w:p>
              </w:tc>
              <w:tc>
                <w:tcPr>
                  <w:tcW w:w="1544" w:type="dxa"/>
                  <w:shd w:val="clear" w:color="auto" w:fill="auto"/>
                  <w:noWrap/>
                  <w:hideMark/>
                </w:tcPr>
                <w:p w14:paraId="1352C363"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10</w:t>
                  </w:r>
                </w:p>
              </w:tc>
              <w:tc>
                <w:tcPr>
                  <w:tcW w:w="1805" w:type="dxa"/>
                  <w:shd w:val="clear" w:color="auto" w:fill="auto"/>
                  <w:noWrap/>
                  <w:hideMark/>
                </w:tcPr>
                <w:p w14:paraId="691E707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4FCDC50C"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dry wt</w:t>
                  </w:r>
                </w:p>
              </w:tc>
            </w:tr>
            <w:tr w:rsidR="009C38E1" w:rsidRPr="00DF2323" w14:paraId="69CB8338" w14:textId="77777777" w:rsidTr="00BE0479">
              <w:trPr>
                <w:trHeight w:val="300"/>
              </w:trPr>
              <w:tc>
                <w:tcPr>
                  <w:tcW w:w="4148" w:type="dxa"/>
                  <w:shd w:val="clear" w:color="auto" w:fill="auto"/>
                  <w:noWrap/>
                  <w:hideMark/>
                </w:tcPr>
                <w:p w14:paraId="2A0B7133"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Meat (from mammals other than marine mammals)</w:t>
                  </w:r>
                </w:p>
              </w:tc>
              <w:tc>
                <w:tcPr>
                  <w:tcW w:w="1544" w:type="dxa"/>
                  <w:shd w:val="clear" w:color="auto" w:fill="auto"/>
                  <w:noWrap/>
                  <w:hideMark/>
                </w:tcPr>
                <w:p w14:paraId="14028AEB"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0.005</w:t>
                  </w:r>
                </w:p>
              </w:tc>
              <w:tc>
                <w:tcPr>
                  <w:tcW w:w="1805" w:type="dxa"/>
                  <w:shd w:val="clear" w:color="auto" w:fill="auto"/>
                  <w:noWrap/>
                  <w:hideMark/>
                </w:tcPr>
                <w:p w14:paraId="4098279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833E456" w14:textId="77777777" w:rsidR="009C38E1" w:rsidRPr="00DF2323" w:rsidRDefault="009C38E1" w:rsidP="00BE0479">
                  <w:pPr>
                    <w:jc w:val="center"/>
                    <w:rPr>
                      <w:rFonts w:eastAsia="Times New Roman"/>
                      <w:sz w:val="20"/>
                      <w:szCs w:val="20"/>
                      <w:lang w:eastAsia="en-US"/>
                    </w:rPr>
                  </w:pPr>
                </w:p>
              </w:tc>
            </w:tr>
            <w:tr w:rsidR="009C38E1" w:rsidRPr="00DF2323" w14:paraId="6CBC57C1" w14:textId="77777777" w:rsidTr="00BE0479">
              <w:trPr>
                <w:trHeight w:val="300"/>
              </w:trPr>
              <w:tc>
                <w:tcPr>
                  <w:tcW w:w="4148" w:type="dxa"/>
                  <w:shd w:val="clear" w:color="auto" w:fill="auto"/>
                  <w:noWrap/>
                  <w:hideMark/>
                </w:tcPr>
                <w:p w14:paraId="3F75DC3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Milks</w:t>
                  </w:r>
                </w:p>
              </w:tc>
              <w:tc>
                <w:tcPr>
                  <w:tcW w:w="1544" w:type="dxa"/>
                  <w:shd w:val="clear" w:color="auto" w:fill="auto"/>
                  <w:noWrap/>
                  <w:hideMark/>
                </w:tcPr>
                <w:p w14:paraId="278E7197"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0.005</w:t>
                  </w:r>
                </w:p>
              </w:tc>
              <w:tc>
                <w:tcPr>
                  <w:tcW w:w="1805" w:type="dxa"/>
                  <w:shd w:val="clear" w:color="auto" w:fill="auto"/>
                  <w:noWrap/>
                  <w:hideMark/>
                </w:tcPr>
                <w:p w14:paraId="1EA8838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41C99094"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4F358051" w14:textId="77777777" w:rsidTr="00BE0479">
              <w:trPr>
                <w:trHeight w:val="300"/>
              </w:trPr>
              <w:tc>
                <w:tcPr>
                  <w:tcW w:w="4148" w:type="dxa"/>
                  <w:shd w:val="clear" w:color="auto" w:fill="auto"/>
                  <w:noWrap/>
                  <w:hideMark/>
                </w:tcPr>
                <w:p w14:paraId="107F66B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Pome fruits (group)</w:t>
                  </w:r>
                </w:p>
              </w:tc>
              <w:tc>
                <w:tcPr>
                  <w:tcW w:w="1544" w:type="dxa"/>
                  <w:shd w:val="clear" w:color="auto" w:fill="auto"/>
                  <w:noWrap/>
                  <w:hideMark/>
                </w:tcPr>
                <w:p w14:paraId="0294985C"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0.01</w:t>
                  </w:r>
                </w:p>
              </w:tc>
              <w:tc>
                <w:tcPr>
                  <w:tcW w:w="1805" w:type="dxa"/>
                  <w:shd w:val="clear" w:color="auto" w:fill="auto"/>
                  <w:noWrap/>
                  <w:hideMark/>
                </w:tcPr>
                <w:p w14:paraId="19A5AA0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0378DFFC"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2F1C48B4" w14:textId="77777777" w:rsidTr="00BE0479">
              <w:trPr>
                <w:trHeight w:val="300"/>
              </w:trPr>
              <w:tc>
                <w:tcPr>
                  <w:tcW w:w="4148" w:type="dxa"/>
                  <w:shd w:val="clear" w:color="auto" w:fill="auto"/>
                  <w:noWrap/>
                  <w:hideMark/>
                </w:tcPr>
                <w:p w14:paraId="52887EF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Poultry meat</w:t>
                  </w:r>
                </w:p>
              </w:tc>
              <w:tc>
                <w:tcPr>
                  <w:tcW w:w="1544" w:type="dxa"/>
                  <w:shd w:val="clear" w:color="auto" w:fill="auto"/>
                  <w:noWrap/>
                  <w:hideMark/>
                </w:tcPr>
                <w:p w14:paraId="597C8866"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0.005</w:t>
                  </w:r>
                </w:p>
              </w:tc>
              <w:tc>
                <w:tcPr>
                  <w:tcW w:w="1805" w:type="dxa"/>
                  <w:shd w:val="clear" w:color="auto" w:fill="auto"/>
                  <w:noWrap/>
                  <w:hideMark/>
                </w:tcPr>
                <w:p w14:paraId="19899EC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4F9C0297"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36D21DB0" w14:textId="77777777" w:rsidTr="00BE0479">
              <w:trPr>
                <w:trHeight w:val="300"/>
              </w:trPr>
              <w:tc>
                <w:tcPr>
                  <w:tcW w:w="4148" w:type="dxa"/>
                  <w:shd w:val="clear" w:color="auto" w:fill="auto"/>
                  <w:noWrap/>
                  <w:hideMark/>
                </w:tcPr>
                <w:p w14:paraId="6B1DDFC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Poultry, edible offal of</w:t>
                  </w:r>
                </w:p>
              </w:tc>
              <w:tc>
                <w:tcPr>
                  <w:tcW w:w="1544" w:type="dxa"/>
                  <w:shd w:val="clear" w:color="auto" w:fill="auto"/>
                  <w:noWrap/>
                  <w:hideMark/>
                </w:tcPr>
                <w:p w14:paraId="741FC77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0.005</w:t>
                  </w:r>
                </w:p>
              </w:tc>
              <w:tc>
                <w:tcPr>
                  <w:tcW w:w="1805" w:type="dxa"/>
                  <w:shd w:val="clear" w:color="auto" w:fill="auto"/>
                  <w:noWrap/>
                  <w:hideMark/>
                </w:tcPr>
                <w:p w14:paraId="0232F938"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788F919D"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540F904A" w14:textId="77777777" w:rsidTr="00BE0479">
              <w:trPr>
                <w:trHeight w:val="300"/>
              </w:trPr>
              <w:tc>
                <w:tcPr>
                  <w:tcW w:w="4148" w:type="dxa"/>
                  <w:shd w:val="clear" w:color="auto" w:fill="auto"/>
                  <w:noWrap/>
                  <w:hideMark/>
                </w:tcPr>
                <w:p w14:paraId="35C9B7D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Pulses (group)</w:t>
                  </w:r>
                </w:p>
              </w:tc>
              <w:tc>
                <w:tcPr>
                  <w:tcW w:w="1544" w:type="dxa"/>
                  <w:shd w:val="clear" w:color="auto" w:fill="auto"/>
                  <w:noWrap/>
                  <w:hideMark/>
                </w:tcPr>
                <w:p w14:paraId="169E70D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0.5</w:t>
                  </w:r>
                </w:p>
              </w:tc>
              <w:tc>
                <w:tcPr>
                  <w:tcW w:w="1805" w:type="dxa"/>
                  <w:shd w:val="clear" w:color="auto" w:fill="auto"/>
                  <w:noWrap/>
                  <w:hideMark/>
                </w:tcPr>
                <w:p w14:paraId="575C0215"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7FC8C3E1" w14:textId="77777777" w:rsidR="009C38E1" w:rsidRPr="00DF2323" w:rsidRDefault="009C38E1" w:rsidP="00BE0479">
                  <w:pPr>
                    <w:jc w:val="center"/>
                    <w:rPr>
                      <w:rFonts w:eastAsia="Times New Roman"/>
                      <w:sz w:val="20"/>
                      <w:szCs w:val="20"/>
                      <w:lang w:eastAsia="en-US"/>
                    </w:rPr>
                  </w:pPr>
                </w:p>
              </w:tc>
            </w:tr>
            <w:tr w:rsidR="009C38E1" w:rsidRPr="00DF2323" w14:paraId="135EB1AD" w14:textId="77777777" w:rsidTr="00BE0479">
              <w:trPr>
                <w:trHeight w:val="300"/>
              </w:trPr>
              <w:tc>
                <w:tcPr>
                  <w:tcW w:w="4148" w:type="dxa"/>
                  <w:shd w:val="clear" w:color="auto" w:fill="auto"/>
                  <w:noWrap/>
                  <w:hideMark/>
                </w:tcPr>
                <w:p w14:paraId="741F42F8"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Rice</w:t>
                  </w:r>
                </w:p>
              </w:tc>
              <w:tc>
                <w:tcPr>
                  <w:tcW w:w="1544" w:type="dxa"/>
                  <w:shd w:val="clear" w:color="auto" w:fill="auto"/>
                  <w:noWrap/>
                  <w:hideMark/>
                </w:tcPr>
                <w:p w14:paraId="6E5906FF"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686E5BD8"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2010</w:t>
                  </w:r>
                </w:p>
              </w:tc>
              <w:tc>
                <w:tcPr>
                  <w:tcW w:w="1036" w:type="dxa"/>
                  <w:shd w:val="clear" w:color="auto" w:fill="auto"/>
                  <w:noWrap/>
                  <w:hideMark/>
                </w:tcPr>
                <w:p w14:paraId="6CC66D5E" w14:textId="77777777" w:rsidR="009C38E1" w:rsidRPr="00DF2323" w:rsidRDefault="009C38E1" w:rsidP="00BE0479">
                  <w:pPr>
                    <w:jc w:val="center"/>
                    <w:rPr>
                      <w:rFonts w:eastAsia="Times New Roman"/>
                      <w:sz w:val="20"/>
                      <w:szCs w:val="20"/>
                      <w:lang w:eastAsia="en-US"/>
                    </w:rPr>
                  </w:pPr>
                </w:p>
              </w:tc>
            </w:tr>
            <w:tr w:rsidR="009C38E1" w:rsidRPr="00DF2323" w14:paraId="2F9A2C2A" w14:textId="77777777" w:rsidTr="00BE0479">
              <w:trPr>
                <w:trHeight w:val="300"/>
              </w:trPr>
              <w:tc>
                <w:tcPr>
                  <w:tcW w:w="4148" w:type="dxa"/>
                  <w:shd w:val="clear" w:color="auto" w:fill="auto"/>
                  <w:noWrap/>
                  <w:hideMark/>
                </w:tcPr>
                <w:p w14:paraId="32D2FD8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Rice, hay and/or straw</w:t>
                  </w:r>
                </w:p>
              </w:tc>
              <w:tc>
                <w:tcPr>
                  <w:tcW w:w="1544" w:type="dxa"/>
                  <w:shd w:val="clear" w:color="auto" w:fill="auto"/>
                  <w:noWrap/>
                  <w:hideMark/>
                </w:tcPr>
                <w:p w14:paraId="63543EE3"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31FD826D"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2010</w:t>
                  </w:r>
                </w:p>
              </w:tc>
              <w:tc>
                <w:tcPr>
                  <w:tcW w:w="1036" w:type="dxa"/>
                  <w:shd w:val="clear" w:color="auto" w:fill="auto"/>
                  <w:noWrap/>
                  <w:hideMark/>
                </w:tcPr>
                <w:p w14:paraId="65816204" w14:textId="77777777" w:rsidR="009C38E1" w:rsidRPr="00DF2323" w:rsidRDefault="009C38E1" w:rsidP="00BE0479">
                  <w:pPr>
                    <w:jc w:val="center"/>
                    <w:rPr>
                      <w:rFonts w:eastAsia="Times New Roman"/>
                      <w:sz w:val="20"/>
                      <w:szCs w:val="20"/>
                      <w:lang w:eastAsia="en-US"/>
                    </w:rPr>
                  </w:pPr>
                </w:p>
              </w:tc>
            </w:tr>
            <w:tr w:rsidR="009C38E1" w:rsidRPr="00DF2323" w14:paraId="294B04E5" w14:textId="77777777" w:rsidTr="00BE0479">
              <w:trPr>
                <w:trHeight w:val="300"/>
              </w:trPr>
              <w:tc>
                <w:tcPr>
                  <w:tcW w:w="4148" w:type="dxa"/>
                  <w:shd w:val="clear" w:color="auto" w:fill="auto"/>
                  <w:noWrap/>
                  <w:hideMark/>
                </w:tcPr>
                <w:p w14:paraId="489D12A3"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Root and tuber vegetables (group)</w:t>
                  </w:r>
                </w:p>
              </w:tc>
              <w:tc>
                <w:tcPr>
                  <w:tcW w:w="1544" w:type="dxa"/>
                  <w:shd w:val="clear" w:color="auto" w:fill="auto"/>
                  <w:noWrap/>
                  <w:hideMark/>
                </w:tcPr>
                <w:p w14:paraId="4CE0C6B7"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6634299A"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7A2CF1F4" w14:textId="77777777" w:rsidR="009C38E1" w:rsidRPr="00DF2323" w:rsidRDefault="009C38E1" w:rsidP="00BE0479">
                  <w:pPr>
                    <w:jc w:val="center"/>
                    <w:rPr>
                      <w:rFonts w:eastAsia="Times New Roman"/>
                      <w:sz w:val="20"/>
                      <w:szCs w:val="20"/>
                      <w:lang w:eastAsia="en-US"/>
                    </w:rPr>
                  </w:pPr>
                </w:p>
              </w:tc>
            </w:tr>
            <w:tr w:rsidR="009C38E1" w:rsidRPr="00DF2323" w14:paraId="42DDDCDE" w14:textId="77777777" w:rsidTr="00BE0479">
              <w:trPr>
                <w:trHeight w:val="300"/>
              </w:trPr>
              <w:tc>
                <w:tcPr>
                  <w:tcW w:w="4148" w:type="dxa"/>
                  <w:shd w:val="clear" w:color="auto" w:fill="auto"/>
                  <w:noWrap/>
                  <w:hideMark/>
                </w:tcPr>
                <w:p w14:paraId="3E07845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Sorghum grain</w:t>
                  </w:r>
                </w:p>
              </w:tc>
              <w:tc>
                <w:tcPr>
                  <w:tcW w:w="1544" w:type="dxa"/>
                  <w:shd w:val="clear" w:color="auto" w:fill="auto"/>
                  <w:noWrap/>
                  <w:hideMark/>
                </w:tcPr>
                <w:p w14:paraId="416D759E"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0.03</w:t>
                  </w:r>
                </w:p>
              </w:tc>
              <w:tc>
                <w:tcPr>
                  <w:tcW w:w="1805" w:type="dxa"/>
                  <w:shd w:val="clear" w:color="auto" w:fill="auto"/>
                  <w:noWrap/>
                  <w:hideMark/>
                </w:tcPr>
                <w:p w14:paraId="1F461115"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5E0A0E92" w14:textId="77777777" w:rsidR="009C38E1" w:rsidRPr="00DF2323" w:rsidRDefault="009C38E1" w:rsidP="00BE0479">
                  <w:pPr>
                    <w:jc w:val="center"/>
                    <w:rPr>
                      <w:rFonts w:eastAsia="Times New Roman"/>
                      <w:sz w:val="20"/>
                      <w:szCs w:val="20"/>
                      <w:lang w:eastAsia="en-US"/>
                    </w:rPr>
                  </w:pPr>
                </w:p>
              </w:tc>
            </w:tr>
            <w:tr w:rsidR="009C38E1" w:rsidRPr="00DF2323" w14:paraId="03F36257" w14:textId="77777777" w:rsidTr="00BE0479">
              <w:trPr>
                <w:trHeight w:val="300"/>
              </w:trPr>
              <w:tc>
                <w:tcPr>
                  <w:tcW w:w="4148" w:type="dxa"/>
                  <w:shd w:val="clear" w:color="auto" w:fill="auto"/>
                  <w:noWrap/>
                  <w:hideMark/>
                </w:tcPr>
                <w:p w14:paraId="546F04B8"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Sorghum straw and fodder, dry</w:t>
                  </w:r>
                </w:p>
              </w:tc>
              <w:tc>
                <w:tcPr>
                  <w:tcW w:w="1544" w:type="dxa"/>
                  <w:shd w:val="clear" w:color="auto" w:fill="auto"/>
                  <w:noWrap/>
                  <w:hideMark/>
                </w:tcPr>
                <w:p w14:paraId="4214D90A"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0.3</w:t>
                  </w:r>
                </w:p>
              </w:tc>
              <w:tc>
                <w:tcPr>
                  <w:tcW w:w="1805" w:type="dxa"/>
                  <w:shd w:val="clear" w:color="auto" w:fill="auto"/>
                  <w:noWrap/>
                  <w:hideMark/>
                </w:tcPr>
                <w:p w14:paraId="34D7387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3F9CF86E"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dry wt</w:t>
                  </w:r>
                </w:p>
              </w:tc>
            </w:tr>
            <w:tr w:rsidR="009C38E1" w:rsidRPr="00DF2323" w14:paraId="33932B1B" w14:textId="77777777" w:rsidTr="00BE0479">
              <w:trPr>
                <w:trHeight w:val="300"/>
              </w:trPr>
              <w:tc>
                <w:tcPr>
                  <w:tcW w:w="4148" w:type="dxa"/>
                  <w:shd w:val="clear" w:color="auto" w:fill="auto"/>
                  <w:noWrap/>
                  <w:hideMark/>
                </w:tcPr>
                <w:p w14:paraId="2B1056E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Soya bean fodder</w:t>
                  </w:r>
                </w:p>
              </w:tc>
              <w:tc>
                <w:tcPr>
                  <w:tcW w:w="1544" w:type="dxa"/>
                  <w:shd w:val="clear" w:color="auto" w:fill="auto"/>
                  <w:noWrap/>
                  <w:hideMark/>
                </w:tcPr>
                <w:p w14:paraId="2CE3D290"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0.5</w:t>
                  </w:r>
                </w:p>
              </w:tc>
              <w:tc>
                <w:tcPr>
                  <w:tcW w:w="1805" w:type="dxa"/>
                  <w:shd w:val="clear" w:color="auto" w:fill="auto"/>
                  <w:noWrap/>
                  <w:hideMark/>
                </w:tcPr>
                <w:p w14:paraId="3B119995"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D3DB69B"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dry wt</w:t>
                  </w:r>
                </w:p>
              </w:tc>
            </w:tr>
            <w:tr w:rsidR="009C38E1" w:rsidRPr="00DF2323" w14:paraId="5BBCB8FA" w14:textId="77777777" w:rsidTr="00BE0479">
              <w:trPr>
                <w:trHeight w:val="300"/>
              </w:trPr>
              <w:tc>
                <w:tcPr>
                  <w:tcW w:w="4148" w:type="dxa"/>
                  <w:shd w:val="clear" w:color="auto" w:fill="auto"/>
                  <w:noWrap/>
                  <w:hideMark/>
                </w:tcPr>
                <w:p w14:paraId="2FE979A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Stone fruits (group)</w:t>
                  </w:r>
                </w:p>
              </w:tc>
              <w:tc>
                <w:tcPr>
                  <w:tcW w:w="1544" w:type="dxa"/>
                  <w:shd w:val="clear" w:color="auto" w:fill="auto"/>
                  <w:noWrap/>
                  <w:hideMark/>
                </w:tcPr>
                <w:p w14:paraId="2AEC18FD"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0.01</w:t>
                  </w:r>
                </w:p>
              </w:tc>
              <w:tc>
                <w:tcPr>
                  <w:tcW w:w="1805" w:type="dxa"/>
                  <w:shd w:val="clear" w:color="auto" w:fill="auto"/>
                  <w:noWrap/>
                  <w:hideMark/>
                </w:tcPr>
                <w:p w14:paraId="3E877348"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6D5E750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w:t>
                  </w:r>
                </w:p>
              </w:tc>
            </w:tr>
            <w:tr w:rsidR="009C38E1" w:rsidRPr="00DF2323" w14:paraId="24DF13A1" w14:textId="77777777" w:rsidTr="00BE0479">
              <w:trPr>
                <w:trHeight w:val="300"/>
              </w:trPr>
              <w:tc>
                <w:tcPr>
                  <w:tcW w:w="4148" w:type="dxa"/>
                  <w:shd w:val="clear" w:color="auto" w:fill="auto"/>
                  <w:noWrap/>
                  <w:hideMark/>
                </w:tcPr>
                <w:p w14:paraId="72113F6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Sunflower seed</w:t>
                  </w:r>
                </w:p>
              </w:tc>
              <w:tc>
                <w:tcPr>
                  <w:tcW w:w="1544" w:type="dxa"/>
                  <w:shd w:val="clear" w:color="auto" w:fill="auto"/>
                  <w:noWrap/>
                  <w:hideMark/>
                </w:tcPr>
                <w:p w14:paraId="1ABB85C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w:t>
                  </w:r>
                </w:p>
              </w:tc>
              <w:tc>
                <w:tcPr>
                  <w:tcW w:w="1805" w:type="dxa"/>
                  <w:shd w:val="clear" w:color="auto" w:fill="auto"/>
                  <w:noWrap/>
                  <w:hideMark/>
                </w:tcPr>
                <w:p w14:paraId="2706FD7B"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52370C48" w14:textId="77777777" w:rsidR="009C38E1" w:rsidRPr="00DF2323" w:rsidRDefault="009C38E1" w:rsidP="00BE0479">
                  <w:pPr>
                    <w:jc w:val="center"/>
                    <w:rPr>
                      <w:rFonts w:eastAsia="Times New Roman"/>
                      <w:sz w:val="20"/>
                      <w:szCs w:val="20"/>
                      <w:lang w:eastAsia="en-US"/>
                    </w:rPr>
                  </w:pPr>
                </w:p>
              </w:tc>
            </w:tr>
            <w:tr w:rsidR="009C38E1" w:rsidRPr="00DF2323" w14:paraId="1AC8B192" w14:textId="77777777" w:rsidTr="00BE0479">
              <w:trPr>
                <w:trHeight w:val="300"/>
              </w:trPr>
              <w:tc>
                <w:tcPr>
                  <w:tcW w:w="4148" w:type="dxa"/>
                  <w:shd w:val="clear" w:color="auto" w:fill="auto"/>
                  <w:noWrap/>
                  <w:hideMark/>
                </w:tcPr>
                <w:p w14:paraId="1D00C96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Table olives</w:t>
                  </w:r>
                </w:p>
              </w:tc>
              <w:tc>
                <w:tcPr>
                  <w:tcW w:w="1544" w:type="dxa"/>
                  <w:shd w:val="clear" w:color="auto" w:fill="auto"/>
                  <w:noWrap/>
                  <w:hideMark/>
                </w:tcPr>
                <w:p w14:paraId="423C2E71"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0.1</w:t>
                  </w:r>
                </w:p>
              </w:tc>
              <w:tc>
                <w:tcPr>
                  <w:tcW w:w="1805" w:type="dxa"/>
                  <w:shd w:val="clear" w:color="auto" w:fill="auto"/>
                  <w:noWrap/>
                  <w:hideMark/>
                </w:tcPr>
                <w:p w14:paraId="19CE88B5"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235F518F" w14:textId="77777777" w:rsidR="009C38E1" w:rsidRPr="00DF2323" w:rsidRDefault="009C38E1" w:rsidP="00BE0479">
                  <w:pPr>
                    <w:jc w:val="center"/>
                    <w:rPr>
                      <w:rFonts w:eastAsia="Times New Roman"/>
                      <w:sz w:val="20"/>
                      <w:szCs w:val="20"/>
                      <w:lang w:eastAsia="en-US"/>
                    </w:rPr>
                  </w:pPr>
                </w:p>
              </w:tc>
            </w:tr>
            <w:tr w:rsidR="009C38E1" w:rsidRPr="00DF2323" w14:paraId="100E6F0A" w14:textId="77777777" w:rsidTr="00BE0479">
              <w:trPr>
                <w:trHeight w:val="300"/>
              </w:trPr>
              <w:tc>
                <w:tcPr>
                  <w:tcW w:w="4148" w:type="dxa"/>
                  <w:shd w:val="clear" w:color="auto" w:fill="auto"/>
                  <w:noWrap/>
                  <w:hideMark/>
                </w:tcPr>
                <w:p w14:paraId="2050E09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Tea, green, black (black, fermented and dried)</w:t>
                  </w:r>
                </w:p>
              </w:tc>
              <w:tc>
                <w:tcPr>
                  <w:tcW w:w="1544" w:type="dxa"/>
                  <w:shd w:val="clear" w:color="auto" w:fill="auto"/>
                  <w:noWrap/>
                  <w:hideMark/>
                </w:tcPr>
                <w:p w14:paraId="59C5D82D"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0.2</w:t>
                  </w:r>
                </w:p>
              </w:tc>
              <w:tc>
                <w:tcPr>
                  <w:tcW w:w="1805" w:type="dxa"/>
                  <w:shd w:val="clear" w:color="auto" w:fill="auto"/>
                  <w:noWrap/>
                  <w:hideMark/>
                </w:tcPr>
                <w:p w14:paraId="16031AD4"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102900C0" w14:textId="77777777" w:rsidR="009C38E1" w:rsidRPr="00DF2323" w:rsidRDefault="009C38E1" w:rsidP="00BE0479">
                  <w:pPr>
                    <w:jc w:val="center"/>
                    <w:rPr>
                      <w:rFonts w:eastAsia="Times New Roman"/>
                      <w:sz w:val="20"/>
                      <w:szCs w:val="20"/>
                      <w:lang w:eastAsia="en-US"/>
                    </w:rPr>
                  </w:pPr>
                </w:p>
              </w:tc>
            </w:tr>
            <w:tr w:rsidR="009C38E1" w:rsidRPr="00DF2323" w14:paraId="04E13C6E" w14:textId="77777777" w:rsidTr="00BE0479">
              <w:trPr>
                <w:trHeight w:val="300"/>
              </w:trPr>
              <w:tc>
                <w:tcPr>
                  <w:tcW w:w="4148" w:type="dxa"/>
                  <w:shd w:val="clear" w:color="auto" w:fill="auto"/>
                  <w:noWrap/>
                  <w:hideMark/>
                </w:tcPr>
                <w:p w14:paraId="14C68955"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Tree nuts (group)</w:t>
                  </w:r>
                </w:p>
              </w:tc>
              <w:tc>
                <w:tcPr>
                  <w:tcW w:w="1544" w:type="dxa"/>
                  <w:shd w:val="clear" w:color="auto" w:fill="auto"/>
                  <w:noWrap/>
                  <w:hideMark/>
                </w:tcPr>
                <w:p w14:paraId="1F8F4C49"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0.05</w:t>
                  </w:r>
                </w:p>
              </w:tc>
              <w:tc>
                <w:tcPr>
                  <w:tcW w:w="1805" w:type="dxa"/>
                  <w:shd w:val="clear" w:color="auto" w:fill="auto"/>
                  <w:noWrap/>
                  <w:hideMark/>
                </w:tcPr>
                <w:p w14:paraId="576E4E28" w14:textId="77777777" w:rsidR="009C38E1" w:rsidRPr="00DF2323" w:rsidRDefault="009C38E1" w:rsidP="00BE0479">
                  <w:pPr>
                    <w:jc w:val="center"/>
                    <w:rPr>
                      <w:rFonts w:eastAsia="Times New Roman"/>
                      <w:sz w:val="20"/>
                      <w:szCs w:val="20"/>
                      <w:lang w:eastAsia="en-US"/>
                    </w:rPr>
                  </w:pPr>
                  <w:r w:rsidRPr="00DF2323">
                    <w:rPr>
                      <w:rFonts w:eastAsia="Times New Roman"/>
                      <w:sz w:val="20"/>
                      <w:szCs w:val="20"/>
                      <w:lang w:eastAsia="en-US"/>
                    </w:rPr>
                    <w:t>2006</w:t>
                  </w:r>
                </w:p>
              </w:tc>
              <w:tc>
                <w:tcPr>
                  <w:tcW w:w="1036" w:type="dxa"/>
                  <w:shd w:val="clear" w:color="auto" w:fill="auto"/>
                  <w:noWrap/>
                  <w:hideMark/>
                </w:tcPr>
                <w:p w14:paraId="3DB932DE" w14:textId="77777777" w:rsidR="009C38E1" w:rsidRPr="00DF2323" w:rsidRDefault="009C38E1" w:rsidP="00BE0479">
                  <w:pPr>
                    <w:jc w:val="center"/>
                    <w:rPr>
                      <w:rFonts w:eastAsia="Times New Roman"/>
                      <w:sz w:val="20"/>
                      <w:szCs w:val="20"/>
                      <w:lang w:eastAsia="en-US"/>
                    </w:rPr>
                  </w:pPr>
                </w:p>
              </w:tc>
            </w:tr>
          </w:tbl>
          <w:p w14:paraId="4FD7E9E7" w14:textId="77777777"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 At or about the limit of determination.</w:t>
            </w:r>
          </w:p>
          <w:p w14:paraId="773DDD65" w14:textId="77777777"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The definition of residues for plant and animal commodities should be: Paraquat cation (for both compliance with MRLs and estimation of dietary intake).</w:t>
            </w:r>
          </w:p>
          <w:p w14:paraId="4CCDC8F1" w14:textId="77777777"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 xml:space="preserve">Source: </w:t>
            </w:r>
            <w:hyperlink r:id="rId29" w:history="1">
              <w:r w:rsidRPr="00DF2323">
                <w:rPr>
                  <w:rStyle w:val="Hyperlink"/>
                  <w:rFonts w:eastAsia="Times New Roman"/>
                  <w:lang w:val="en-GB" w:eastAsia="en-US"/>
                </w:rPr>
                <w:t>https://www.fao.org/fao-who-codexalimentarius/codex-texts/dbs/pestres/pesticide-detail/en/?p_id=57</w:t>
              </w:r>
            </w:hyperlink>
            <w:r w:rsidRPr="00DF2323">
              <w:rPr>
                <w:rFonts w:eastAsia="Times New Roman"/>
                <w:sz w:val="20"/>
                <w:szCs w:val="20"/>
                <w:lang w:eastAsia="en-US"/>
              </w:rPr>
              <w:t xml:space="preserve"> </w:t>
            </w:r>
          </w:p>
          <w:p w14:paraId="30FAC5D3" w14:textId="77777777"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The Joint meeting of the FAO Panel of Experts on Pesticide Residues in Food and the Environment and the WHO Core Assessment Group (JMPR, 2004 a, b) recommended the update of some of the MRLs on the basis of the data from supervised trials.</w:t>
            </w:r>
          </w:p>
          <w:p w14:paraId="0EEA5FC6" w14:textId="77777777" w:rsidR="00DF7DFC" w:rsidRPr="00DF2323" w:rsidRDefault="00DF7DFC" w:rsidP="00BE0479">
            <w:pPr>
              <w:rPr>
                <w:rFonts w:eastAsia="Times New Roman"/>
                <w:b/>
                <w:bCs/>
                <w:sz w:val="20"/>
                <w:szCs w:val="20"/>
                <w:lang w:eastAsia="en-US"/>
              </w:rPr>
            </w:pPr>
          </w:p>
          <w:p w14:paraId="234E07E9" w14:textId="516E48C4"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lastRenderedPageBreak/>
              <w:t>European Union</w:t>
            </w:r>
          </w:p>
          <w:p w14:paraId="039238EF" w14:textId="77777777" w:rsidR="009C38E1" w:rsidRPr="00DF2323" w:rsidRDefault="009C38E1" w:rsidP="00DF7DFC">
            <w:pPr>
              <w:spacing w:after="120"/>
              <w:rPr>
                <w:rFonts w:eastAsia="Times New Roman"/>
                <w:sz w:val="20"/>
                <w:szCs w:val="20"/>
                <w:lang w:eastAsia="en-US"/>
              </w:rPr>
            </w:pPr>
            <w:r w:rsidRPr="00DF2323">
              <w:rPr>
                <w:rFonts w:eastAsia="Times New Roman"/>
                <w:sz w:val="20"/>
                <w:szCs w:val="20"/>
                <w:lang w:eastAsia="en-US"/>
              </w:rPr>
              <w:t>Pursuant to Regulation (EC) No 396/2005 of the European Parliament and of the Council of 23 February 2005 on maximum residue levels of pesticides in or on food and feed of plant and animal origin (Official Journal of the European Union L 70, 16.3.2005, p. 1), the maximum residue limit is 0.02 mg/kg, except 0.05 mg/kg for bananas. The limit values are specified in Commission Regulation (EU) No 520/2011 (OJ L 140, 27.5.2011, p. 2–47).</w:t>
            </w: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8"/>
              <w:gridCol w:w="4797"/>
            </w:tblGrid>
            <w:tr w:rsidR="009C38E1" w:rsidRPr="00DF2323" w14:paraId="6B24DCDD" w14:textId="77777777" w:rsidTr="00BE0479">
              <w:trPr>
                <w:trHeight w:val="269"/>
              </w:trPr>
              <w:tc>
                <w:tcPr>
                  <w:tcW w:w="4278" w:type="dxa"/>
                  <w:shd w:val="clear" w:color="auto" w:fill="auto"/>
                </w:tcPr>
                <w:p w14:paraId="391D0025"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Products</w:t>
                  </w:r>
                </w:p>
              </w:tc>
              <w:tc>
                <w:tcPr>
                  <w:tcW w:w="4797" w:type="dxa"/>
                  <w:shd w:val="clear" w:color="auto" w:fill="auto"/>
                </w:tcPr>
                <w:p w14:paraId="289B5BFE"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Pesticide residues and maximum residue levels (mg/kg)</w:t>
                  </w:r>
                </w:p>
              </w:tc>
            </w:tr>
            <w:tr w:rsidR="009C38E1" w:rsidRPr="00DF2323" w14:paraId="240C8499" w14:textId="77777777" w:rsidTr="00BE0479">
              <w:trPr>
                <w:trHeight w:val="269"/>
              </w:trPr>
              <w:tc>
                <w:tcPr>
                  <w:tcW w:w="4278" w:type="dxa"/>
                  <w:shd w:val="clear" w:color="auto" w:fill="auto"/>
                  <w:hideMark/>
                </w:tcPr>
                <w:p w14:paraId="0039EFF8"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Fruits, fresh or frozen; tree nuts </w:t>
                  </w:r>
                </w:p>
              </w:tc>
              <w:tc>
                <w:tcPr>
                  <w:tcW w:w="4797" w:type="dxa"/>
                  <w:shd w:val="clear" w:color="auto" w:fill="auto"/>
                  <w:hideMark/>
                </w:tcPr>
                <w:p w14:paraId="49B79CF0"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w:t>
                  </w:r>
                </w:p>
              </w:tc>
            </w:tr>
            <w:tr w:rsidR="009C38E1" w:rsidRPr="00DF2323" w14:paraId="2EC9343A" w14:textId="77777777" w:rsidTr="00BE0479">
              <w:trPr>
                <w:trHeight w:val="269"/>
              </w:trPr>
              <w:tc>
                <w:tcPr>
                  <w:tcW w:w="4278" w:type="dxa"/>
                  <w:shd w:val="clear" w:color="auto" w:fill="auto"/>
                  <w:hideMark/>
                </w:tcPr>
                <w:p w14:paraId="0F47A88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Vegetables, fresh or frozen </w:t>
                  </w:r>
                </w:p>
              </w:tc>
              <w:tc>
                <w:tcPr>
                  <w:tcW w:w="4797" w:type="dxa"/>
                  <w:shd w:val="clear" w:color="auto" w:fill="auto"/>
                  <w:hideMark/>
                </w:tcPr>
                <w:p w14:paraId="4B19907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w:t>
                  </w:r>
                </w:p>
              </w:tc>
            </w:tr>
            <w:tr w:rsidR="009C38E1" w:rsidRPr="00DF2323" w14:paraId="3B25EBA4" w14:textId="77777777" w:rsidTr="00BE0479">
              <w:trPr>
                <w:trHeight w:val="134"/>
              </w:trPr>
              <w:tc>
                <w:tcPr>
                  <w:tcW w:w="4278" w:type="dxa"/>
                  <w:shd w:val="clear" w:color="auto" w:fill="auto"/>
                  <w:hideMark/>
                </w:tcPr>
                <w:p w14:paraId="77E5519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Pulses </w:t>
                  </w:r>
                </w:p>
              </w:tc>
              <w:tc>
                <w:tcPr>
                  <w:tcW w:w="4797" w:type="dxa"/>
                  <w:shd w:val="clear" w:color="auto" w:fill="auto"/>
                  <w:hideMark/>
                </w:tcPr>
                <w:p w14:paraId="3378C4E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w:t>
                  </w:r>
                </w:p>
              </w:tc>
            </w:tr>
            <w:tr w:rsidR="009C38E1" w:rsidRPr="00DF2323" w14:paraId="54B0DE7F" w14:textId="77777777" w:rsidTr="00BE0479">
              <w:trPr>
                <w:trHeight w:val="269"/>
              </w:trPr>
              <w:tc>
                <w:tcPr>
                  <w:tcW w:w="4278" w:type="dxa"/>
                  <w:shd w:val="clear" w:color="auto" w:fill="auto"/>
                  <w:hideMark/>
                </w:tcPr>
                <w:p w14:paraId="38CDCEB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Oilseeds and oil fruits </w:t>
                  </w:r>
                </w:p>
              </w:tc>
              <w:tc>
                <w:tcPr>
                  <w:tcW w:w="4797" w:type="dxa"/>
                  <w:shd w:val="clear" w:color="auto" w:fill="auto"/>
                  <w:hideMark/>
                </w:tcPr>
                <w:p w14:paraId="4A81128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w:t>
                  </w:r>
                </w:p>
              </w:tc>
            </w:tr>
            <w:tr w:rsidR="009C38E1" w:rsidRPr="00DF2323" w14:paraId="761CE229" w14:textId="77777777" w:rsidTr="00BE0479">
              <w:trPr>
                <w:trHeight w:val="60"/>
              </w:trPr>
              <w:tc>
                <w:tcPr>
                  <w:tcW w:w="4278" w:type="dxa"/>
                  <w:shd w:val="clear" w:color="auto" w:fill="auto"/>
                  <w:hideMark/>
                </w:tcPr>
                <w:p w14:paraId="205487F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Cereals </w:t>
                  </w:r>
                </w:p>
              </w:tc>
              <w:tc>
                <w:tcPr>
                  <w:tcW w:w="4797" w:type="dxa"/>
                  <w:shd w:val="clear" w:color="auto" w:fill="auto"/>
                  <w:hideMark/>
                </w:tcPr>
                <w:p w14:paraId="65F1537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 (except rice, where the MRL is 0.05)</w:t>
                  </w:r>
                </w:p>
              </w:tc>
            </w:tr>
            <w:tr w:rsidR="009C38E1" w:rsidRPr="00DF2323" w14:paraId="45656F73" w14:textId="77777777" w:rsidTr="00BE0479">
              <w:trPr>
                <w:trHeight w:val="207"/>
              </w:trPr>
              <w:tc>
                <w:tcPr>
                  <w:tcW w:w="4278" w:type="dxa"/>
                  <w:shd w:val="clear" w:color="auto" w:fill="auto"/>
                  <w:hideMark/>
                </w:tcPr>
                <w:p w14:paraId="4D1D337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Teas, coffee, herbal infusions, cocoa and carobs </w:t>
                  </w:r>
                </w:p>
              </w:tc>
              <w:tc>
                <w:tcPr>
                  <w:tcW w:w="4797" w:type="dxa"/>
                  <w:shd w:val="clear" w:color="auto" w:fill="auto"/>
                  <w:hideMark/>
                </w:tcPr>
                <w:p w14:paraId="744CE7C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0.05*</w:t>
                  </w:r>
                </w:p>
              </w:tc>
            </w:tr>
            <w:tr w:rsidR="009C38E1" w:rsidRPr="00DF2323" w14:paraId="7E660C6E" w14:textId="77777777" w:rsidTr="00BE0479">
              <w:trPr>
                <w:trHeight w:val="134"/>
              </w:trPr>
              <w:tc>
                <w:tcPr>
                  <w:tcW w:w="4278" w:type="dxa"/>
                  <w:shd w:val="clear" w:color="auto" w:fill="auto"/>
                  <w:hideMark/>
                </w:tcPr>
                <w:p w14:paraId="5F716FCF"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Hops </w:t>
                  </w:r>
                </w:p>
              </w:tc>
              <w:tc>
                <w:tcPr>
                  <w:tcW w:w="4797" w:type="dxa"/>
                  <w:shd w:val="clear" w:color="auto" w:fill="auto"/>
                  <w:hideMark/>
                </w:tcPr>
                <w:p w14:paraId="1DDB3AA8"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0.05*</w:t>
                  </w:r>
                </w:p>
              </w:tc>
            </w:tr>
            <w:tr w:rsidR="009C38E1" w:rsidRPr="00DF2323" w14:paraId="61EAEE4B" w14:textId="77777777" w:rsidTr="00BE0479">
              <w:trPr>
                <w:trHeight w:val="134"/>
              </w:trPr>
              <w:tc>
                <w:tcPr>
                  <w:tcW w:w="4278" w:type="dxa"/>
                  <w:shd w:val="clear" w:color="auto" w:fill="auto"/>
                  <w:hideMark/>
                </w:tcPr>
                <w:p w14:paraId="2BF7CA2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Spices </w:t>
                  </w:r>
                </w:p>
              </w:tc>
              <w:tc>
                <w:tcPr>
                  <w:tcW w:w="4797" w:type="dxa"/>
                  <w:shd w:val="clear" w:color="auto" w:fill="auto"/>
                  <w:hideMark/>
                </w:tcPr>
                <w:p w14:paraId="5C130D1D"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0.05*</w:t>
                  </w:r>
                </w:p>
              </w:tc>
            </w:tr>
            <w:tr w:rsidR="009C38E1" w:rsidRPr="00DF2323" w14:paraId="48670C62" w14:textId="77777777" w:rsidTr="00BE0479">
              <w:trPr>
                <w:trHeight w:val="134"/>
              </w:trPr>
              <w:tc>
                <w:tcPr>
                  <w:tcW w:w="4278" w:type="dxa"/>
                  <w:shd w:val="clear" w:color="auto" w:fill="auto"/>
                  <w:hideMark/>
                </w:tcPr>
                <w:p w14:paraId="0CC4AE8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Sugar plants </w:t>
                  </w:r>
                </w:p>
              </w:tc>
              <w:tc>
                <w:tcPr>
                  <w:tcW w:w="4797" w:type="dxa"/>
                  <w:shd w:val="clear" w:color="auto" w:fill="auto"/>
                  <w:hideMark/>
                </w:tcPr>
                <w:p w14:paraId="70675CF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0.02*</w:t>
                  </w:r>
                </w:p>
              </w:tc>
            </w:tr>
            <w:tr w:rsidR="009C38E1" w:rsidRPr="00DF2323" w14:paraId="1251B48A" w14:textId="77777777" w:rsidTr="00BE0479">
              <w:trPr>
                <w:trHeight w:val="134"/>
              </w:trPr>
              <w:tc>
                <w:tcPr>
                  <w:tcW w:w="4278" w:type="dxa"/>
                  <w:shd w:val="clear" w:color="auto" w:fill="auto"/>
                </w:tcPr>
                <w:p w14:paraId="3452E78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Products of animal origin</w:t>
                  </w:r>
                </w:p>
              </w:tc>
              <w:tc>
                <w:tcPr>
                  <w:tcW w:w="4797" w:type="dxa"/>
                  <w:shd w:val="clear" w:color="auto" w:fill="auto"/>
                </w:tcPr>
                <w:p w14:paraId="6B896E1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0.01 (default)</w:t>
                  </w:r>
                </w:p>
              </w:tc>
            </w:tr>
          </w:tbl>
          <w:p w14:paraId="6387C48F" w14:textId="77777777" w:rsidR="009C38E1" w:rsidRPr="00DF2323" w:rsidRDefault="009C38E1" w:rsidP="006D0EE6">
            <w:pPr>
              <w:spacing w:after="120"/>
              <w:rPr>
                <w:rFonts w:eastAsia="Times New Roman"/>
                <w:sz w:val="20"/>
                <w:szCs w:val="20"/>
                <w:lang w:eastAsia="en-US"/>
              </w:rPr>
            </w:pPr>
            <w:r w:rsidRPr="00DF2323">
              <w:rPr>
                <w:rFonts w:eastAsia="Times New Roman"/>
                <w:sz w:val="20"/>
                <w:szCs w:val="20"/>
                <w:lang w:eastAsia="en-US"/>
              </w:rPr>
              <w:t>* Indicates lower limit of analytical determination</w:t>
            </w:r>
          </w:p>
          <w:p w14:paraId="47629FE4" w14:textId="7160180F" w:rsidR="009C38E1" w:rsidRPr="00DF2323" w:rsidRDefault="009C38E1" w:rsidP="006D0EE6">
            <w:pPr>
              <w:spacing w:after="120"/>
              <w:rPr>
                <w:rFonts w:eastAsia="Times New Roman"/>
                <w:sz w:val="20"/>
                <w:szCs w:val="20"/>
                <w:lang w:eastAsia="en-US"/>
              </w:rPr>
            </w:pPr>
            <w:r w:rsidRPr="00DF2323">
              <w:rPr>
                <w:rFonts w:eastAsia="Times New Roman"/>
                <w:sz w:val="20"/>
                <w:szCs w:val="20"/>
                <w:lang w:eastAsia="en-US"/>
              </w:rPr>
              <w:t>Source :</w:t>
            </w:r>
            <w:r w:rsidRPr="00DF2323">
              <w:rPr>
                <w:rFonts w:eastAsia="Times New Roman"/>
              </w:rPr>
              <w:t xml:space="preserve"> </w:t>
            </w:r>
            <w:hyperlink r:id="rId30" w:history="1">
              <w:r w:rsidRPr="00DF2323">
                <w:rPr>
                  <w:rStyle w:val="Hyperlink"/>
                  <w:lang w:val="en-GB" w:eastAsia="en-US"/>
                </w:rPr>
                <w:t>https://ec.europa.eu/food/plant/pesticides/eu-pesticides-database/mrls/?event=details&amp;pest_res_ids=172&amp;product_ids=&amp;v=1&amp;e=search.pr</w:t>
              </w:r>
            </w:hyperlink>
          </w:p>
        </w:tc>
      </w:tr>
      <w:tr w:rsidR="009C38E1" w:rsidRPr="00DF2323" w14:paraId="19331248" w14:textId="77777777" w:rsidTr="00817A0B">
        <w:tblPrEx>
          <w:tblBorders>
            <w:top w:val="single" w:sz="6" w:space="0" w:color="auto"/>
            <w:left w:val="single" w:sz="6" w:space="0" w:color="auto"/>
            <w:bottom w:val="single" w:sz="6" w:space="0" w:color="auto"/>
            <w:right w:val="single" w:sz="6" w:space="0" w:color="auto"/>
          </w:tblBorders>
        </w:tblPrEx>
        <w:trPr>
          <w:jc w:val="right"/>
        </w:trPr>
        <w:tc>
          <w:tcPr>
            <w:tcW w:w="9487" w:type="dxa"/>
            <w:gridSpan w:val="3"/>
            <w:tcBorders>
              <w:top w:val="single" w:sz="4" w:space="0" w:color="auto"/>
              <w:left w:val="single" w:sz="4" w:space="0" w:color="auto"/>
              <w:bottom w:val="single" w:sz="4" w:space="0" w:color="auto"/>
              <w:right w:val="single" w:sz="4" w:space="0" w:color="auto"/>
            </w:tcBorders>
          </w:tcPr>
          <w:p w14:paraId="738D9251"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lastRenderedPageBreak/>
              <w:t>4.3  Packaging and labelling</w:t>
            </w:r>
          </w:p>
        </w:tc>
      </w:tr>
      <w:tr w:rsidR="009C38E1" w:rsidRPr="00DF2323" w14:paraId="5D7302EF" w14:textId="77777777" w:rsidTr="00817A0B">
        <w:trPr>
          <w:trHeight w:val="342"/>
          <w:jc w:val="right"/>
        </w:trPr>
        <w:tc>
          <w:tcPr>
            <w:tcW w:w="9487" w:type="dxa"/>
            <w:gridSpan w:val="3"/>
            <w:tcBorders>
              <w:top w:val="single" w:sz="4" w:space="0" w:color="auto"/>
              <w:left w:val="single" w:sz="4" w:space="0" w:color="auto"/>
              <w:bottom w:val="single" w:sz="6" w:space="0" w:color="auto"/>
              <w:right w:val="single" w:sz="4" w:space="0" w:color="auto"/>
            </w:tcBorders>
          </w:tcPr>
          <w:p w14:paraId="57511A83" w14:textId="77777777" w:rsidR="009C38E1" w:rsidRPr="00DF2323" w:rsidRDefault="009C38E1" w:rsidP="00BE0479">
            <w:pPr>
              <w:rPr>
                <w:rFonts w:eastAsia="Times New Roman"/>
                <w:snapToGrid w:val="0"/>
                <w:sz w:val="20"/>
                <w:szCs w:val="20"/>
                <w:lang w:eastAsia="en-US"/>
              </w:rPr>
            </w:pPr>
            <w:r w:rsidRPr="00DF2323">
              <w:rPr>
                <w:rFonts w:eastAsia="Times New Roman"/>
                <w:sz w:val="20"/>
                <w:szCs w:val="20"/>
                <w:lang w:eastAsia="en-US"/>
              </w:rPr>
              <w:t>The United Nations Committee of Experts on the Transportation of Dangerous Goods classifies the chemical in:</w:t>
            </w:r>
            <w:r w:rsidRPr="00DF2323">
              <w:rPr>
                <w:rFonts w:eastAsia="Times New Roman"/>
                <w:snapToGrid w:val="0"/>
                <w:sz w:val="20"/>
                <w:szCs w:val="20"/>
                <w:lang w:eastAsia="en-US"/>
              </w:rPr>
              <w:t xml:space="preserve"> </w:t>
            </w:r>
          </w:p>
        </w:tc>
      </w:tr>
      <w:tr w:rsidR="009C38E1" w:rsidRPr="00DF2323" w14:paraId="68C83074" w14:textId="77777777" w:rsidTr="00817A0B">
        <w:trPr>
          <w:trHeight w:val="342"/>
          <w:jc w:val="right"/>
        </w:trPr>
        <w:tc>
          <w:tcPr>
            <w:tcW w:w="1994" w:type="dxa"/>
            <w:gridSpan w:val="2"/>
            <w:tcBorders>
              <w:top w:val="single" w:sz="4" w:space="0" w:color="auto"/>
              <w:left w:val="single" w:sz="4" w:space="0" w:color="auto"/>
              <w:bottom w:val="single" w:sz="6" w:space="0" w:color="auto"/>
              <w:right w:val="single" w:sz="4" w:space="0" w:color="auto"/>
            </w:tcBorders>
          </w:tcPr>
          <w:p w14:paraId="20446185" w14:textId="77777777" w:rsidR="009C38E1" w:rsidRPr="00DF2323" w:rsidRDefault="009C38E1" w:rsidP="00BE0479">
            <w:pPr>
              <w:rPr>
                <w:rFonts w:eastAsia="Times New Roman"/>
                <w:sz w:val="20"/>
                <w:szCs w:val="20"/>
                <w:lang w:eastAsia="en-US"/>
              </w:rPr>
            </w:pPr>
            <w:r w:rsidRPr="00DF2323">
              <w:rPr>
                <w:rFonts w:eastAsia="Times New Roman"/>
                <w:b/>
                <w:bCs/>
                <w:snapToGrid w:val="0"/>
                <w:sz w:val="20"/>
                <w:szCs w:val="20"/>
                <w:lang w:eastAsia="en-US"/>
              </w:rPr>
              <w:t xml:space="preserve">Hazard Class and </w:t>
            </w:r>
            <w:r w:rsidRPr="00DF2323">
              <w:rPr>
                <w:rFonts w:eastAsia="Times New Roman"/>
                <w:b/>
                <w:bCs/>
                <w:sz w:val="20"/>
                <w:szCs w:val="20"/>
                <w:lang w:eastAsia="en-US"/>
              </w:rPr>
              <w:t>Packing Group:</w:t>
            </w:r>
          </w:p>
        </w:tc>
        <w:tc>
          <w:tcPr>
            <w:tcW w:w="7493" w:type="dxa"/>
            <w:tcBorders>
              <w:top w:val="single" w:sz="4" w:space="0" w:color="auto"/>
              <w:left w:val="single" w:sz="4" w:space="0" w:color="auto"/>
              <w:bottom w:val="single" w:sz="6" w:space="0" w:color="auto"/>
              <w:right w:val="single" w:sz="4" w:space="0" w:color="auto"/>
            </w:tcBorders>
          </w:tcPr>
          <w:p w14:paraId="7A5DE4DC" w14:textId="77777777" w:rsidR="009C38E1" w:rsidRPr="00DF2323" w:rsidRDefault="009C38E1" w:rsidP="00BE0479">
            <w:pPr>
              <w:widowControl w:val="0"/>
              <w:spacing w:before="40" w:after="40"/>
              <w:rPr>
                <w:rFonts w:eastAsia="Times New Roman"/>
                <w:snapToGrid w:val="0"/>
                <w:sz w:val="20"/>
                <w:szCs w:val="20"/>
                <w:lang w:eastAsia="en-US"/>
              </w:rPr>
            </w:pPr>
            <w:r w:rsidRPr="00DF2323">
              <w:rPr>
                <w:rFonts w:eastAsia="Times New Roman"/>
                <w:snapToGrid w:val="0"/>
                <w:sz w:val="20"/>
                <w:szCs w:val="20"/>
                <w:lang w:eastAsia="en-US"/>
              </w:rPr>
              <w:t>UN Number 2781</w:t>
            </w:r>
          </w:p>
          <w:p w14:paraId="7F21B8F0" w14:textId="77777777" w:rsidR="009C38E1" w:rsidRPr="00DF2323" w:rsidRDefault="009C38E1" w:rsidP="00BE0479">
            <w:pPr>
              <w:widowControl w:val="0"/>
              <w:spacing w:before="40" w:after="40"/>
              <w:rPr>
                <w:rFonts w:eastAsia="Times New Roman"/>
                <w:snapToGrid w:val="0"/>
                <w:sz w:val="20"/>
                <w:szCs w:val="20"/>
                <w:lang w:eastAsia="en-US"/>
              </w:rPr>
            </w:pPr>
            <w:r w:rsidRPr="00DF2323">
              <w:rPr>
                <w:rFonts w:eastAsia="Times New Roman"/>
                <w:snapToGrid w:val="0"/>
                <w:sz w:val="20"/>
                <w:szCs w:val="20"/>
                <w:lang w:eastAsia="en-US"/>
              </w:rPr>
              <w:t>UN Hazard Class: 6.1</w:t>
            </w:r>
          </w:p>
          <w:p w14:paraId="4BC0DA7B" w14:textId="77777777" w:rsidR="009C38E1" w:rsidRPr="00DF2323" w:rsidRDefault="009C38E1" w:rsidP="00BE0479">
            <w:pPr>
              <w:widowControl w:val="0"/>
              <w:spacing w:before="40" w:after="40"/>
              <w:rPr>
                <w:rFonts w:eastAsia="Times New Roman"/>
                <w:snapToGrid w:val="0"/>
                <w:sz w:val="20"/>
                <w:szCs w:val="20"/>
                <w:lang w:eastAsia="en-US"/>
              </w:rPr>
            </w:pPr>
            <w:r w:rsidRPr="00DF2323">
              <w:rPr>
                <w:rFonts w:eastAsia="Times New Roman"/>
                <w:snapToGrid w:val="0"/>
                <w:sz w:val="20"/>
                <w:szCs w:val="20"/>
                <w:lang w:eastAsia="en-US"/>
              </w:rPr>
              <w:t>UN Pack Group: I</w:t>
            </w:r>
          </w:p>
          <w:p w14:paraId="19A84E15" w14:textId="02BB6B21" w:rsidR="009C38E1" w:rsidRPr="00DF2323" w:rsidRDefault="009C38E1" w:rsidP="004A787E">
            <w:pPr>
              <w:widowControl w:val="0"/>
              <w:spacing w:before="40" w:after="120"/>
              <w:rPr>
                <w:rFonts w:eastAsia="Times New Roman"/>
                <w:sz w:val="20"/>
                <w:szCs w:val="20"/>
                <w:lang w:eastAsia="en-US"/>
              </w:rPr>
            </w:pPr>
            <w:r w:rsidRPr="00DF2323">
              <w:rPr>
                <w:rFonts w:eastAsia="Times New Roman"/>
                <w:snapToGrid w:val="0"/>
                <w:sz w:val="20"/>
                <w:szCs w:val="20"/>
                <w:lang w:eastAsia="en-US"/>
              </w:rPr>
              <w:t xml:space="preserve">Source: </w:t>
            </w:r>
            <w:hyperlink r:id="rId31" w:history="1">
              <w:r w:rsidRPr="00DF2323">
                <w:rPr>
                  <w:rStyle w:val="Hyperlink"/>
                  <w:rFonts w:eastAsia="Times New Roman"/>
                  <w:snapToGrid w:val="0"/>
                  <w:lang w:val="en-GB" w:eastAsia="en-US"/>
                </w:rPr>
                <w:t>https://inchem.org/documents/icsc/icsc/eics0005.htm</w:t>
              </w:r>
            </w:hyperlink>
          </w:p>
        </w:tc>
      </w:tr>
      <w:tr w:rsidR="009C38E1" w:rsidRPr="00DF2323" w14:paraId="57D21951" w14:textId="77777777" w:rsidTr="00817A0B">
        <w:trPr>
          <w:trHeight w:val="342"/>
          <w:jc w:val="right"/>
        </w:trPr>
        <w:tc>
          <w:tcPr>
            <w:tcW w:w="1994" w:type="dxa"/>
            <w:gridSpan w:val="2"/>
            <w:tcBorders>
              <w:top w:val="single" w:sz="4" w:space="0" w:color="auto"/>
              <w:left w:val="single" w:sz="4" w:space="0" w:color="auto"/>
              <w:bottom w:val="single" w:sz="6" w:space="0" w:color="auto"/>
              <w:right w:val="single" w:sz="4" w:space="0" w:color="auto"/>
            </w:tcBorders>
          </w:tcPr>
          <w:p w14:paraId="62F7AE27" w14:textId="77777777" w:rsidR="009C38E1" w:rsidRPr="00DF2323" w:rsidRDefault="009C38E1" w:rsidP="00BE0479">
            <w:pPr>
              <w:rPr>
                <w:rFonts w:eastAsia="Times New Roman"/>
                <w:b/>
                <w:bCs/>
                <w:snapToGrid w:val="0"/>
                <w:sz w:val="20"/>
                <w:szCs w:val="20"/>
                <w:lang w:eastAsia="en-US"/>
              </w:rPr>
            </w:pPr>
            <w:r w:rsidRPr="00DF2323">
              <w:rPr>
                <w:rFonts w:eastAsia="Times New Roman"/>
                <w:b/>
                <w:bCs/>
                <w:sz w:val="20"/>
                <w:szCs w:val="20"/>
                <w:lang w:eastAsia="en-US"/>
              </w:rPr>
              <w:t>International Maritime Dangerous Goods (IMDG) Code</w:t>
            </w:r>
          </w:p>
        </w:tc>
        <w:tc>
          <w:tcPr>
            <w:tcW w:w="7493" w:type="dxa"/>
            <w:tcBorders>
              <w:top w:val="single" w:sz="4" w:space="0" w:color="auto"/>
              <w:left w:val="single" w:sz="4" w:space="0" w:color="auto"/>
              <w:bottom w:val="single" w:sz="6" w:space="0" w:color="auto"/>
              <w:right w:val="single" w:sz="4" w:space="0" w:color="auto"/>
            </w:tcBorders>
          </w:tcPr>
          <w:p w14:paraId="52E0EA1B" w14:textId="77777777" w:rsidR="009C38E1" w:rsidRPr="00DF2323" w:rsidRDefault="009C38E1" w:rsidP="004A787E">
            <w:pPr>
              <w:widowControl w:val="0"/>
              <w:spacing w:before="40" w:after="120"/>
              <w:ind w:left="34" w:hanging="34"/>
              <w:rPr>
                <w:rFonts w:eastAsia="Times New Roman"/>
                <w:snapToGrid w:val="0"/>
                <w:sz w:val="20"/>
                <w:szCs w:val="20"/>
                <w:lang w:eastAsia="en-US"/>
              </w:rPr>
            </w:pPr>
            <w:r w:rsidRPr="00DF2323">
              <w:rPr>
                <w:rFonts w:eastAsia="Times New Roman"/>
                <w:snapToGrid w:val="0"/>
                <w:sz w:val="20"/>
                <w:szCs w:val="20"/>
                <w:lang w:eastAsia="en-US"/>
              </w:rPr>
              <w:t>IMDG Transport Code is usually 6.1 -Toxic substances</w:t>
            </w:r>
          </w:p>
          <w:p w14:paraId="26E5C562" w14:textId="77777777" w:rsidR="009C38E1" w:rsidRPr="00DF2323" w:rsidRDefault="009C38E1" w:rsidP="004A787E">
            <w:pPr>
              <w:widowControl w:val="0"/>
              <w:spacing w:before="40" w:after="120"/>
              <w:rPr>
                <w:rFonts w:eastAsia="Times New Roman"/>
                <w:snapToGrid w:val="0"/>
                <w:sz w:val="20"/>
                <w:szCs w:val="20"/>
                <w:lang w:eastAsia="en-US"/>
              </w:rPr>
            </w:pPr>
            <w:r w:rsidRPr="00DF2323">
              <w:rPr>
                <w:rFonts w:eastAsia="Times New Roman"/>
                <w:snapToGrid w:val="0"/>
                <w:sz w:val="20"/>
                <w:szCs w:val="20"/>
                <w:lang w:eastAsia="en-US"/>
              </w:rPr>
              <w:t>Source: UNEP/FAO/RC/CRC.18/INF/29</w:t>
            </w:r>
          </w:p>
        </w:tc>
      </w:tr>
      <w:tr w:rsidR="009C38E1" w:rsidRPr="00DF2323" w14:paraId="179A54C5" w14:textId="77777777" w:rsidTr="00817A0B">
        <w:trPr>
          <w:trHeight w:val="342"/>
          <w:jc w:val="right"/>
        </w:trPr>
        <w:tc>
          <w:tcPr>
            <w:tcW w:w="1994" w:type="dxa"/>
            <w:gridSpan w:val="2"/>
            <w:tcBorders>
              <w:top w:val="single" w:sz="4" w:space="0" w:color="auto"/>
              <w:left w:val="single" w:sz="4" w:space="0" w:color="auto"/>
              <w:bottom w:val="single" w:sz="6" w:space="0" w:color="auto"/>
              <w:right w:val="single" w:sz="4" w:space="0" w:color="auto"/>
            </w:tcBorders>
          </w:tcPr>
          <w:p w14:paraId="322214AA"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Transport Emergency Card</w:t>
            </w:r>
          </w:p>
        </w:tc>
        <w:tc>
          <w:tcPr>
            <w:tcW w:w="7493" w:type="dxa"/>
            <w:tcBorders>
              <w:top w:val="single" w:sz="4" w:space="0" w:color="auto"/>
              <w:left w:val="single" w:sz="4" w:space="0" w:color="auto"/>
              <w:bottom w:val="single" w:sz="6" w:space="0" w:color="auto"/>
              <w:right w:val="single" w:sz="4" w:space="0" w:color="auto"/>
            </w:tcBorders>
          </w:tcPr>
          <w:p w14:paraId="607F883C" w14:textId="77777777" w:rsidR="009C38E1" w:rsidRPr="00DF2323" w:rsidRDefault="009C38E1" w:rsidP="00BE0479">
            <w:pPr>
              <w:widowControl w:val="0"/>
              <w:spacing w:before="40" w:after="40"/>
              <w:ind w:left="34" w:hanging="34"/>
              <w:rPr>
                <w:rFonts w:eastAsia="Times New Roman"/>
                <w:snapToGrid w:val="0"/>
                <w:sz w:val="20"/>
                <w:szCs w:val="20"/>
                <w:lang w:eastAsia="en-US"/>
              </w:rPr>
            </w:pPr>
            <w:r w:rsidRPr="00DF2323">
              <w:rPr>
                <w:rFonts w:eastAsia="Times New Roman"/>
                <w:snapToGrid w:val="0"/>
                <w:sz w:val="20"/>
                <w:szCs w:val="20"/>
                <w:lang w:eastAsia="en-US"/>
              </w:rPr>
              <w:t>Not available</w:t>
            </w:r>
          </w:p>
        </w:tc>
      </w:tr>
    </w:tbl>
    <w:p w14:paraId="62198005" w14:textId="41450BA9" w:rsidR="009C38E1" w:rsidRPr="00DF2323" w:rsidRDefault="009C38E1" w:rsidP="006D0EE6">
      <w:pPr>
        <w:spacing w:after="120"/>
        <w:rPr>
          <w:rFonts w:eastAsia="Times New Roman"/>
          <w:sz w:val="20"/>
          <w:szCs w:val="20"/>
          <w:lang w:eastAsia="en-US"/>
        </w:rPr>
      </w:pPr>
      <w:r w:rsidRPr="00DF2323">
        <w:rPr>
          <w:snapToGrid w:val="0"/>
          <w:sz w:val="20"/>
          <w:szCs w:val="20"/>
        </w:rPr>
        <w:t>Further specific guidance on appropriate symbols and label statements for paraquat products may be available in the FAO Guidelines on Good Labelling Practice for Pesticides (FAO, 2015).</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9C38E1" w:rsidRPr="00DF2323" w14:paraId="4FEA15D4" w14:textId="77777777" w:rsidTr="00BE0479">
        <w:trPr>
          <w:jc w:val="right"/>
        </w:trPr>
        <w:tc>
          <w:tcPr>
            <w:tcW w:w="9499" w:type="dxa"/>
            <w:tcBorders>
              <w:top w:val="single" w:sz="4" w:space="0" w:color="auto"/>
              <w:left w:val="single" w:sz="4" w:space="0" w:color="auto"/>
              <w:bottom w:val="single" w:sz="4" w:space="0" w:color="auto"/>
              <w:right w:val="single" w:sz="4" w:space="0" w:color="auto"/>
            </w:tcBorders>
          </w:tcPr>
          <w:p w14:paraId="07512AF8" w14:textId="77777777" w:rsidR="009C38E1" w:rsidRPr="00DF2323" w:rsidRDefault="009C38E1" w:rsidP="00EC26F2">
            <w:pPr>
              <w:outlineLvl w:val="1"/>
              <w:rPr>
                <w:rFonts w:eastAsia="Times New Roman"/>
                <w:b/>
                <w:bCs/>
                <w:szCs w:val="28"/>
                <w:lang w:eastAsia="en-US"/>
              </w:rPr>
            </w:pPr>
            <w:r w:rsidRPr="00DF2323">
              <w:rPr>
                <w:rFonts w:eastAsia="Times New Roman"/>
                <w:b/>
                <w:bCs/>
                <w:szCs w:val="28"/>
                <w:lang w:eastAsia="en-US"/>
              </w:rPr>
              <w:t>4.4  First aid</w:t>
            </w:r>
          </w:p>
        </w:tc>
      </w:tr>
    </w:tbl>
    <w:p w14:paraId="62544686" w14:textId="77777777" w:rsidR="009C38E1" w:rsidRPr="00DF2323" w:rsidRDefault="009C38E1" w:rsidP="00EC26F2">
      <w:pPr>
        <w:spacing w:before="120" w:after="120"/>
        <w:rPr>
          <w:rFonts w:eastAsia="Times New Roman"/>
          <w:b/>
          <w:bCs/>
          <w:i/>
          <w:iCs/>
          <w:sz w:val="20"/>
          <w:szCs w:val="20"/>
          <w:lang w:eastAsia="en-US"/>
        </w:rPr>
      </w:pPr>
      <w:r w:rsidRPr="00DF2323">
        <w:rPr>
          <w:rFonts w:eastAsia="Times New Roman"/>
          <w:b/>
          <w:bCs/>
          <w:i/>
          <w:iCs/>
          <w:sz w:val="20"/>
          <w:szCs w:val="20"/>
          <w:lang w:eastAsia="en-US"/>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7EFF2F17" w14:textId="77777777" w:rsidR="009C38E1" w:rsidRPr="00DF2323" w:rsidRDefault="009C38E1" w:rsidP="00EC26F2">
      <w:pPr>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t>Main Human Health Hazards, Prevention and Protection, First Aid</w:t>
      </w:r>
    </w:p>
    <w:p w14:paraId="71AA094B" w14:textId="4CA1B136" w:rsidR="009C38E1" w:rsidRPr="00DF2323" w:rsidRDefault="009C38E1" w:rsidP="00EC26F2">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Paraquat is highly toxic and often fatal if swallowed. Contact with liquid products can cause severe damage to the skin or eyes. Utmost care must be taken to avoid exposure during handling operations and application in the field. In applications where inhalation exposure to aerosols containing paraquat is likely, proper respiratory protective equipment should be used. The human health hazards, together with preventive and protective measures and first-aid recommendations, are listed in the table below.</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8"/>
        <w:gridCol w:w="3423"/>
        <w:gridCol w:w="2976"/>
      </w:tblGrid>
      <w:tr w:rsidR="009C38E1" w:rsidRPr="00DF2323" w14:paraId="4AEB4DB8" w14:textId="77777777" w:rsidTr="00BE0479">
        <w:trPr>
          <w:jc w:val="right"/>
        </w:trPr>
        <w:tc>
          <w:tcPr>
            <w:tcW w:w="2943" w:type="dxa"/>
            <w:shd w:val="clear" w:color="auto" w:fill="auto"/>
          </w:tcPr>
          <w:p w14:paraId="23336C46" w14:textId="77777777" w:rsidR="009C38E1" w:rsidRPr="00DF2323" w:rsidRDefault="009C38E1" w:rsidP="004A787E">
            <w:pPr>
              <w:keepNext/>
              <w:keepLines/>
              <w:rPr>
                <w:rFonts w:eastAsia="Times New Roman"/>
                <w:b/>
                <w:bCs/>
                <w:sz w:val="20"/>
                <w:szCs w:val="20"/>
                <w:lang w:eastAsia="en-US"/>
              </w:rPr>
            </w:pPr>
            <w:r w:rsidRPr="00DF2323">
              <w:rPr>
                <w:rFonts w:eastAsia="Times New Roman"/>
                <w:b/>
                <w:bCs/>
                <w:sz w:val="20"/>
                <w:szCs w:val="20"/>
                <w:lang w:eastAsia="en-US"/>
              </w:rPr>
              <w:lastRenderedPageBreak/>
              <w:t>Hazard/Symptoms</w:t>
            </w:r>
          </w:p>
        </w:tc>
        <w:tc>
          <w:tcPr>
            <w:tcW w:w="3261" w:type="dxa"/>
            <w:shd w:val="clear" w:color="auto" w:fill="auto"/>
          </w:tcPr>
          <w:p w14:paraId="06CD6DCF" w14:textId="77777777" w:rsidR="009C38E1" w:rsidRPr="00DF2323" w:rsidRDefault="009C38E1" w:rsidP="004A787E">
            <w:pPr>
              <w:keepNext/>
              <w:keepLines/>
              <w:rPr>
                <w:rFonts w:eastAsia="Times New Roman"/>
                <w:b/>
                <w:bCs/>
                <w:sz w:val="20"/>
                <w:szCs w:val="20"/>
                <w:lang w:eastAsia="en-US"/>
              </w:rPr>
            </w:pPr>
            <w:r w:rsidRPr="00DF2323">
              <w:rPr>
                <w:rFonts w:eastAsia="Times New Roman"/>
                <w:b/>
                <w:bCs/>
                <w:sz w:val="20"/>
                <w:szCs w:val="20"/>
                <w:lang w:eastAsia="en-US"/>
              </w:rPr>
              <w:t>Prevention and protection</w:t>
            </w:r>
          </w:p>
        </w:tc>
        <w:tc>
          <w:tcPr>
            <w:tcW w:w="2835" w:type="dxa"/>
            <w:shd w:val="clear" w:color="auto" w:fill="auto"/>
          </w:tcPr>
          <w:p w14:paraId="11FA5068" w14:textId="77777777" w:rsidR="009C38E1" w:rsidRPr="00DF2323" w:rsidRDefault="009C38E1" w:rsidP="004A787E">
            <w:pPr>
              <w:keepNext/>
              <w:keepLines/>
              <w:rPr>
                <w:rFonts w:eastAsia="Times New Roman"/>
                <w:b/>
                <w:bCs/>
                <w:sz w:val="20"/>
                <w:szCs w:val="20"/>
                <w:lang w:eastAsia="en-US"/>
              </w:rPr>
            </w:pPr>
            <w:r w:rsidRPr="00DF2323">
              <w:rPr>
                <w:rFonts w:eastAsia="Times New Roman"/>
                <w:b/>
                <w:bCs/>
                <w:sz w:val="20"/>
                <w:szCs w:val="20"/>
                <w:lang w:eastAsia="en-US"/>
              </w:rPr>
              <w:t>First aid</w:t>
            </w:r>
          </w:p>
        </w:tc>
      </w:tr>
      <w:tr w:rsidR="009C38E1" w:rsidRPr="00DF2323" w14:paraId="31FA37E3" w14:textId="77777777" w:rsidTr="00BE0479">
        <w:trPr>
          <w:jc w:val="right"/>
        </w:trPr>
        <w:tc>
          <w:tcPr>
            <w:tcW w:w="2943" w:type="dxa"/>
            <w:shd w:val="clear" w:color="auto" w:fill="auto"/>
          </w:tcPr>
          <w:p w14:paraId="40115E91" w14:textId="77777777" w:rsidR="009C38E1" w:rsidRPr="00DF2323" w:rsidRDefault="009C38E1" w:rsidP="004A787E">
            <w:pPr>
              <w:keepNext/>
              <w:keepLines/>
              <w:rPr>
                <w:rFonts w:eastAsia="Times New Roman"/>
                <w:sz w:val="20"/>
                <w:szCs w:val="20"/>
                <w:lang w:eastAsia="en-US"/>
              </w:rPr>
            </w:pPr>
            <w:r w:rsidRPr="00DF2323">
              <w:rPr>
                <w:rFonts w:eastAsia="Times New Roman"/>
                <w:b/>
                <w:bCs/>
                <w:sz w:val="20"/>
                <w:szCs w:val="20"/>
                <w:lang w:eastAsia="en-US"/>
              </w:rPr>
              <w:t>Skin</w:t>
            </w:r>
            <w:r w:rsidRPr="00DF2323">
              <w:rPr>
                <w:rFonts w:eastAsia="Times New Roman"/>
                <w:sz w:val="20"/>
                <w:szCs w:val="20"/>
                <w:lang w:eastAsia="en-US"/>
              </w:rPr>
              <w:t>: Irritating to skin, may cause blisters, r</w:t>
            </w:r>
            <w:r w:rsidRPr="00DF2323">
              <w:rPr>
                <w:rFonts w:eastAsia="Times New Roman"/>
                <w:color w:val="000000"/>
                <w:sz w:val="20"/>
                <w:szCs w:val="20"/>
              </w:rPr>
              <w:t>edness</w:t>
            </w:r>
          </w:p>
        </w:tc>
        <w:tc>
          <w:tcPr>
            <w:tcW w:w="3261" w:type="dxa"/>
            <w:shd w:val="clear" w:color="auto" w:fill="auto"/>
          </w:tcPr>
          <w:p w14:paraId="7565A887" w14:textId="77777777" w:rsidR="009C38E1" w:rsidRPr="00DF2323" w:rsidRDefault="009C38E1" w:rsidP="00D857A9">
            <w:pPr>
              <w:keepNext/>
              <w:keepLines/>
              <w:spacing w:after="120"/>
              <w:rPr>
                <w:rFonts w:eastAsia="Times New Roman"/>
                <w:sz w:val="20"/>
                <w:szCs w:val="20"/>
                <w:lang w:eastAsia="en-US"/>
              </w:rPr>
            </w:pPr>
            <w:r w:rsidRPr="00DF2323">
              <w:rPr>
                <w:rFonts w:eastAsia="Times New Roman"/>
                <w:sz w:val="20"/>
                <w:szCs w:val="20"/>
                <w:lang w:eastAsia="en-US"/>
              </w:rPr>
              <w:t>Proper application technique; proper skin protection, including impervious clothing and gloves</w:t>
            </w:r>
          </w:p>
          <w:p w14:paraId="6E278F41" w14:textId="0305F531" w:rsidR="009C38E1" w:rsidRPr="00DF2323" w:rsidRDefault="009C38E1" w:rsidP="00D857A9">
            <w:pPr>
              <w:keepNext/>
              <w:keepLines/>
              <w:spacing w:after="120"/>
              <w:rPr>
                <w:rFonts w:eastAsia="Times New Roman"/>
                <w:sz w:val="20"/>
                <w:szCs w:val="20"/>
                <w:lang w:eastAsia="en-US"/>
              </w:rPr>
            </w:pPr>
            <w:r w:rsidRPr="00DF2323">
              <w:rPr>
                <w:rFonts w:eastAsia="Times New Roman"/>
                <w:sz w:val="20"/>
                <w:szCs w:val="20"/>
                <w:lang w:eastAsia="en-US"/>
              </w:rPr>
              <w:t>Do not take working clothes home. Remove PPE immediately after handling this product. Wash the outside of gloves before removing</w:t>
            </w:r>
          </w:p>
        </w:tc>
        <w:tc>
          <w:tcPr>
            <w:tcW w:w="2835" w:type="dxa"/>
            <w:shd w:val="clear" w:color="auto" w:fill="auto"/>
          </w:tcPr>
          <w:p w14:paraId="7EAF9BD5" w14:textId="77777777" w:rsidR="009C38E1" w:rsidRPr="00DF2323" w:rsidRDefault="009C38E1" w:rsidP="004A787E">
            <w:pPr>
              <w:keepNext/>
              <w:keepLines/>
              <w:rPr>
                <w:rFonts w:eastAsia="Times New Roman"/>
                <w:sz w:val="20"/>
                <w:szCs w:val="20"/>
                <w:lang w:eastAsia="en-US"/>
              </w:rPr>
            </w:pPr>
            <w:r w:rsidRPr="00DF2323">
              <w:rPr>
                <w:rFonts w:eastAsia="Times New Roman"/>
                <w:sz w:val="20"/>
                <w:szCs w:val="20"/>
                <w:lang w:eastAsia="en-US"/>
              </w:rPr>
              <w:t>Remove contaminated clothing; wash skin with soap and water; wash clothes before re-use</w:t>
            </w:r>
          </w:p>
        </w:tc>
      </w:tr>
      <w:tr w:rsidR="009C38E1" w:rsidRPr="00DF2323" w14:paraId="44FE1C56" w14:textId="77777777" w:rsidTr="00BE0479">
        <w:trPr>
          <w:trHeight w:val="611"/>
          <w:jc w:val="right"/>
        </w:trPr>
        <w:tc>
          <w:tcPr>
            <w:tcW w:w="2943" w:type="dxa"/>
            <w:shd w:val="clear" w:color="auto" w:fill="auto"/>
          </w:tcPr>
          <w:p w14:paraId="673EBC88" w14:textId="77777777" w:rsidR="009C38E1" w:rsidRPr="00DF2323" w:rsidRDefault="009C38E1" w:rsidP="00BE0479">
            <w:pPr>
              <w:rPr>
                <w:rFonts w:eastAsia="Times New Roman"/>
                <w:sz w:val="20"/>
                <w:szCs w:val="20"/>
                <w:lang w:eastAsia="en-US"/>
              </w:rPr>
            </w:pPr>
            <w:r w:rsidRPr="00DF2323">
              <w:rPr>
                <w:rFonts w:eastAsia="Times New Roman"/>
                <w:b/>
                <w:bCs/>
                <w:sz w:val="20"/>
                <w:szCs w:val="20"/>
                <w:lang w:eastAsia="en-US"/>
              </w:rPr>
              <w:t>Eyes</w:t>
            </w:r>
            <w:r w:rsidRPr="00DF2323">
              <w:rPr>
                <w:rFonts w:eastAsia="Times New Roman"/>
                <w:sz w:val="20"/>
                <w:szCs w:val="20"/>
                <w:lang w:eastAsia="en-US"/>
              </w:rPr>
              <w:t xml:space="preserve">: Severe irritant. </w:t>
            </w:r>
            <w:r w:rsidRPr="00DF2323">
              <w:rPr>
                <w:rFonts w:eastAsia="Times New Roman"/>
                <w:color w:val="000000"/>
                <w:sz w:val="20"/>
                <w:szCs w:val="20"/>
              </w:rPr>
              <w:t xml:space="preserve">Symptoms: Redness. Burning sensation. Pain.  </w:t>
            </w:r>
          </w:p>
        </w:tc>
        <w:tc>
          <w:tcPr>
            <w:tcW w:w="3261" w:type="dxa"/>
            <w:shd w:val="clear" w:color="auto" w:fill="auto"/>
          </w:tcPr>
          <w:p w14:paraId="6CD388AB" w14:textId="77777777" w:rsidR="009C38E1" w:rsidRPr="00DF2323" w:rsidRDefault="009C38E1" w:rsidP="00BE0479">
            <w:pPr>
              <w:rPr>
                <w:rFonts w:eastAsia="Times New Roman"/>
                <w:sz w:val="20"/>
                <w:szCs w:val="20"/>
                <w:lang w:eastAsia="en-US"/>
              </w:rPr>
            </w:pPr>
            <w:r w:rsidRPr="00DF2323">
              <w:rPr>
                <w:rFonts w:eastAsia="Times New Roman"/>
                <w:color w:val="000000"/>
                <w:sz w:val="20"/>
                <w:szCs w:val="20"/>
              </w:rPr>
              <w:t xml:space="preserve">Wear face shield or eye protection in combination with breathing protection if powder.  </w:t>
            </w:r>
          </w:p>
        </w:tc>
        <w:tc>
          <w:tcPr>
            <w:tcW w:w="2835" w:type="dxa"/>
            <w:shd w:val="clear" w:color="auto" w:fill="auto"/>
          </w:tcPr>
          <w:p w14:paraId="0A2EEB1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Flush immediately with clean water for at least 15 minutes; seek medical advice and observe for delayed effects</w:t>
            </w:r>
          </w:p>
        </w:tc>
      </w:tr>
      <w:tr w:rsidR="009C38E1" w:rsidRPr="00DF2323" w14:paraId="1F1C8EC3" w14:textId="77777777" w:rsidTr="00BE0479">
        <w:trPr>
          <w:jc w:val="right"/>
        </w:trPr>
        <w:tc>
          <w:tcPr>
            <w:tcW w:w="2943" w:type="dxa"/>
            <w:shd w:val="clear" w:color="auto" w:fill="auto"/>
          </w:tcPr>
          <w:p w14:paraId="6391EB8D" w14:textId="77777777" w:rsidR="009C38E1" w:rsidRPr="00DF2323" w:rsidRDefault="009C38E1" w:rsidP="00BE0479">
            <w:pPr>
              <w:rPr>
                <w:rFonts w:eastAsia="Times New Roman"/>
                <w:sz w:val="20"/>
                <w:szCs w:val="20"/>
                <w:lang w:eastAsia="en-US"/>
              </w:rPr>
            </w:pPr>
            <w:r w:rsidRPr="00DF2323">
              <w:rPr>
                <w:rFonts w:eastAsia="Times New Roman"/>
                <w:b/>
                <w:bCs/>
                <w:color w:val="000000"/>
                <w:sz w:val="20"/>
                <w:szCs w:val="20"/>
              </w:rPr>
              <w:t>Inhalation</w:t>
            </w:r>
            <w:r w:rsidRPr="00DF2323">
              <w:rPr>
                <w:rFonts w:eastAsia="Times New Roman"/>
                <w:color w:val="000000"/>
                <w:sz w:val="20"/>
                <w:szCs w:val="20"/>
              </w:rPr>
              <w:t xml:space="preserve">: Cough. Sore throat. Headache. Nosebleeds.  </w:t>
            </w:r>
          </w:p>
        </w:tc>
        <w:tc>
          <w:tcPr>
            <w:tcW w:w="3261" w:type="dxa"/>
            <w:shd w:val="clear" w:color="auto" w:fill="auto"/>
          </w:tcPr>
          <w:p w14:paraId="70067808" w14:textId="77777777" w:rsidR="009C38E1" w:rsidRPr="00DF2323" w:rsidRDefault="009C38E1" w:rsidP="00BE0479">
            <w:pPr>
              <w:spacing w:line="229" w:lineRule="exact"/>
              <w:ind w:right="576"/>
              <w:jc w:val="both"/>
              <w:textAlignment w:val="baseline"/>
              <w:rPr>
                <w:rFonts w:eastAsia="Times New Roman"/>
                <w:sz w:val="20"/>
                <w:szCs w:val="20"/>
                <w:lang w:eastAsia="en-US"/>
              </w:rPr>
            </w:pPr>
            <w:r w:rsidRPr="00DF2323">
              <w:rPr>
                <w:rFonts w:eastAsia="Times New Roman"/>
                <w:color w:val="000000"/>
                <w:sz w:val="20"/>
                <w:szCs w:val="20"/>
              </w:rPr>
              <w:t xml:space="preserve">Use local exhaust or breathing protection.  </w:t>
            </w:r>
          </w:p>
        </w:tc>
        <w:tc>
          <w:tcPr>
            <w:tcW w:w="2835" w:type="dxa"/>
            <w:shd w:val="clear" w:color="auto" w:fill="auto"/>
          </w:tcPr>
          <w:p w14:paraId="4B4487DA" w14:textId="561BA11C" w:rsidR="009C38E1" w:rsidRPr="00DF2323" w:rsidRDefault="009C38E1" w:rsidP="00D857A9">
            <w:pPr>
              <w:spacing w:line="229" w:lineRule="exact"/>
              <w:ind w:right="576"/>
              <w:textAlignment w:val="baseline"/>
              <w:rPr>
                <w:rFonts w:eastAsia="Times New Roman"/>
                <w:sz w:val="20"/>
                <w:szCs w:val="20"/>
                <w:lang w:eastAsia="en-US"/>
              </w:rPr>
            </w:pPr>
            <w:r w:rsidRPr="00DF2323">
              <w:rPr>
                <w:rFonts w:eastAsia="Times New Roman"/>
                <w:color w:val="000000"/>
                <w:sz w:val="20"/>
                <w:szCs w:val="20"/>
              </w:rPr>
              <w:t xml:space="preserve">Fresh air, rest. Refer immediately for medical attention. </w:t>
            </w:r>
          </w:p>
        </w:tc>
      </w:tr>
      <w:tr w:rsidR="009C38E1" w:rsidRPr="00DF2323" w14:paraId="12C5196A" w14:textId="77777777" w:rsidTr="00BE0479">
        <w:trPr>
          <w:trHeight w:val="1346"/>
          <w:jc w:val="right"/>
        </w:trPr>
        <w:tc>
          <w:tcPr>
            <w:tcW w:w="2943" w:type="dxa"/>
            <w:shd w:val="clear" w:color="auto" w:fill="auto"/>
          </w:tcPr>
          <w:p w14:paraId="259D9D24" w14:textId="77777777" w:rsidR="009C38E1" w:rsidRPr="00DF2323" w:rsidRDefault="009C38E1" w:rsidP="00BE0479">
            <w:pPr>
              <w:rPr>
                <w:rFonts w:eastAsia="Times New Roman"/>
                <w:sz w:val="20"/>
                <w:szCs w:val="20"/>
                <w:lang w:eastAsia="en-US"/>
              </w:rPr>
            </w:pPr>
            <w:r w:rsidRPr="00DF2323">
              <w:rPr>
                <w:rFonts w:eastAsia="Times New Roman"/>
                <w:b/>
                <w:bCs/>
                <w:sz w:val="20"/>
                <w:szCs w:val="20"/>
                <w:lang w:eastAsia="en-US"/>
              </w:rPr>
              <w:t>Ingestion</w:t>
            </w:r>
            <w:r w:rsidRPr="00DF2323">
              <w:rPr>
                <w:rFonts w:eastAsia="Times New Roman"/>
                <w:sz w:val="20"/>
                <w:szCs w:val="20"/>
                <w:lang w:eastAsia="en-US"/>
              </w:rPr>
              <w:t xml:space="preserve">: </w:t>
            </w:r>
          </w:p>
          <w:p w14:paraId="2D9CC055" w14:textId="7621CDE2" w:rsidR="009C38E1" w:rsidRPr="00DF2323" w:rsidRDefault="009C38E1" w:rsidP="00D857A9">
            <w:pPr>
              <w:spacing w:after="120"/>
              <w:rPr>
                <w:rFonts w:eastAsia="Times New Roman"/>
                <w:sz w:val="20"/>
                <w:szCs w:val="20"/>
                <w:lang w:eastAsia="en-US"/>
              </w:rPr>
            </w:pPr>
            <w:r w:rsidRPr="00DF2323">
              <w:rPr>
                <w:rFonts w:eastAsia="Times New Roman"/>
                <w:sz w:val="20"/>
                <w:szCs w:val="20"/>
                <w:lang w:eastAsia="en-US"/>
              </w:rPr>
              <w:t>Accidental or deliberate ingestion may cause vomiting, abdominal discomfort, and soreness of mouth and throat; signs of liver and kidney damage may appear in 1-3 days; the symptoms of lung fibrosis (shortness of breath, laboured breathing) do not become manifest until several days; paraquat can kill</w:t>
            </w:r>
          </w:p>
        </w:tc>
        <w:tc>
          <w:tcPr>
            <w:tcW w:w="3261" w:type="dxa"/>
            <w:shd w:val="clear" w:color="auto" w:fill="auto"/>
          </w:tcPr>
          <w:p w14:paraId="718B37C5" w14:textId="77777777" w:rsidR="009C38E1" w:rsidRPr="00DF2323" w:rsidRDefault="009C38E1" w:rsidP="00D857A9">
            <w:pPr>
              <w:spacing w:after="120"/>
              <w:rPr>
                <w:rFonts w:eastAsia="Times New Roman"/>
                <w:sz w:val="20"/>
                <w:szCs w:val="20"/>
                <w:lang w:eastAsia="en-US"/>
              </w:rPr>
            </w:pPr>
            <w:r w:rsidRPr="00DF2323">
              <w:rPr>
                <w:rFonts w:eastAsia="Times New Roman"/>
                <w:sz w:val="20"/>
                <w:szCs w:val="20"/>
                <w:lang w:eastAsia="en-US"/>
              </w:rPr>
              <w:t>Do not eat, drink, or smoke during working hours; wash hands</w:t>
            </w:r>
          </w:p>
          <w:p w14:paraId="3EF0A693" w14:textId="77777777" w:rsidR="009C38E1" w:rsidRPr="00DF2323" w:rsidRDefault="009C38E1" w:rsidP="00D857A9">
            <w:pPr>
              <w:spacing w:after="120"/>
              <w:rPr>
                <w:rFonts w:eastAsia="Times New Roman"/>
                <w:sz w:val="20"/>
                <w:szCs w:val="20"/>
                <w:lang w:eastAsia="en-US"/>
              </w:rPr>
            </w:pPr>
            <w:r w:rsidRPr="00DF2323">
              <w:rPr>
                <w:rFonts w:eastAsia="Times New Roman"/>
                <w:sz w:val="20"/>
                <w:szCs w:val="20"/>
                <w:lang w:eastAsia="en-US"/>
              </w:rPr>
              <w:t>Paraquat products must never be transferred to a food, drink, or any other container</w:t>
            </w:r>
          </w:p>
        </w:tc>
        <w:tc>
          <w:tcPr>
            <w:tcW w:w="2835" w:type="dxa"/>
            <w:shd w:val="clear" w:color="auto" w:fill="auto"/>
          </w:tcPr>
          <w:p w14:paraId="31332953"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Obtain medical attention immediately, transport to hospital urgently. If the patient is not vomiting, g</w:t>
            </w:r>
            <w:r w:rsidRPr="00DF2323">
              <w:rPr>
                <w:rFonts w:eastAsia="Times New Roman"/>
                <w:color w:val="000000"/>
                <w:sz w:val="20"/>
                <w:szCs w:val="20"/>
              </w:rPr>
              <w:t>ive a slurry of activated charcoal or Fuller's Earth in water to drink.</w:t>
            </w:r>
          </w:p>
        </w:tc>
      </w:tr>
    </w:tbl>
    <w:p w14:paraId="1CA2D7CC" w14:textId="77777777" w:rsidR="009C38E1" w:rsidRPr="00DF2323" w:rsidRDefault="009C38E1" w:rsidP="00D857A9">
      <w:pPr>
        <w:keepNext/>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t>Advice to physicians</w:t>
      </w:r>
    </w:p>
    <w:p w14:paraId="2E3D5C2A"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The most important measures are the immediate neutralization of ingested paraquat by 15% Fuller's earth, bentonite, or activated charcoal, and urgent removal of the poison by vomiting or, when possible, gastric lavage. The urgency of these measures is such that, where transfer to hospital may involve a delay of an hour or more, the emergency treatment may need to be given by a paramedical person, e.g., a nurse or a medical assistant, without any delay. Furthermore, Fuller's earth should be given together with a strong purgative, such as magnesium sulfate or mannitol.</w:t>
      </w:r>
    </w:p>
    <w:p w14:paraId="0803B91A"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 xml:space="preserve">Admission to a hospital (preferably a specialized intensive care unit), either directly, or after emergency treatment elsewhere, is essential. Where a person has swallowed a lethal dose, the most important single determinant of survival is the early commencement of treatment. Depending on local facilities, patients who reach hospital after the initial treatment will have further treatment aimed at neutralizing paraquat in the gastrointestinal tract (Fuller's earth, bentonite, activated charcoal) or its excretion in the faeces (purgatives, 10% mannitol, gut lavage). In addition, attempts to remove absorbed paraquat from the circulation (haemoperfusion, haemodialysis) or aid its excretion by the kidney (forced diuresis) can be instituted. Care must be exercised in the administration of most of these treatments, as the following serious complications may occur: perforation of the oesophagus during gastric intubation; serious blood chemistry disturbance, when severe diarrhoea is induced; fluid overload during forced diuresis. </w:t>
      </w:r>
    </w:p>
    <w:p w14:paraId="78FAF761"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In centres where facilities for analytical procedures are available, measurement of urinary, or, ideally, plasma levels of paraquat may give guidelines for the required intensity of treatment or likely prognosis. Determination of paraquat levels in stomach washings, serum, and urine is useful for the management of poisoning. The urinary levels decline rapidly during the 24 h following exposure and may remain low for some weeks.</w:t>
      </w:r>
    </w:p>
    <w:p w14:paraId="17199914"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Many other therapies including corticosteroids, immunosuppressive treatment, vitamins, beta-blocking and alkylating agents, alpha-tocopherol, superoxide dismutase and/or glutathione peroxides proved to be of no significant importance in human paraquat poisoning. The administration of oxygen should be avoided, unless vital for the patient's comfort.</w:t>
      </w:r>
    </w:p>
    <w:p w14:paraId="74C170E8"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 xml:space="preserve">It should be noted that, as with the great majority of chemicals, there is no specific antidote. Despite such an array of both simple and sophisticated measures, the response to therapy in paraquat poisoning is disappointing and the mortality rate remains high. </w:t>
      </w:r>
    </w:p>
    <w:p w14:paraId="1E36A9F7" w14:textId="77777777" w:rsidR="009C38E1" w:rsidRPr="00DF2323" w:rsidRDefault="009C38E1" w:rsidP="00D857A9">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In cases of skin and eye contamination irrigation with water (preferably running water) should be commenced urgently and must be continued uninterrupted for at least 15 minutes (timed by the clock). Eye cases should always be taken for medical treatment. In cases of skin contamination by the concentrate, or extensive and/or prolonged contamination by the diluted material (particularly where signs of skin irritation are present), the patient must be assessed at hospital for systemic poisoning.</w:t>
      </w:r>
    </w:p>
    <w:p w14:paraId="0B70673A" w14:textId="77777777" w:rsidR="009C38E1" w:rsidRPr="00DF2323" w:rsidRDefault="009C38E1" w:rsidP="00D857A9">
      <w:pPr>
        <w:keepNext/>
        <w:keepLines/>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lastRenderedPageBreak/>
        <w:t>Personal protection and hygienic measures</w:t>
      </w:r>
    </w:p>
    <w:p w14:paraId="7234CFEB" w14:textId="77777777" w:rsidR="009C38E1" w:rsidRPr="00DF2323" w:rsidRDefault="009C38E1" w:rsidP="00D857A9">
      <w:pPr>
        <w:keepNext/>
        <w:keepLines/>
        <w:autoSpaceDE w:val="0"/>
        <w:autoSpaceDN w:val="0"/>
        <w:adjustRightInd w:val="0"/>
        <w:rPr>
          <w:rFonts w:eastAsia="Times New Roman"/>
          <w:sz w:val="20"/>
          <w:szCs w:val="20"/>
          <w:lang w:eastAsia="en-US"/>
        </w:rPr>
      </w:pPr>
      <w:r w:rsidRPr="00DF2323">
        <w:rPr>
          <w:rFonts w:eastAsia="Times New Roman"/>
          <w:sz w:val="20"/>
          <w:szCs w:val="20"/>
          <w:lang w:eastAsia="en-US"/>
        </w:rPr>
        <w:t>Avoid all contact with skin, eyes, nose, and mouth, when handling concentrated paraquat. Wear PVC-, neoprene- or butyl-rubber gloves (preferably gauntlet form), neoprene apron, rubber boots, and face shield.</w:t>
      </w:r>
    </w:p>
    <w:p w14:paraId="6F195EE2"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Wear a face-shield when handling and applying the diluted formulation.</w:t>
      </w:r>
    </w:p>
    <w:p w14:paraId="3B59EF53"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Immediately remove heavily contaminated clothing and wash underlying skin.</w:t>
      </w:r>
    </w:p>
    <w:p w14:paraId="043F1A4C"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Wash clothes before re-use.</w:t>
      </w:r>
    </w:p>
    <w:p w14:paraId="03E0929B"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Do not eat, drink, or smoke, when using paraquat.</w:t>
      </w:r>
    </w:p>
    <w:p w14:paraId="5964F23D"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Wash splashes from skin or eyes immediately.</w:t>
      </w:r>
    </w:p>
    <w:p w14:paraId="10ADF544"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Do not inhale spray.</w:t>
      </w:r>
    </w:p>
    <w:p w14:paraId="7CA6E2C7"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Wash hands and exposed skin, before meals and after work.</w:t>
      </w:r>
    </w:p>
    <w:p w14:paraId="2956EB86"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Keep away from food, drink, and animal feed.</w:t>
      </w:r>
    </w:p>
    <w:p w14:paraId="069637A5"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Paraquat should not be sprayed with inadequate dilution, e.g., by hand-held, ultra-low-volume application.</w:t>
      </w:r>
    </w:p>
    <w:p w14:paraId="4BE15EC0"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 It should not be used by people suffering from dermatitis or by people with wounds, notably on the hands, until these have healed.</w:t>
      </w:r>
    </w:p>
    <w:p w14:paraId="41402BFE" w14:textId="77777777" w:rsidR="009C38E1" w:rsidRPr="00DF2323" w:rsidRDefault="009C38E1" w:rsidP="00D857A9">
      <w:pPr>
        <w:keepNext/>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t>Explosion and Fire Hazards</w:t>
      </w:r>
    </w:p>
    <w:p w14:paraId="55E47388" w14:textId="77777777" w:rsidR="009C38E1" w:rsidRPr="00DF2323" w:rsidRDefault="009C38E1" w:rsidP="009C38E1">
      <w:pPr>
        <w:autoSpaceDE w:val="0"/>
        <w:autoSpaceDN w:val="0"/>
        <w:adjustRightInd w:val="0"/>
        <w:rPr>
          <w:rFonts w:eastAsia="Times New Roman"/>
          <w:sz w:val="20"/>
          <w:szCs w:val="20"/>
          <w:lang w:eastAsia="en-US"/>
        </w:rPr>
      </w:pPr>
      <w:r w:rsidRPr="00DF2323">
        <w:rPr>
          <w:rFonts w:eastAsia="Times New Roman"/>
          <w:sz w:val="20"/>
          <w:szCs w:val="20"/>
          <w:lang w:eastAsia="en-US"/>
        </w:rPr>
        <w:t>Paraquat products are generally not flammable. If involved in a fire, control with dry powder or alcohol-resistant foam. Advise the fire service that protective clothing and self-contained breathing apparatus should be worn, to avoid skin contamination and the breathing of toxic fumes. Confine the use of water spray to the cooling of unaffected stock, thus avoiding the accumulation of polluted run-off from the site.</w:t>
      </w:r>
    </w:p>
    <w:p w14:paraId="4DEA7D22" w14:textId="77777777" w:rsidR="009C38E1" w:rsidRPr="00DF2323" w:rsidRDefault="009C38E1" w:rsidP="00D857A9">
      <w:pPr>
        <w:keepNext/>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t>Accident procedures</w:t>
      </w:r>
    </w:p>
    <w:p w14:paraId="37CF56C5" w14:textId="77777777" w:rsidR="009C38E1" w:rsidRPr="00DF2323" w:rsidRDefault="009C38E1" w:rsidP="008115ED">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Avoid exposure by the use of appropriate protective clothing, gloves, and goggles or masks. Keep spectators away from leaking or spilled product and prevent smoking, and the use of naked flames, in the immediate vicinity. Extinguish fires with dry powder, carbon dioxide, alcohol-resistant foam, sand, or earth.</w:t>
      </w:r>
    </w:p>
    <w:p w14:paraId="524AEBCC" w14:textId="77777777" w:rsidR="009C38E1" w:rsidRPr="00DF2323" w:rsidRDefault="009C38E1" w:rsidP="008115ED">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Prevent liquid from spreading to other cargo, vegetation, or waterways by containing it with the most readily available barrier material, e.g., earth or sand. Absorb spilled liquid and cover contaminated areas with earth, lime, sand, or other absorbent material; sweep up and place in a secure container for subsequent safe disposal.</w:t>
      </w:r>
    </w:p>
    <w:p w14:paraId="2DDCD5EF" w14:textId="77777777" w:rsidR="009C38E1" w:rsidRPr="00DF2323" w:rsidRDefault="009C38E1" w:rsidP="00D857A9">
      <w:pPr>
        <w:keepNext/>
        <w:autoSpaceDE w:val="0"/>
        <w:autoSpaceDN w:val="0"/>
        <w:adjustRightInd w:val="0"/>
        <w:spacing w:before="240" w:after="120"/>
        <w:rPr>
          <w:rFonts w:eastAsia="Times New Roman"/>
          <w:sz w:val="20"/>
          <w:szCs w:val="20"/>
          <w:u w:val="single"/>
          <w:lang w:eastAsia="en-US"/>
        </w:rPr>
      </w:pPr>
      <w:r w:rsidRPr="00DF2323">
        <w:rPr>
          <w:rFonts w:eastAsia="Times New Roman"/>
          <w:sz w:val="20"/>
          <w:szCs w:val="20"/>
          <w:u w:val="single"/>
          <w:lang w:eastAsia="en-US"/>
        </w:rPr>
        <w:t>Spillage and Disposal</w:t>
      </w:r>
    </w:p>
    <w:p w14:paraId="0C07F1E4" w14:textId="77777777" w:rsidR="009C38E1" w:rsidRPr="00DF2323" w:rsidRDefault="009C38E1" w:rsidP="00781B64">
      <w:pPr>
        <w:autoSpaceDE w:val="0"/>
        <w:autoSpaceDN w:val="0"/>
        <w:adjustRightInd w:val="0"/>
        <w:spacing w:after="120"/>
        <w:rPr>
          <w:rFonts w:eastAsia="Times New Roman"/>
          <w:sz w:val="20"/>
          <w:szCs w:val="20"/>
          <w:lang w:eastAsia="en-US"/>
        </w:rPr>
      </w:pPr>
      <w:r w:rsidRPr="00DF2323">
        <w:rPr>
          <w:rFonts w:eastAsia="Times New Roman"/>
          <w:color w:val="000000"/>
          <w:sz w:val="20"/>
          <w:szCs w:val="20"/>
        </w:rPr>
        <w:t xml:space="preserve">Consult an expert! </w:t>
      </w:r>
      <w:r w:rsidRPr="00DF2323">
        <w:rPr>
          <w:rFonts w:eastAsia="Times New Roman"/>
          <w:sz w:val="20"/>
          <w:szCs w:val="20"/>
          <w:lang w:eastAsia="en-US"/>
        </w:rPr>
        <w:t>Avoid exposure by the use of appropriate protective clothing and face-shield. Empty any product remaining in damaged or leaking containers into a clean empty drum and label. Absorb spillage with lime, damp sawdust, sand, or earth and dispose of safely. If spillage is large, contain it by building a barrier of earth or sandbags. Decontaminate empty, damaged, or leaking containers with a 10% sodium carbonate solution, added at the rate of at least 1 litre per 20-litredrum. Puncture or crush containers to prevent re-use. S</w:t>
      </w:r>
      <w:r w:rsidRPr="00DF2323">
        <w:rPr>
          <w:rFonts w:eastAsia="Times New Roman"/>
          <w:color w:val="000000"/>
          <w:sz w:val="20"/>
          <w:szCs w:val="20"/>
        </w:rPr>
        <w:t>tore and dispose of according to local regulations.</w:t>
      </w:r>
    </w:p>
    <w:p w14:paraId="0FF9ECF7" w14:textId="77777777" w:rsidR="009C38E1" w:rsidRPr="00DF2323" w:rsidRDefault="009C38E1" w:rsidP="009C38E1">
      <w:pPr>
        <w:rPr>
          <w:snapToGrid w:val="0"/>
          <w:sz w:val="20"/>
          <w:szCs w:val="20"/>
        </w:rPr>
      </w:pPr>
      <w:r w:rsidRPr="00DF2323">
        <w:rPr>
          <w:rFonts w:eastAsia="Times New Roman"/>
          <w:b/>
          <w:bCs/>
          <w:sz w:val="20"/>
          <w:szCs w:val="20"/>
          <w:lang w:eastAsia="en-US"/>
        </w:rPr>
        <w:t>Sources</w:t>
      </w:r>
      <w:r w:rsidRPr="00DF2323">
        <w:rPr>
          <w:rFonts w:eastAsia="Times New Roman"/>
          <w:sz w:val="20"/>
          <w:szCs w:val="20"/>
          <w:lang w:eastAsia="en-US"/>
        </w:rPr>
        <w:t xml:space="preserve">: </w:t>
      </w:r>
    </w:p>
    <w:p w14:paraId="0204802C" w14:textId="77777777" w:rsidR="009C38E1" w:rsidRPr="00DF2323" w:rsidRDefault="009C38E1" w:rsidP="009C38E1">
      <w:pPr>
        <w:pStyle w:val="NormalNonumber"/>
        <w:ind w:left="0"/>
        <w:rPr>
          <w:lang w:val="en-GB"/>
        </w:rPr>
      </w:pPr>
      <w:r w:rsidRPr="00DF2323">
        <w:rPr>
          <w:lang w:val="en-GB"/>
        </w:rPr>
        <w:t xml:space="preserve">IPCS (1991) International Programme on Chemical Safety, Poisons Information Monograph 399, Paraquat. Available at </w:t>
      </w:r>
      <w:hyperlink r:id="rId32" w:history="1">
        <w:r w:rsidRPr="00DF2323">
          <w:rPr>
            <w:rStyle w:val="Hyperlink"/>
            <w:lang w:val="en-GB"/>
          </w:rPr>
          <w:t>http://www.inchem.org/documents/pims/chemical/pim399.htm</w:t>
        </w:r>
      </w:hyperlink>
    </w:p>
    <w:p w14:paraId="01B5D38E" w14:textId="77777777" w:rsidR="009C38E1" w:rsidRPr="00DF2323" w:rsidRDefault="009C38E1" w:rsidP="009C38E1">
      <w:pPr>
        <w:spacing w:after="120"/>
        <w:rPr>
          <w:rFonts w:eastAsia="Times New Roman"/>
          <w:sz w:val="20"/>
          <w:szCs w:val="20"/>
          <w:lang w:eastAsia="en-US"/>
        </w:rPr>
      </w:pPr>
      <w:r w:rsidRPr="00DF2323">
        <w:rPr>
          <w:snapToGrid w:val="0"/>
          <w:sz w:val="20"/>
          <w:szCs w:val="20"/>
        </w:rPr>
        <w:t xml:space="preserve">IPCS/WHO chemical safety card and Paraquat health and safety guide. </w:t>
      </w:r>
      <w:r w:rsidRPr="00DF2323">
        <w:rPr>
          <w:rFonts w:eastAsia="Times New Roman"/>
          <w:sz w:val="20"/>
          <w:szCs w:val="20"/>
          <w:lang w:eastAsia="en-US"/>
        </w:rPr>
        <w:t xml:space="preserve">Available at: </w:t>
      </w:r>
      <w:hyperlink r:id="rId33" w:history="1">
        <w:r w:rsidRPr="00DF2323">
          <w:rPr>
            <w:rStyle w:val="Hyperlink"/>
            <w:snapToGrid w:val="0"/>
            <w:lang w:val="en-GB"/>
          </w:rPr>
          <w:t>https://inchem.org/documents/icsc/icsc/eics0005.htm</w:t>
        </w:r>
      </w:hyperlink>
      <w:r w:rsidRPr="00DF2323">
        <w:rPr>
          <w:snapToGrid w:val="0"/>
          <w:sz w:val="20"/>
          <w:szCs w:val="20"/>
        </w:rPr>
        <w:t xml:space="preserve"> </w:t>
      </w:r>
      <w:r w:rsidRPr="00DF2323">
        <w:rPr>
          <w:rFonts w:eastAsia="Times New Roman"/>
          <w:sz w:val="20"/>
          <w:szCs w:val="20"/>
          <w:lang w:eastAsia="en-US"/>
        </w:rPr>
        <w:t xml:space="preserve">(accessed 14/10/2022) </w:t>
      </w:r>
    </w:p>
    <w:p w14:paraId="3781B193" w14:textId="77777777" w:rsidR="009C38E1" w:rsidRPr="00DF2323" w:rsidRDefault="009C38E1" w:rsidP="009C38E1">
      <w:pPr>
        <w:spacing w:after="120"/>
        <w:rPr>
          <w:rFonts w:eastAsia="Times New Roman"/>
          <w:sz w:val="20"/>
          <w:szCs w:val="20"/>
          <w:lang w:eastAsia="en-US"/>
        </w:rPr>
      </w:pPr>
      <w:r w:rsidRPr="00DF2323">
        <w:rPr>
          <w:snapToGrid w:val="0"/>
          <w:sz w:val="20"/>
          <w:szCs w:val="20"/>
        </w:rPr>
        <w:t>IPCS/WHO</w:t>
      </w:r>
      <w:r w:rsidRPr="00DF2323">
        <w:rPr>
          <w:rFonts w:eastAsia="Times New Roman"/>
          <w:sz w:val="20"/>
          <w:szCs w:val="20"/>
          <w:lang w:eastAsia="en-US"/>
        </w:rPr>
        <w:t xml:space="preserve"> (‎1991)‎ Paraquat: health and safety guide. </w:t>
      </w:r>
      <w:hyperlink r:id="rId34" w:history="1">
        <w:r w:rsidRPr="00DF2323">
          <w:rPr>
            <w:rStyle w:val="Hyperlink"/>
            <w:rFonts w:eastAsia="Times New Roman"/>
            <w:lang w:val="en-GB" w:eastAsia="en-US"/>
          </w:rPr>
          <w:t>http://www.inchem.org/documents/hsg/hsg/hsg051.htm</w:t>
        </w:r>
      </w:hyperlink>
      <w:r w:rsidRPr="00DF2323">
        <w:rPr>
          <w:rFonts w:eastAsia="Times New Roman"/>
          <w:sz w:val="20"/>
          <w:szCs w:val="20"/>
          <w:lang w:eastAsia="en-US"/>
        </w:rPr>
        <w:t xml:space="preserve">  </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9C38E1" w:rsidRPr="00DF2323" w14:paraId="67C2CBB9" w14:textId="77777777" w:rsidTr="00781B64">
        <w:trPr>
          <w:jc w:val="right"/>
        </w:trPr>
        <w:tc>
          <w:tcPr>
            <w:tcW w:w="9487" w:type="dxa"/>
            <w:tcBorders>
              <w:top w:val="single" w:sz="4" w:space="0" w:color="auto"/>
              <w:left w:val="single" w:sz="4" w:space="0" w:color="auto"/>
              <w:bottom w:val="single" w:sz="4" w:space="0" w:color="auto"/>
              <w:right w:val="single" w:sz="4" w:space="0" w:color="auto"/>
            </w:tcBorders>
          </w:tcPr>
          <w:p w14:paraId="07948519" w14:textId="77777777" w:rsidR="009C38E1" w:rsidRPr="00DF2323" w:rsidRDefault="009C38E1" w:rsidP="00D046D0">
            <w:pPr>
              <w:keepNext/>
              <w:keepLines/>
              <w:outlineLvl w:val="1"/>
              <w:rPr>
                <w:rFonts w:eastAsia="Times New Roman"/>
                <w:b/>
                <w:bCs/>
                <w:szCs w:val="28"/>
                <w:lang w:eastAsia="en-US"/>
              </w:rPr>
            </w:pPr>
            <w:r w:rsidRPr="00DF2323">
              <w:rPr>
                <w:rFonts w:eastAsia="Times New Roman"/>
                <w:b/>
                <w:bCs/>
                <w:szCs w:val="28"/>
                <w:lang w:eastAsia="en-US"/>
              </w:rPr>
              <w:lastRenderedPageBreak/>
              <w:t xml:space="preserve">4.5  Waste management </w:t>
            </w:r>
          </w:p>
        </w:tc>
      </w:tr>
      <w:tr w:rsidR="009C38E1" w:rsidRPr="00DF2323" w14:paraId="6663064B" w14:textId="77777777" w:rsidTr="00781B64">
        <w:tblPrEx>
          <w:tblBorders>
            <w:top w:val="none" w:sz="0" w:space="0" w:color="auto"/>
            <w:left w:val="none" w:sz="0" w:space="0" w:color="auto"/>
            <w:bottom w:val="none" w:sz="0" w:space="0" w:color="auto"/>
            <w:right w:val="none" w:sz="0" w:space="0" w:color="auto"/>
          </w:tblBorders>
          <w:tblCellMar>
            <w:left w:w="107" w:type="dxa"/>
            <w:right w:w="107" w:type="dxa"/>
          </w:tblCellMar>
        </w:tblPrEx>
        <w:trPr>
          <w:jc w:val="right"/>
        </w:trPr>
        <w:tc>
          <w:tcPr>
            <w:tcW w:w="9487" w:type="dxa"/>
            <w:tcBorders>
              <w:bottom w:val="nil"/>
            </w:tcBorders>
          </w:tcPr>
          <w:p w14:paraId="3ECCC13C" w14:textId="77777777" w:rsidR="009C38E1" w:rsidRPr="00DF2323" w:rsidRDefault="009C38E1" w:rsidP="00D046D0">
            <w:pPr>
              <w:keepNext/>
              <w:keepLines/>
              <w:spacing w:before="120" w:after="120"/>
              <w:rPr>
                <w:rFonts w:eastAsia="Times New Roman"/>
                <w:sz w:val="20"/>
                <w:szCs w:val="20"/>
                <w:lang w:eastAsia="en-US"/>
              </w:rPr>
            </w:pPr>
            <w:r w:rsidRPr="00DF2323">
              <w:rPr>
                <w:rFonts w:eastAsia="Times New Roman"/>
                <w:sz w:val="20"/>
                <w:szCs w:val="20"/>
                <w:lang w:eastAsia="en-US"/>
              </w:rPr>
              <w:t>Regulatory actions to ban a chemical should not result in creation of a stockpile requiring waste disposal. For guidance on how to avoid creating stockpiles of obsolete pesticides, the following guidelines are available: FAO Guidelines on Prevention of Accumulation of Obsolete Pesticide Stocks (FAO, 1995), The Pesticide Storage and Stock Control Manual (FAO, 1996a) and Guidelines for the management of small quantities of unwanted and obsolete pesticides (FAO, 1999).</w:t>
            </w:r>
          </w:p>
          <w:p w14:paraId="26E032AB"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In all cases waste should be disposed of in accordance with the provisions of the Basel Convention on the Control of Transboundary Movements of Hazardous Wastes and Their Disposal (1996), any guidelines thereunder, and any other relevant regional agreements.</w:t>
            </w:r>
          </w:p>
          <w:p w14:paraId="01DD220D"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It should be noted that the disposal/destruction methods recommended in the literature are often not available in, or suitable for, all countries, e.g., high temperature incinerators may not be available. Consideration should be given to the use of alternative destruction technologies. Further information on possible approaches may be found in Technical Guidelines for the Disposal of Bulk Quantities of Obsolete Pesticides in Developing Countries (FAO, 1996b).</w:t>
            </w:r>
          </w:p>
          <w:p w14:paraId="31CD5852"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 xml:space="preserve">The most recent FAO tools and resources on pesticide related waste management are available from the Pesticide Related Waste Management section of the International Code of Conduct on Pesticide Management website </w:t>
            </w:r>
            <w:hyperlink r:id="rId35" w:history="1">
              <w:r w:rsidRPr="00DF2323">
                <w:rPr>
                  <w:rStyle w:val="Hyperlink"/>
                  <w:rFonts w:eastAsia="Times New Roman"/>
                  <w:lang w:val="en-GB" w:eastAsia="en-US"/>
                </w:rPr>
                <w:t>https://www.fao.org/pest-and-pesticide-management/pesticide-risk-reduction/code-conduct/waste-management/en/</w:t>
              </w:r>
            </w:hyperlink>
            <w:r w:rsidRPr="00DF2323">
              <w:rPr>
                <w:rFonts w:eastAsia="Times New Roman"/>
                <w:sz w:val="20"/>
                <w:szCs w:val="20"/>
                <w:lang w:eastAsia="en-US"/>
              </w:rPr>
              <w:t xml:space="preserve">  </w:t>
            </w:r>
          </w:p>
          <w:p w14:paraId="09772F00"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 xml:space="preserve">and via the FAO’s Pesticide disposal series webpage at </w:t>
            </w:r>
            <w:hyperlink r:id="rId36" w:history="1">
              <w:r w:rsidRPr="00DF2323">
                <w:rPr>
                  <w:rStyle w:val="Hyperlink"/>
                  <w:rFonts w:eastAsia="Times New Roman"/>
                  <w:lang w:val="en-GB" w:eastAsia="en-US"/>
                </w:rPr>
                <w:t>https://www.fao.org/publications/search/en/?serialtitle=RkFPIFBlc3RpY2lkZSBEaXNwb3NhbCBTZXJpZXM</w:t>
              </w:r>
            </w:hyperlink>
            <w:r w:rsidRPr="00DF2323">
              <w:rPr>
                <w:rFonts w:eastAsia="Times New Roman"/>
                <w:sz w:val="20"/>
                <w:szCs w:val="20"/>
                <w:lang w:eastAsia="en-US"/>
              </w:rPr>
              <w:t xml:space="preserve"> </w:t>
            </w:r>
          </w:p>
          <w:p w14:paraId="2C509FA9" w14:textId="77777777" w:rsidR="009C38E1" w:rsidRPr="00DF2323" w:rsidRDefault="009C38E1" w:rsidP="00D046D0">
            <w:pPr>
              <w:keepNext/>
              <w:keepLines/>
              <w:autoSpaceDE w:val="0"/>
              <w:autoSpaceDN w:val="0"/>
              <w:adjustRightInd w:val="0"/>
              <w:spacing w:before="240" w:after="120"/>
              <w:rPr>
                <w:rFonts w:eastAsia="Times New Roman"/>
                <w:b/>
                <w:color w:val="000000"/>
                <w:sz w:val="20"/>
                <w:szCs w:val="20"/>
                <w:u w:val="single"/>
              </w:rPr>
            </w:pPr>
            <w:r w:rsidRPr="00DF2323">
              <w:rPr>
                <w:rFonts w:eastAsia="Times New Roman"/>
                <w:b/>
                <w:color w:val="000000"/>
                <w:sz w:val="20"/>
                <w:szCs w:val="20"/>
                <w:u w:val="single"/>
              </w:rPr>
              <w:t xml:space="preserve">Disposal Methods for paraquat </w:t>
            </w:r>
          </w:p>
          <w:p w14:paraId="0F333A72" w14:textId="77777777" w:rsidR="009C38E1" w:rsidRPr="00DF2323" w:rsidRDefault="009C38E1" w:rsidP="00D046D0">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0"/>
                <w:szCs w:val="20"/>
                <w:lang w:eastAsia="en-US"/>
              </w:rPr>
            </w:pPr>
            <w:r w:rsidRPr="00DF2323">
              <w:rPr>
                <w:rFonts w:eastAsia="Times New Roman"/>
                <w:sz w:val="20"/>
                <w:szCs w:val="20"/>
                <w:lang w:eastAsia="en-US"/>
              </w:rPr>
              <w:t>Waste containing paraquat should be burnt in a proper high temperature incinerator with effluent gas scrubbing.</w:t>
            </w:r>
          </w:p>
          <w:p w14:paraId="6792F04F"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Where no incinerator is available, contaminated absorbents or surplus products should be decomposed by hydrolysis at pH 12 or above. A 5% sodium hydroxide (caustic soda) solution or saturated (7-10%) sodium carbonate (washing soda) solution can be used. Before disposal of the resultant waste, the material must be analysed to ensure that the active ingredient has been degraded to a safe level.</w:t>
            </w:r>
          </w:p>
          <w:p w14:paraId="7D9C3F36"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Paraquat is rapidly inactivated by clay soil. If the above-mentioned methods are not possible, it can be buried in an approved landfill. Never pour untreated waste or surplus products into public sewers or where there is any danger of run-off or seepage into streams, watercourses, open waterways, ditches, fields with drainage systems, or the catchment areas of boreholes, wells, springs, or ponds.</w:t>
            </w:r>
          </w:p>
          <w:p w14:paraId="0DF76179" w14:textId="77777777" w:rsidR="009C38E1" w:rsidRPr="00DF2323" w:rsidRDefault="009C38E1" w:rsidP="00D046D0">
            <w:pPr>
              <w:keepNext/>
              <w:keepLines/>
              <w:spacing w:after="120"/>
              <w:rPr>
                <w:rFonts w:eastAsia="Times New Roman"/>
                <w:sz w:val="20"/>
                <w:szCs w:val="20"/>
                <w:lang w:eastAsia="en-US"/>
              </w:rPr>
            </w:pPr>
            <w:r w:rsidRPr="00DF2323">
              <w:rPr>
                <w:rFonts w:eastAsia="Times New Roman"/>
                <w:sz w:val="20"/>
                <w:szCs w:val="20"/>
                <w:lang w:eastAsia="en-US"/>
              </w:rPr>
              <w:t>Source:</w:t>
            </w:r>
            <w:r w:rsidRPr="00DF2323">
              <w:t xml:space="preserve"> </w:t>
            </w:r>
            <w:r w:rsidRPr="00DF2323">
              <w:rPr>
                <w:rFonts w:eastAsia="Times New Roman"/>
                <w:sz w:val="20"/>
                <w:szCs w:val="20"/>
                <w:lang w:eastAsia="en-US"/>
              </w:rPr>
              <w:t xml:space="preserve">World Health Organization &amp; International Programme on Chemical Safety. (‎1991)‎. Paraquat: health and safety guide. World Health Organization. </w:t>
            </w:r>
            <w:hyperlink r:id="rId37" w:history="1">
              <w:r w:rsidRPr="00DF2323">
                <w:rPr>
                  <w:rStyle w:val="Hyperlink"/>
                  <w:rFonts w:eastAsia="Times New Roman"/>
                  <w:lang w:val="en-GB" w:eastAsia="en-US"/>
                </w:rPr>
                <w:t>http://www.inchem.org/documents/hsg/hsg/hsg051.htm</w:t>
              </w:r>
            </w:hyperlink>
            <w:r w:rsidRPr="00DF2323">
              <w:rPr>
                <w:rFonts w:eastAsia="Times New Roman"/>
                <w:sz w:val="20"/>
                <w:szCs w:val="20"/>
                <w:lang w:eastAsia="en-US"/>
              </w:rPr>
              <w:t xml:space="preserve">  </w:t>
            </w:r>
          </w:p>
        </w:tc>
      </w:tr>
    </w:tbl>
    <w:p w14:paraId="7FF552F1"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9C38E1" w:rsidRPr="00DF2323" w14:paraId="0BB58F00" w14:textId="77777777" w:rsidTr="00BE0479">
        <w:trPr>
          <w:cantSplit/>
          <w:jc w:val="right"/>
        </w:trPr>
        <w:tc>
          <w:tcPr>
            <w:tcW w:w="9450" w:type="dxa"/>
            <w:shd w:val="pct12" w:color="000000" w:fill="FFFFFF"/>
          </w:tcPr>
          <w:p w14:paraId="017BF6BE" w14:textId="77777777" w:rsidR="009C38E1" w:rsidRPr="00DF2323" w:rsidRDefault="009C38E1" w:rsidP="00BE0479">
            <w:pPr>
              <w:spacing w:before="80"/>
              <w:rPr>
                <w:rFonts w:eastAsia="Times New Roman"/>
                <w:b/>
                <w:szCs w:val="20"/>
                <w:lang w:eastAsia="en-US"/>
              </w:rPr>
            </w:pPr>
            <w:r w:rsidRPr="00DF2323">
              <w:rPr>
                <w:rFonts w:eastAsia="Times New Roman"/>
                <w:b/>
                <w:szCs w:val="20"/>
                <w:lang w:eastAsia="en-US"/>
              </w:rPr>
              <w:lastRenderedPageBreak/>
              <w:br w:type="page"/>
            </w:r>
            <w:r w:rsidRPr="00DF2323">
              <w:rPr>
                <w:rFonts w:eastAsia="Times New Roman"/>
                <w:szCs w:val="20"/>
                <w:lang w:eastAsia="en-US"/>
              </w:rPr>
              <w:br w:type="page"/>
            </w:r>
            <w:r w:rsidRPr="00DF2323">
              <w:rPr>
                <w:rFonts w:eastAsia="Times New Roman"/>
                <w:szCs w:val="20"/>
                <w:lang w:eastAsia="en-US"/>
              </w:rPr>
              <w:br w:type="page"/>
            </w:r>
            <w:r w:rsidRPr="00DF2323">
              <w:rPr>
                <w:rFonts w:eastAsia="Times New Roman"/>
                <w:szCs w:val="20"/>
                <w:lang w:eastAsia="en-US"/>
              </w:rPr>
              <w:br w:type="page"/>
            </w:r>
            <w:r w:rsidRPr="00DF2323">
              <w:rPr>
                <w:rFonts w:eastAsia="Times New Roman"/>
                <w:b/>
                <w:szCs w:val="20"/>
                <w:lang w:eastAsia="en-US"/>
              </w:rPr>
              <w:t xml:space="preserve">5. References </w:t>
            </w:r>
          </w:p>
        </w:tc>
      </w:tr>
    </w:tbl>
    <w:p w14:paraId="3C9FA851" w14:textId="77777777" w:rsidR="009C38E1" w:rsidRPr="00DF2323" w:rsidRDefault="009C38E1" w:rsidP="00D046D0">
      <w:pPr>
        <w:spacing w:before="240" w:after="120"/>
        <w:rPr>
          <w:b/>
          <w:bCs/>
          <w:sz w:val="20"/>
          <w:szCs w:val="20"/>
          <w:lang w:eastAsia="en-US"/>
        </w:rPr>
      </w:pPr>
      <w:r w:rsidRPr="00DF2323">
        <w:rPr>
          <w:b/>
          <w:bCs/>
          <w:sz w:val="20"/>
          <w:szCs w:val="20"/>
          <w:lang w:eastAsia="en-US"/>
        </w:rPr>
        <w:t>Regulatory actions</w:t>
      </w:r>
    </w:p>
    <w:p w14:paraId="5408F873" w14:textId="77777777" w:rsidR="009C38E1" w:rsidRPr="00DF2323" w:rsidRDefault="009C38E1" w:rsidP="009C38E1">
      <w:pPr>
        <w:widowControl w:val="0"/>
        <w:tabs>
          <w:tab w:val="left" w:pos="90"/>
        </w:tabs>
        <w:spacing w:after="120"/>
        <w:rPr>
          <w:rFonts w:eastAsia="Times New Roman"/>
          <w:b/>
          <w:bCs/>
          <w:i/>
          <w:iCs/>
          <w:snapToGrid w:val="0"/>
          <w:color w:val="000000"/>
          <w:sz w:val="20"/>
          <w:szCs w:val="20"/>
          <w:lang w:eastAsia="en-US"/>
        </w:rPr>
      </w:pPr>
      <w:r w:rsidRPr="00DF2323">
        <w:rPr>
          <w:rFonts w:eastAsia="Times New Roman"/>
          <w:b/>
          <w:bCs/>
          <w:i/>
          <w:iCs/>
          <w:snapToGrid w:val="0"/>
          <w:color w:val="000000"/>
          <w:sz w:val="20"/>
          <w:szCs w:val="20"/>
          <w:lang w:eastAsia="en-US"/>
        </w:rPr>
        <w:t>Malaysia</w:t>
      </w:r>
    </w:p>
    <w:p w14:paraId="7730497D"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Official circular JP/KRP/207/12/656/2 Vol.6 (54) published on 16 May 2014</w:t>
      </w:r>
    </w:p>
    <w:p w14:paraId="128027F7" w14:textId="77777777" w:rsidR="009C38E1" w:rsidRPr="00DF2323" w:rsidRDefault="009C38E1" w:rsidP="009C38E1">
      <w:pPr>
        <w:widowControl w:val="0"/>
        <w:tabs>
          <w:tab w:val="left" w:pos="90"/>
        </w:tabs>
        <w:spacing w:after="120"/>
        <w:rPr>
          <w:rFonts w:eastAsia="Times New Roman"/>
          <w:b/>
          <w:bCs/>
          <w:i/>
          <w:iCs/>
          <w:snapToGrid w:val="0"/>
          <w:color w:val="000000"/>
          <w:sz w:val="20"/>
          <w:szCs w:val="20"/>
          <w:lang w:eastAsia="en-US"/>
        </w:rPr>
      </w:pPr>
      <w:r w:rsidRPr="00DF2323">
        <w:rPr>
          <w:rFonts w:eastAsia="Times New Roman"/>
          <w:b/>
          <w:bCs/>
          <w:i/>
          <w:iCs/>
          <w:snapToGrid w:val="0"/>
          <w:color w:val="000000"/>
          <w:sz w:val="20"/>
          <w:szCs w:val="20"/>
          <w:lang w:eastAsia="en-US"/>
        </w:rPr>
        <w:t>Mozambique</w:t>
      </w:r>
    </w:p>
    <w:p w14:paraId="5989E367"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Deliberação Nr. 001/DNSA/2014 by the National Directorate of Agriculture and Agrarian Services (The pesticide register Authority).</w:t>
      </w:r>
    </w:p>
    <w:p w14:paraId="19E5DADC" w14:textId="77777777" w:rsidR="009C38E1" w:rsidRPr="00DF2323" w:rsidRDefault="009C38E1" w:rsidP="009C38E1">
      <w:pPr>
        <w:widowControl w:val="0"/>
        <w:tabs>
          <w:tab w:val="left" w:pos="90"/>
        </w:tabs>
        <w:spacing w:before="240" w:after="120"/>
        <w:rPr>
          <w:rFonts w:eastAsia="Times New Roman"/>
          <w:b/>
          <w:bCs/>
          <w:snapToGrid w:val="0"/>
          <w:color w:val="000000"/>
          <w:sz w:val="20"/>
          <w:szCs w:val="20"/>
          <w:lang w:eastAsia="en-US"/>
        </w:rPr>
      </w:pPr>
      <w:r w:rsidRPr="00DF2323">
        <w:rPr>
          <w:rFonts w:eastAsia="Times New Roman"/>
          <w:b/>
          <w:bCs/>
          <w:snapToGrid w:val="0"/>
          <w:color w:val="000000"/>
          <w:sz w:val="20"/>
          <w:szCs w:val="20"/>
          <w:lang w:eastAsia="en-US"/>
        </w:rPr>
        <w:t>Supporting Documentation</w:t>
      </w:r>
    </w:p>
    <w:p w14:paraId="2209E7BD" w14:textId="77777777" w:rsidR="009C38E1" w:rsidRPr="00DF2323" w:rsidRDefault="009C38E1" w:rsidP="009C38E1">
      <w:pPr>
        <w:widowControl w:val="0"/>
        <w:tabs>
          <w:tab w:val="left" w:pos="90"/>
        </w:tabs>
        <w:spacing w:after="120"/>
        <w:rPr>
          <w:rFonts w:eastAsia="Times New Roman"/>
          <w:b/>
          <w:bCs/>
          <w:i/>
          <w:iCs/>
          <w:snapToGrid w:val="0"/>
          <w:color w:val="000000"/>
          <w:sz w:val="20"/>
          <w:szCs w:val="20"/>
          <w:lang w:eastAsia="en-US"/>
        </w:rPr>
      </w:pPr>
      <w:r w:rsidRPr="00DF2323">
        <w:rPr>
          <w:rFonts w:eastAsia="Times New Roman"/>
          <w:b/>
          <w:bCs/>
          <w:i/>
          <w:iCs/>
          <w:snapToGrid w:val="0"/>
          <w:color w:val="000000"/>
          <w:sz w:val="20"/>
          <w:szCs w:val="20"/>
          <w:lang w:eastAsia="en-US"/>
        </w:rPr>
        <w:t>Malaysia</w:t>
      </w:r>
    </w:p>
    <w:p w14:paraId="710C11E0" w14:textId="77777777" w:rsidR="009C38E1" w:rsidRPr="00DF2323" w:rsidRDefault="009C38E1" w:rsidP="009C38E1">
      <w:pPr>
        <w:pStyle w:val="NormalNonumber"/>
        <w:ind w:left="0"/>
        <w:rPr>
          <w:lang w:val="en-GB"/>
        </w:rPr>
      </w:pPr>
      <w:r w:rsidRPr="00DF2323">
        <w:rPr>
          <w:lang w:val="en-GB"/>
        </w:rPr>
        <w:t xml:space="preserve">European Union (EU), 2003. Review report for the active substance paraquat. Finalised in the Standing Committee on the Food Chain and Animal Health at its meeting on 3 October 2003 in view of the inclusion of paraquat in Annex I of Directive 91/414/EEC. SANCO/10382/2002 -final. </w:t>
      </w:r>
      <w:hyperlink r:id="rId38" w:history="1">
        <w:r w:rsidRPr="00DF2323">
          <w:rPr>
            <w:rStyle w:val="Hyperlink"/>
            <w:lang w:val="en-GB"/>
          </w:rPr>
          <w:t>https://ec.europa.eu/food/plant/pesticides/eu-pesticides-database/backend/api/active_substance/download/1106</w:t>
        </w:r>
      </w:hyperlink>
      <w:r w:rsidRPr="00DF2323">
        <w:rPr>
          <w:lang w:val="en-GB"/>
        </w:rPr>
        <w:t xml:space="preserve"> </w:t>
      </w:r>
    </w:p>
    <w:p w14:paraId="7716C4DE"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 xml:space="preserve">Paraquat: notifications of final regulatory action. UNEP/FAO/RC/CRC.18/13 </w:t>
      </w:r>
    </w:p>
    <w:p w14:paraId="3F8B7AA6"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Paraquat: supporting documentation provided by Mozambique. UNEP/FAO/RC/CRC.18/INF/28</w:t>
      </w:r>
    </w:p>
    <w:p w14:paraId="64ED11D6"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 xml:space="preserve">JMPR, 2003b. Pesticide residues in food – 2003. Evaluations 2003. Part II – Toxicological.  Joint Meeting of the FAO Panel of Experts on Pesticide Residues in Food and the Environment and the WHO Core Assessment Group on Pesticide Residues Geneva, Switzerland, 15–24 September 2003. Available from </w:t>
      </w:r>
      <w:hyperlink r:id="rId39" w:history="1">
        <w:r w:rsidRPr="00DF2323">
          <w:rPr>
            <w:rStyle w:val="Hyperlink"/>
            <w:rFonts w:eastAsia="Times New Roman"/>
            <w:lang w:val="en-GB" w:eastAsia="en-US"/>
          </w:rPr>
          <w:t>https://inchem.org/documents/jmpr/jmpmono/v2003pr08.htm</w:t>
        </w:r>
      </w:hyperlink>
      <w:r w:rsidRPr="00DF2323">
        <w:rPr>
          <w:rFonts w:eastAsia="Times New Roman"/>
          <w:sz w:val="20"/>
          <w:szCs w:val="20"/>
          <w:lang w:eastAsia="en-US"/>
        </w:rPr>
        <w:t xml:space="preserve"> </w:t>
      </w:r>
    </w:p>
    <w:p w14:paraId="75D22F48" w14:textId="77777777" w:rsidR="009C38E1" w:rsidRPr="00DF2323" w:rsidRDefault="009C38E1" w:rsidP="009C38E1">
      <w:pPr>
        <w:widowControl w:val="0"/>
        <w:tabs>
          <w:tab w:val="left" w:pos="90"/>
        </w:tabs>
        <w:spacing w:before="240" w:after="120"/>
        <w:rPr>
          <w:rFonts w:eastAsia="Times New Roman"/>
          <w:b/>
          <w:bCs/>
          <w:i/>
          <w:iCs/>
          <w:snapToGrid w:val="0"/>
          <w:color w:val="000000"/>
          <w:sz w:val="20"/>
          <w:szCs w:val="20"/>
          <w:lang w:eastAsia="en-US"/>
        </w:rPr>
      </w:pPr>
      <w:r w:rsidRPr="00DF2323">
        <w:rPr>
          <w:rFonts w:eastAsia="Times New Roman"/>
          <w:b/>
          <w:bCs/>
          <w:i/>
          <w:iCs/>
          <w:snapToGrid w:val="0"/>
          <w:color w:val="000000"/>
          <w:sz w:val="20"/>
          <w:szCs w:val="20"/>
          <w:lang w:eastAsia="en-US"/>
        </w:rPr>
        <w:t>Mozambique</w:t>
      </w:r>
    </w:p>
    <w:p w14:paraId="1B6CD69E"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Come A.M. &amp; van der Valk H., 2014. Reducing Risks of Highly Hazardous Pesticides in Mozambique: Step 1 – Shortlisting highly hazardous pesticides, Consultancy report undertaken under the Project EP/MOZ/101/UEP.</w:t>
      </w:r>
    </w:p>
    <w:p w14:paraId="39722FCF" w14:textId="77777777" w:rsidR="009C38E1" w:rsidRPr="00DF2323" w:rsidRDefault="009C38E1" w:rsidP="009C38E1">
      <w:pPr>
        <w:spacing w:before="81" w:after="120" w:line="231" w:lineRule="exact"/>
        <w:ind w:right="504"/>
        <w:textAlignment w:val="baseline"/>
        <w:rPr>
          <w:sz w:val="20"/>
          <w:szCs w:val="20"/>
        </w:rPr>
      </w:pPr>
      <w:r w:rsidRPr="00DF2323">
        <w:rPr>
          <w:sz w:val="20"/>
          <w:szCs w:val="20"/>
        </w:rPr>
        <w:t>Come A.M. &amp; van der Valk H., 2014b. Step 4 – Occupational risk assessments</w:t>
      </w:r>
    </w:p>
    <w:p w14:paraId="6CA0EBD1"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sz w:val="20"/>
          <w:szCs w:val="20"/>
        </w:rPr>
        <w:t xml:space="preserve">Come A.M.; Dona L.L.; Mancini F. &amp; van der Valk H., 2014. </w:t>
      </w:r>
      <w:r w:rsidRPr="00DF2323">
        <w:rPr>
          <w:rFonts w:eastAsia="MS Mincho"/>
          <w:bCs/>
          <w:iCs/>
          <w:sz w:val="20"/>
          <w:szCs w:val="20"/>
          <w:lang w:eastAsia="en-US" w:bidi="en-US"/>
        </w:rPr>
        <w:t>Reducing Risks of Highly Hazardous Pesticides in Mozambique: Step 2 – Survey of pesticide use practices in selected cropping systems.</w:t>
      </w:r>
    </w:p>
    <w:p w14:paraId="7483A609"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FAO/WHO, 2008. Report of the 2nd Joint Meeting on Pesticide Management and the 4</w:t>
      </w:r>
      <w:r w:rsidRPr="00DF2323">
        <w:rPr>
          <w:rFonts w:eastAsia="MS Mincho"/>
          <w:bCs/>
          <w:iCs/>
          <w:sz w:val="20"/>
          <w:szCs w:val="20"/>
          <w:vertAlign w:val="superscript"/>
          <w:lang w:eastAsia="en-US" w:bidi="en-US"/>
        </w:rPr>
        <w:t>th</w:t>
      </w:r>
      <w:r w:rsidRPr="00DF2323">
        <w:rPr>
          <w:rFonts w:eastAsia="MS Mincho"/>
          <w:bCs/>
          <w:iCs/>
          <w:sz w:val="20"/>
          <w:szCs w:val="20"/>
          <w:lang w:eastAsia="en-US" w:bidi="en-US"/>
        </w:rPr>
        <w:t xml:space="preserve"> Session of the FAO Panel of Experts on Pesticide Management. 6-8 October 2008, Geneva. Food and Agriculture Organization of the United Nations, Rome &amp; World Health Organization, Geneva. </w:t>
      </w:r>
      <w:hyperlink r:id="rId40" w:history="1">
        <w:r w:rsidRPr="00DF2323">
          <w:rPr>
            <w:rStyle w:val="Hyperlink"/>
            <w:rFonts w:eastAsia="MS Mincho"/>
            <w:bCs/>
            <w:iCs/>
            <w:lang w:val="en-GB" w:eastAsia="en-US" w:bidi="en-US"/>
          </w:rPr>
          <w:t>http://www.fao.org/fileadmin/templates/agphome/documents/Pests_Pesticides/Code/Report.pdf</w:t>
        </w:r>
      </w:hyperlink>
      <w:r w:rsidRPr="00DF2323">
        <w:rPr>
          <w:rFonts w:eastAsia="MS Mincho"/>
          <w:bCs/>
          <w:iCs/>
          <w:sz w:val="20"/>
          <w:szCs w:val="20"/>
          <w:lang w:eastAsia="en-US" w:bidi="en-US"/>
        </w:rPr>
        <w:t xml:space="preserve"> </w:t>
      </w:r>
    </w:p>
    <w:p w14:paraId="7985A3DF"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Lahr J., R. Kruijne &amp; J. Groenwold, 2014. Hazards of pesticides imported into Mozambique, 2002-2011. Wageningen, Alterra Wageningen UR (University &amp; Research centre).</w:t>
      </w:r>
    </w:p>
    <w:p w14:paraId="16ECA4EA"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 xml:space="preserve">Paraquat: notifications of final regulatory action. UNEP/FAO/RC/CRC.18/13 </w:t>
      </w:r>
    </w:p>
    <w:p w14:paraId="0F7F6513"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Paraquat: supporting documentation provided by Mozambique. UNEP/FAO/RC/CRC.18/INF/29</w:t>
      </w:r>
    </w:p>
    <w:p w14:paraId="255548FE"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WHO, 2005. WHO classification of pesticides by hazard and Guidelines to classification 2004. World Health Organization, Geneva.</w:t>
      </w:r>
    </w:p>
    <w:p w14:paraId="53DE0FDD" w14:textId="77777777" w:rsidR="009C38E1" w:rsidRPr="00DF2323" w:rsidRDefault="009C38E1" w:rsidP="009C38E1">
      <w:pPr>
        <w:spacing w:before="81" w:after="120" w:line="231" w:lineRule="exact"/>
        <w:ind w:right="504"/>
        <w:textAlignment w:val="baseline"/>
        <w:rPr>
          <w:sz w:val="20"/>
          <w:szCs w:val="20"/>
        </w:rPr>
      </w:pPr>
      <w:r w:rsidRPr="00DF2323">
        <w:rPr>
          <w:sz w:val="20"/>
          <w:szCs w:val="20"/>
        </w:rPr>
        <w:t xml:space="preserve">WHO, 2010. WHO classification of pesticides by hazard and Guidelines to classification 2009. World Health Organization.  Available from </w:t>
      </w:r>
      <w:hyperlink r:id="rId41" w:history="1">
        <w:r w:rsidRPr="00DF2323">
          <w:rPr>
            <w:rStyle w:val="Hyperlink"/>
            <w:lang w:val="en-GB"/>
          </w:rPr>
          <w:t>https://www.who.int/publications</w:t>
        </w:r>
      </w:hyperlink>
    </w:p>
    <w:p w14:paraId="09137817" w14:textId="77777777" w:rsidR="009C38E1" w:rsidRPr="00DF2323" w:rsidRDefault="009C38E1" w:rsidP="009C38E1">
      <w:pPr>
        <w:spacing w:before="81" w:after="120" w:line="231" w:lineRule="exact"/>
        <w:ind w:right="504"/>
        <w:textAlignment w:val="baseline"/>
        <w:rPr>
          <w:rFonts w:eastAsia="MS Mincho"/>
          <w:bCs/>
          <w:iCs/>
          <w:sz w:val="20"/>
          <w:szCs w:val="20"/>
          <w:lang w:eastAsia="en-US" w:bidi="en-US"/>
        </w:rPr>
      </w:pPr>
      <w:r w:rsidRPr="00DF2323">
        <w:rPr>
          <w:rFonts w:eastAsia="MS Mincho"/>
          <w:bCs/>
          <w:iCs/>
          <w:sz w:val="20"/>
          <w:szCs w:val="20"/>
          <w:lang w:eastAsia="en-US" w:bidi="en-US"/>
        </w:rPr>
        <w:t xml:space="preserve">WHO, 2019. WHO recommended classification of pesticides by hazard and guidelines to classification, 2019 edition. </w:t>
      </w:r>
      <w:hyperlink r:id="rId42" w:history="1">
        <w:r w:rsidRPr="00DF2323">
          <w:rPr>
            <w:rStyle w:val="Hyperlink"/>
            <w:lang w:val="en-GB"/>
          </w:rPr>
          <w:t>https://www.who.int/publications/i/item/9789240005662</w:t>
        </w:r>
      </w:hyperlink>
    </w:p>
    <w:p w14:paraId="4AF2C5EC" w14:textId="77777777" w:rsidR="009C38E1" w:rsidRPr="00DF2323" w:rsidRDefault="009C38E1" w:rsidP="009C38E1">
      <w:pPr>
        <w:widowControl w:val="0"/>
        <w:tabs>
          <w:tab w:val="left" w:pos="90"/>
        </w:tabs>
        <w:spacing w:before="240" w:after="120"/>
        <w:rPr>
          <w:rFonts w:eastAsia="Times New Roman"/>
          <w:b/>
          <w:bCs/>
          <w:snapToGrid w:val="0"/>
          <w:color w:val="000000"/>
          <w:sz w:val="20"/>
          <w:szCs w:val="20"/>
          <w:lang w:eastAsia="en-US"/>
        </w:rPr>
      </w:pPr>
      <w:r w:rsidRPr="00DF2323">
        <w:rPr>
          <w:rFonts w:eastAsia="Times New Roman"/>
          <w:b/>
          <w:bCs/>
          <w:snapToGrid w:val="0"/>
          <w:color w:val="000000"/>
          <w:sz w:val="20"/>
          <w:szCs w:val="20"/>
          <w:lang w:eastAsia="en-US"/>
        </w:rPr>
        <w:t>Other Documents</w:t>
      </w:r>
    </w:p>
    <w:p w14:paraId="5E9FD815" w14:textId="77777777" w:rsidR="009C38E1" w:rsidRPr="00DF2323" w:rsidRDefault="009C38E1" w:rsidP="00F57668">
      <w:pPr>
        <w:pStyle w:val="NormalNonumber"/>
        <w:ind w:left="0"/>
        <w:rPr>
          <w:lang w:val="en-GB"/>
        </w:rPr>
      </w:pPr>
      <w:r w:rsidRPr="00DF2323">
        <w:rPr>
          <w:lang w:val="en-GB"/>
        </w:rPr>
        <w:t xml:space="preserve">EFSA (2010) Scientific opinion on preparation of a guidance document on pesticide exposure assessment for workers, operators, bystanders and residents. EFSA Panel on Plant Protection Products and their Residues (PPR). European Food Safety Authority (EFSA), Parma, Italy. Available at </w:t>
      </w:r>
      <w:hyperlink r:id="rId43" w:history="1">
        <w:r w:rsidRPr="00DF2323">
          <w:rPr>
            <w:rStyle w:val="Hyperlink"/>
            <w:lang w:val="en-GB"/>
          </w:rPr>
          <w:t>http://www.efsa.europa.eu/en/efsajournal/pub/1501.htm</w:t>
        </w:r>
      </w:hyperlink>
      <w:r w:rsidRPr="00DF2323">
        <w:rPr>
          <w:lang w:val="en-GB"/>
        </w:rPr>
        <w:t xml:space="preserve"> </w:t>
      </w:r>
    </w:p>
    <w:p w14:paraId="3531864E" w14:textId="77777777" w:rsidR="009C38E1" w:rsidRPr="00DF2323" w:rsidRDefault="009C38E1" w:rsidP="00F57668">
      <w:pPr>
        <w:pStyle w:val="NormalNonumber"/>
        <w:ind w:left="0"/>
        <w:rPr>
          <w:lang w:val="en-GB"/>
        </w:rPr>
      </w:pPr>
      <w:r w:rsidRPr="00DF2323">
        <w:rPr>
          <w:lang w:val="en-GB"/>
        </w:rPr>
        <w:t xml:space="preserve">IPCS, 1991. International Programme on Chemical Safety, Poisons Information Monograph 399, Paraquat. Available at </w:t>
      </w:r>
      <w:hyperlink r:id="rId44" w:history="1">
        <w:r w:rsidRPr="00DF2323">
          <w:rPr>
            <w:rStyle w:val="Hyperlink"/>
            <w:lang w:val="en-GB"/>
          </w:rPr>
          <w:t>http://www.inchem.org/documents/pims/chemical/pim399.htm</w:t>
        </w:r>
      </w:hyperlink>
    </w:p>
    <w:p w14:paraId="47FA2EA9" w14:textId="77777777" w:rsidR="009C38E1" w:rsidRPr="00DF2323" w:rsidRDefault="009C38E1" w:rsidP="00F57668">
      <w:pPr>
        <w:keepNext/>
        <w:keepLines/>
        <w:widowControl w:val="0"/>
        <w:tabs>
          <w:tab w:val="left" w:pos="90"/>
        </w:tabs>
        <w:spacing w:after="120"/>
        <w:rPr>
          <w:rFonts w:eastAsia="Times New Roman"/>
          <w:sz w:val="20"/>
          <w:szCs w:val="20"/>
          <w:lang w:eastAsia="en-US"/>
        </w:rPr>
      </w:pPr>
      <w:r w:rsidRPr="00DF2323">
        <w:rPr>
          <w:rFonts w:eastAsia="Times New Roman"/>
          <w:sz w:val="20"/>
          <w:szCs w:val="20"/>
          <w:lang w:eastAsia="en-US"/>
        </w:rPr>
        <w:lastRenderedPageBreak/>
        <w:t xml:space="preserve">US EPA, 1997. Re-registration Eligibility Decision (RED) Paraquat Dichloride. Office of Prevention, Pesticides &amp; Toxic Substances. </w:t>
      </w:r>
      <w:hyperlink r:id="rId45" w:history="1">
        <w:r w:rsidRPr="00DF2323">
          <w:rPr>
            <w:rStyle w:val="Hyperlink"/>
            <w:rFonts w:eastAsia="Times New Roman"/>
            <w:lang w:val="en-GB" w:eastAsia="en-US"/>
          </w:rPr>
          <w:t>https://archive.epa.gov/pesticides/reregistration/web/pdf/0262fact.pdf</w:t>
        </w:r>
      </w:hyperlink>
      <w:r w:rsidRPr="00DF2323">
        <w:rPr>
          <w:rFonts w:eastAsia="Times New Roman"/>
          <w:sz w:val="20"/>
          <w:szCs w:val="20"/>
          <w:lang w:eastAsia="en-US"/>
        </w:rPr>
        <w:t xml:space="preserve"> </w:t>
      </w:r>
    </w:p>
    <w:p w14:paraId="63DCD871"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 xml:space="preserve">JMPR, 2003a. Pesticide residues in food – 2003. Report of the Joint Meeting of the FAO Panel of Experts on Pesticide Residues in Food and the Environment and the WHO Core Assessment Group on Pesticide Residues Geneva, Switzerland, 15–24 September 2003. Available from </w:t>
      </w:r>
      <w:hyperlink r:id="rId46" w:history="1">
        <w:r w:rsidRPr="00DF2323">
          <w:rPr>
            <w:rStyle w:val="Hyperlink"/>
            <w:rFonts w:eastAsia="Times New Roman"/>
            <w:lang w:val="en-GB" w:eastAsia="en-US"/>
          </w:rPr>
          <w:t>https://www.fao.org/publications/card/en/c/028c7c7a-7cbb-5953-be19-56fca560156d/</w:t>
        </w:r>
      </w:hyperlink>
      <w:r w:rsidRPr="00DF2323">
        <w:rPr>
          <w:rFonts w:eastAsia="Times New Roman"/>
          <w:sz w:val="20"/>
          <w:szCs w:val="20"/>
          <w:lang w:eastAsia="en-US"/>
        </w:rPr>
        <w:t xml:space="preserve"> </w:t>
      </w:r>
    </w:p>
    <w:p w14:paraId="2A685918"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 xml:space="preserve">JMPR, 2004a. Pesticide residues in food – 2004. Report of the Joint Meeting of the FAO Panel of Experts on Pesticide Residues in Food and the Environment and the WHO Core Assessment Group on Pesticide Residues Rome (Italy), 20 - 29 September 2004. Available from  </w:t>
      </w:r>
      <w:hyperlink r:id="rId47" w:history="1">
        <w:r w:rsidRPr="00DF2323">
          <w:rPr>
            <w:rStyle w:val="Hyperlink"/>
            <w:rFonts w:eastAsia="Times New Roman"/>
            <w:lang w:val="en-GB" w:eastAsia="en-US"/>
          </w:rPr>
          <w:t>https://www.fao.org/publications/card/en/c/ebf95954-e6af-504c-a2e8-bf8671009bf7/</w:t>
        </w:r>
      </w:hyperlink>
      <w:r w:rsidRPr="00DF2323">
        <w:rPr>
          <w:rFonts w:eastAsia="Times New Roman"/>
          <w:sz w:val="20"/>
          <w:szCs w:val="20"/>
          <w:lang w:eastAsia="en-US"/>
        </w:rPr>
        <w:t xml:space="preserve"> </w:t>
      </w:r>
    </w:p>
    <w:p w14:paraId="002EB2BB"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 xml:space="preserve">JMPR, 2004b. Pesticide residues in food – 2004. Evaluations 2004. Part I – Residues.  Joint Meeting of the FAO Panel of Experts on Pesticide Residues in Food and the Environment and the WHO Core Assessment Group on Pesticide Residues Rome (Italy), 20 - 29 September 2004. Available from </w:t>
      </w:r>
      <w:hyperlink r:id="rId48" w:history="1">
        <w:r w:rsidRPr="00DF2323">
          <w:rPr>
            <w:rStyle w:val="Hyperlink"/>
            <w:rFonts w:eastAsia="Times New Roman"/>
            <w:lang w:val="en-GB" w:eastAsia="en-US"/>
          </w:rPr>
          <w:t>https://www.fao.org/publications/card/en/c/CB2748EN</w:t>
        </w:r>
      </w:hyperlink>
      <w:r w:rsidRPr="00DF2323">
        <w:rPr>
          <w:rFonts w:eastAsia="Times New Roman"/>
          <w:sz w:val="20"/>
          <w:szCs w:val="20"/>
          <w:lang w:eastAsia="en-US"/>
        </w:rPr>
        <w:t xml:space="preserve">  </w:t>
      </w:r>
    </w:p>
    <w:p w14:paraId="1A8B6E94" w14:textId="77777777" w:rsidR="009C38E1" w:rsidRPr="00DF2323" w:rsidRDefault="009C38E1" w:rsidP="009C38E1">
      <w:pPr>
        <w:widowControl w:val="0"/>
        <w:tabs>
          <w:tab w:val="left" w:pos="90"/>
        </w:tabs>
        <w:spacing w:after="120"/>
        <w:rPr>
          <w:rFonts w:eastAsia="Times New Roman"/>
          <w:sz w:val="20"/>
          <w:szCs w:val="20"/>
          <w:lang w:eastAsia="en-US"/>
        </w:rPr>
      </w:pPr>
      <w:r w:rsidRPr="00DF2323">
        <w:rPr>
          <w:rFonts w:eastAsia="Times New Roman"/>
          <w:sz w:val="20"/>
          <w:szCs w:val="20"/>
          <w:lang w:eastAsia="en-US"/>
        </w:rPr>
        <w:t xml:space="preserve">Syngenta, 2004. Paraquat Overview of Safety in Use. Available from: </w:t>
      </w:r>
      <w:hyperlink r:id="rId49" w:history="1">
        <w:r w:rsidRPr="00DF2323">
          <w:rPr>
            <w:rStyle w:val="Hyperlink"/>
            <w:rFonts w:eastAsia="Times New Roman"/>
            <w:lang w:val="en-GB" w:eastAsia="en-US"/>
          </w:rPr>
          <w:t>https://webgate.ec.europa.eu/dyna2/extdoc/getfile/090166e5dab32131</w:t>
        </w:r>
      </w:hyperlink>
      <w:r w:rsidRPr="00DF2323">
        <w:rPr>
          <w:rFonts w:eastAsia="Times New Roman"/>
          <w:sz w:val="20"/>
          <w:szCs w:val="20"/>
          <w:lang w:eastAsia="en-US"/>
        </w:rPr>
        <w:t xml:space="preserve"> </w:t>
      </w:r>
    </w:p>
    <w:p w14:paraId="721DD18C" w14:textId="77777777" w:rsidR="009C38E1" w:rsidRPr="00DF2323" w:rsidRDefault="009C38E1" w:rsidP="009C38E1">
      <w:pPr>
        <w:widowControl w:val="0"/>
        <w:tabs>
          <w:tab w:val="left" w:pos="90"/>
        </w:tabs>
        <w:spacing w:before="240" w:after="120"/>
        <w:rPr>
          <w:rFonts w:eastAsia="Times New Roman"/>
          <w:b/>
          <w:bCs/>
          <w:snapToGrid w:val="0"/>
          <w:color w:val="000000"/>
          <w:sz w:val="20"/>
          <w:szCs w:val="20"/>
          <w:lang w:eastAsia="en-US"/>
        </w:rPr>
      </w:pPr>
      <w:r w:rsidRPr="00DF2323">
        <w:rPr>
          <w:rFonts w:eastAsia="Times New Roman"/>
          <w:b/>
          <w:bCs/>
          <w:snapToGrid w:val="0"/>
          <w:color w:val="000000"/>
          <w:sz w:val="20"/>
          <w:szCs w:val="20"/>
          <w:lang w:eastAsia="en-US"/>
        </w:rPr>
        <w:t>Relevant guidelines and reference documents</w:t>
      </w:r>
    </w:p>
    <w:p w14:paraId="7CFCCF63" w14:textId="77777777" w:rsidR="009C38E1" w:rsidRPr="00DF2323" w:rsidRDefault="009C38E1" w:rsidP="009C38E1">
      <w:pPr>
        <w:widowControl w:val="0"/>
        <w:tabs>
          <w:tab w:val="left" w:pos="90"/>
        </w:tabs>
        <w:spacing w:after="120"/>
        <w:rPr>
          <w:rFonts w:eastAsia="Times New Roman"/>
          <w:b/>
          <w:bCs/>
          <w:snapToGrid w:val="0"/>
          <w:color w:val="000000"/>
          <w:sz w:val="22"/>
          <w:szCs w:val="22"/>
          <w:lang w:eastAsia="en-US"/>
        </w:rPr>
      </w:pPr>
      <w:r w:rsidRPr="00DF2323">
        <w:rPr>
          <w:rFonts w:eastAsia="Times New Roman"/>
          <w:snapToGrid w:val="0"/>
          <w:color w:val="000000"/>
          <w:sz w:val="20"/>
          <w:szCs w:val="20"/>
          <w:lang w:eastAsia="en-US"/>
        </w:rPr>
        <w:t>Basel Convention on the Control of Transboundary Movements of Hazardous Wastes and their Disposal 1996. Available</w:t>
      </w:r>
      <w:r w:rsidRPr="00DF2323">
        <w:rPr>
          <w:rFonts w:eastAsia="Times New Roman"/>
          <w:color w:val="000000"/>
          <w:sz w:val="18"/>
          <w:szCs w:val="18"/>
        </w:rPr>
        <w:t xml:space="preserve"> </w:t>
      </w:r>
      <w:r w:rsidRPr="00DF2323">
        <w:rPr>
          <w:rFonts w:eastAsia="Times New Roman"/>
          <w:color w:val="000000"/>
          <w:sz w:val="20"/>
          <w:szCs w:val="20"/>
        </w:rPr>
        <w:t xml:space="preserve">at: </w:t>
      </w:r>
      <w:hyperlink r:id="rId50" w:history="1">
        <w:r w:rsidRPr="00DF2323">
          <w:rPr>
            <w:rFonts w:eastAsia="Times New Roman"/>
            <w:color w:val="0000FF"/>
            <w:sz w:val="20"/>
            <w:szCs w:val="20"/>
            <w:u w:val="single"/>
          </w:rPr>
          <w:t>www.basel.int</w:t>
        </w:r>
      </w:hyperlink>
    </w:p>
    <w:p w14:paraId="09AD122A" w14:textId="77777777" w:rsidR="009C38E1" w:rsidRPr="00DF2323" w:rsidRDefault="009C38E1" w:rsidP="009C38E1">
      <w:pPr>
        <w:spacing w:before="118" w:line="231" w:lineRule="exact"/>
        <w:ind w:right="648"/>
        <w:textAlignment w:val="baseline"/>
        <w:rPr>
          <w:rFonts w:eastAsia="Times New Roman"/>
          <w:color w:val="000000"/>
          <w:sz w:val="20"/>
          <w:szCs w:val="20"/>
        </w:rPr>
      </w:pPr>
      <w:r w:rsidRPr="00DF2323">
        <w:rPr>
          <w:rFonts w:eastAsia="Times New Roman"/>
          <w:color w:val="000000"/>
          <w:sz w:val="20"/>
          <w:szCs w:val="20"/>
        </w:rPr>
        <w:t xml:space="preserve">FAO, 1995. Guidelines on Prevention of Accumulation of Obsolete Pesticide Stocks. FAO, Rome. Available at: </w:t>
      </w:r>
      <w:hyperlink r:id="rId51" w:history="1">
        <w:r w:rsidRPr="00DF2323">
          <w:rPr>
            <w:rFonts w:eastAsia="Times New Roman"/>
            <w:color w:val="0000FF"/>
            <w:sz w:val="20"/>
            <w:szCs w:val="20"/>
            <w:u w:val="single"/>
          </w:rPr>
          <w:t>http://www.fao.org/3/a-v7460e.pdf</w:t>
        </w:r>
      </w:hyperlink>
      <w:r w:rsidRPr="00DF2323">
        <w:rPr>
          <w:rFonts w:eastAsia="Times New Roman"/>
          <w:color w:val="000000"/>
          <w:sz w:val="20"/>
          <w:szCs w:val="20"/>
        </w:rPr>
        <w:t xml:space="preserve">  </w:t>
      </w:r>
    </w:p>
    <w:p w14:paraId="4F9E78D9" w14:textId="77777777" w:rsidR="009C38E1" w:rsidRPr="00DF2323" w:rsidRDefault="009C38E1" w:rsidP="009C38E1">
      <w:pPr>
        <w:spacing w:before="118" w:line="231" w:lineRule="exact"/>
        <w:ind w:right="648"/>
        <w:textAlignment w:val="baseline"/>
        <w:rPr>
          <w:rFonts w:eastAsia="Times New Roman"/>
          <w:color w:val="000000"/>
          <w:sz w:val="20"/>
          <w:szCs w:val="20"/>
        </w:rPr>
      </w:pPr>
      <w:r w:rsidRPr="00DF2323">
        <w:rPr>
          <w:rFonts w:eastAsia="Times New Roman"/>
          <w:color w:val="000000"/>
          <w:sz w:val="20"/>
          <w:szCs w:val="20"/>
        </w:rPr>
        <w:t>FAO, 1996a. The Pesticide Storage and Stock Control Manual, Rome. Available at: http://</w:t>
      </w:r>
      <w:r w:rsidRPr="00DF2323">
        <w:rPr>
          <w:rFonts w:eastAsia="Times New Roman"/>
          <w:color w:val="0000FF"/>
          <w:sz w:val="20"/>
          <w:szCs w:val="20"/>
          <w:u w:val="single"/>
        </w:rPr>
        <w:t>www.fao.org/agriculture/crops/obsolete-pesticides/resources0/en/</w:t>
      </w:r>
      <w:r w:rsidRPr="00DF2323">
        <w:rPr>
          <w:rFonts w:eastAsia="Times New Roman"/>
          <w:color w:val="000000"/>
          <w:sz w:val="20"/>
          <w:szCs w:val="20"/>
        </w:rPr>
        <w:t xml:space="preserve"> </w:t>
      </w:r>
    </w:p>
    <w:p w14:paraId="0D8F0164" w14:textId="77777777" w:rsidR="009C38E1" w:rsidRPr="00DF2323" w:rsidRDefault="009C38E1" w:rsidP="009C38E1">
      <w:pPr>
        <w:spacing w:before="118" w:line="231" w:lineRule="exact"/>
        <w:ind w:right="648"/>
        <w:textAlignment w:val="baseline"/>
        <w:rPr>
          <w:rFonts w:eastAsia="Times New Roman"/>
          <w:color w:val="000000"/>
          <w:sz w:val="20"/>
          <w:szCs w:val="20"/>
        </w:rPr>
      </w:pPr>
      <w:r w:rsidRPr="00DF2323">
        <w:rPr>
          <w:rFonts w:eastAsia="Times New Roman"/>
          <w:color w:val="000000"/>
          <w:sz w:val="20"/>
          <w:szCs w:val="20"/>
        </w:rPr>
        <w:t xml:space="preserve">FAO, 1996b. Technical guidelines on disposal of bulk quantities of obsolete pesticides in developing countries. Available at: </w:t>
      </w:r>
      <w:hyperlink r:id="rId52" w:history="1">
        <w:r w:rsidRPr="00DF2323">
          <w:rPr>
            <w:rFonts w:eastAsia="Times New Roman"/>
            <w:color w:val="0000FF"/>
            <w:sz w:val="20"/>
            <w:szCs w:val="20"/>
            <w:u w:val="single"/>
          </w:rPr>
          <w:t>http://www.fao.org/agriculture/crops/thematic-sitemap/theme/pests/code/list-guide-new/en/</w:t>
        </w:r>
      </w:hyperlink>
    </w:p>
    <w:p w14:paraId="423503AA" w14:textId="77777777" w:rsidR="009C38E1" w:rsidRPr="00DF2323" w:rsidRDefault="009C38E1" w:rsidP="009C38E1">
      <w:pPr>
        <w:spacing w:before="118" w:line="231" w:lineRule="exact"/>
        <w:ind w:right="648"/>
        <w:textAlignment w:val="baseline"/>
        <w:rPr>
          <w:rFonts w:eastAsia="Times New Roman"/>
          <w:color w:val="000000"/>
          <w:sz w:val="20"/>
          <w:szCs w:val="20"/>
        </w:rPr>
      </w:pPr>
      <w:r w:rsidRPr="00DF2323">
        <w:rPr>
          <w:rFonts w:eastAsia="Times New Roman"/>
          <w:color w:val="000000"/>
          <w:sz w:val="20"/>
          <w:szCs w:val="20"/>
        </w:rPr>
        <w:t xml:space="preserve">FAO, 1999. Guidelines for the management of small quantities of unwanted and obsolete pesticides, Rome. Available at: </w:t>
      </w:r>
      <w:hyperlink r:id="rId53" w:history="1">
        <w:r w:rsidRPr="00DF2323">
          <w:rPr>
            <w:rFonts w:eastAsia="Times New Roman"/>
            <w:color w:val="0000FF"/>
            <w:sz w:val="20"/>
            <w:szCs w:val="20"/>
            <w:u w:val="single"/>
          </w:rPr>
          <w:t>http://www.fao.org/agriculture/crops/thematic-sitemap/theme/pests/code/list-guide-new/en/</w:t>
        </w:r>
      </w:hyperlink>
      <w:r w:rsidRPr="00DF2323">
        <w:rPr>
          <w:rFonts w:eastAsia="Times New Roman"/>
          <w:color w:val="0000FF"/>
          <w:sz w:val="20"/>
          <w:szCs w:val="20"/>
          <w:u w:val="single"/>
        </w:rPr>
        <w:t xml:space="preserve"> </w:t>
      </w:r>
    </w:p>
    <w:p w14:paraId="06DA5C4A" w14:textId="77777777" w:rsidR="009C38E1" w:rsidRPr="00DF2323" w:rsidRDefault="009C38E1" w:rsidP="009C38E1">
      <w:pPr>
        <w:spacing w:before="118" w:line="231" w:lineRule="exact"/>
        <w:ind w:right="648"/>
        <w:textAlignment w:val="baseline"/>
        <w:rPr>
          <w:sz w:val="20"/>
          <w:szCs w:val="20"/>
        </w:rPr>
      </w:pPr>
      <w:r w:rsidRPr="00DF2323">
        <w:rPr>
          <w:rFonts w:eastAsia="Times New Roman"/>
          <w:color w:val="000000"/>
          <w:sz w:val="20"/>
          <w:szCs w:val="20"/>
        </w:rPr>
        <w:t xml:space="preserve">FAO, 2015: Guidelines on Good Labelling Practice for Pesticides (Revised). Rome. Available at: </w:t>
      </w:r>
      <w:hyperlink r:id="rId54" w:history="1">
        <w:r w:rsidRPr="00DF2323">
          <w:rPr>
            <w:rFonts w:eastAsia="Times New Roman"/>
            <w:color w:val="0000FF"/>
            <w:sz w:val="20"/>
            <w:szCs w:val="20"/>
            <w:u w:val="single"/>
          </w:rPr>
          <w:t>https://www.fao.org/3/i4854e/i4854e.pdf</w:t>
        </w:r>
      </w:hyperlink>
    </w:p>
    <w:p w14:paraId="36A332E3"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9C38E1" w:rsidRPr="00DF2323" w14:paraId="1F284C23" w14:textId="77777777" w:rsidTr="00BE0479">
        <w:trPr>
          <w:jc w:val="right"/>
        </w:trPr>
        <w:tc>
          <w:tcPr>
            <w:tcW w:w="9498" w:type="dxa"/>
            <w:shd w:val="pct12" w:color="000000" w:fill="FFFFFF"/>
          </w:tcPr>
          <w:p w14:paraId="2DE401DD"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snapToGrid w:val="0"/>
                <w:kern w:val="28"/>
                <w:sz w:val="29"/>
                <w:szCs w:val="29"/>
                <w:lang w:eastAsia="en-US"/>
              </w:rPr>
              <w:lastRenderedPageBreak/>
              <w:br w:type="page"/>
            </w:r>
            <w:r w:rsidRPr="00DF2323">
              <w:rPr>
                <w:rFonts w:eastAsia="Times New Roman"/>
                <w:b/>
                <w:bCs/>
                <w:kern w:val="28"/>
                <w:szCs w:val="29"/>
                <w:lang w:eastAsia="en-US"/>
              </w:rPr>
              <w:t>Annexes to the decision guidance document</w:t>
            </w:r>
          </w:p>
        </w:tc>
      </w:tr>
    </w:tbl>
    <w:p w14:paraId="67FD8DD0"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tbl>
      <w:tblPr>
        <w:tblW w:w="5000" w:type="pct"/>
        <w:jc w:val="right"/>
        <w:tblLayout w:type="fixed"/>
        <w:tblLook w:val="0000" w:firstRow="0" w:lastRow="0" w:firstColumn="0" w:lastColumn="0" w:noHBand="0" w:noVBand="0"/>
      </w:tblPr>
      <w:tblGrid>
        <w:gridCol w:w="1347"/>
        <w:gridCol w:w="8150"/>
      </w:tblGrid>
      <w:tr w:rsidR="009C38E1" w:rsidRPr="00DF2323" w14:paraId="631CB98B" w14:textId="77777777" w:rsidTr="00BE0479">
        <w:trPr>
          <w:cantSplit/>
          <w:jc w:val="right"/>
        </w:trPr>
        <w:tc>
          <w:tcPr>
            <w:tcW w:w="1347" w:type="dxa"/>
          </w:tcPr>
          <w:p w14:paraId="05366020" w14:textId="77777777" w:rsidR="009C38E1" w:rsidRPr="00DF2323" w:rsidRDefault="009C38E1" w:rsidP="00BE0479">
            <w:pPr>
              <w:spacing w:before="40" w:after="40"/>
              <w:rPr>
                <w:rFonts w:eastAsia="Times New Roman"/>
                <w:sz w:val="20"/>
                <w:szCs w:val="20"/>
                <w:lang w:eastAsia="en-US"/>
              </w:rPr>
            </w:pPr>
            <w:r w:rsidRPr="00DF2323">
              <w:rPr>
                <w:rFonts w:eastAsia="Times New Roman"/>
                <w:sz w:val="20"/>
                <w:szCs w:val="20"/>
                <w:lang w:eastAsia="en-US"/>
              </w:rPr>
              <w:t>Annex 1</w:t>
            </w:r>
          </w:p>
        </w:tc>
        <w:tc>
          <w:tcPr>
            <w:tcW w:w="8150" w:type="dxa"/>
          </w:tcPr>
          <w:p w14:paraId="12124CE5" w14:textId="77777777" w:rsidR="009C38E1" w:rsidRPr="00DF2323" w:rsidRDefault="009C38E1" w:rsidP="00BE0479">
            <w:pPr>
              <w:spacing w:before="40" w:after="40"/>
              <w:rPr>
                <w:rFonts w:eastAsia="Times New Roman"/>
                <w:b/>
                <w:sz w:val="20"/>
                <w:szCs w:val="20"/>
                <w:lang w:eastAsia="en-US"/>
              </w:rPr>
            </w:pPr>
            <w:r w:rsidRPr="00DF2323">
              <w:rPr>
                <w:rFonts w:eastAsia="Times New Roman"/>
                <w:b/>
                <w:sz w:val="20"/>
                <w:szCs w:val="20"/>
                <w:lang w:eastAsia="en-US"/>
              </w:rPr>
              <w:t>Further information on paraquat</w:t>
            </w:r>
          </w:p>
        </w:tc>
      </w:tr>
      <w:tr w:rsidR="009C38E1" w:rsidRPr="00DF2323" w14:paraId="5B2AFA42" w14:textId="77777777" w:rsidTr="00BE0479">
        <w:trPr>
          <w:cantSplit/>
          <w:jc w:val="right"/>
        </w:trPr>
        <w:tc>
          <w:tcPr>
            <w:tcW w:w="1347" w:type="dxa"/>
          </w:tcPr>
          <w:p w14:paraId="6006E6DB" w14:textId="77777777" w:rsidR="009C38E1" w:rsidRPr="00DF2323" w:rsidRDefault="009C38E1" w:rsidP="00BE0479">
            <w:pPr>
              <w:spacing w:before="40" w:after="40"/>
              <w:rPr>
                <w:rFonts w:eastAsia="Times New Roman"/>
                <w:sz w:val="20"/>
                <w:szCs w:val="20"/>
                <w:lang w:eastAsia="en-US"/>
              </w:rPr>
            </w:pPr>
            <w:r w:rsidRPr="00DF2323">
              <w:rPr>
                <w:rFonts w:eastAsia="Times New Roman"/>
                <w:sz w:val="20"/>
                <w:szCs w:val="20"/>
                <w:lang w:eastAsia="en-US"/>
              </w:rPr>
              <w:t>Annex 2</w:t>
            </w:r>
          </w:p>
        </w:tc>
        <w:tc>
          <w:tcPr>
            <w:tcW w:w="8150" w:type="dxa"/>
          </w:tcPr>
          <w:p w14:paraId="03D345D7" w14:textId="77777777" w:rsidR="009C38E1" w:rsidRPr="00DF2323" w:rsidRDefault="009C38E1" w:rsidP="00BE0479">
            <w:pPr>
              <w:spacing w:before="40" w:after="40"/>
              <w:rPr>
                <w:rFonts w:eastAsia="Times New Roman"/>
                <w:b/>
                <w:sz w:val="20"/>
                <w:szCs w:val="20"/>
                <w:lang w:eastAsia="en-US"/>
              </w:rPr>
            </w:pPr>
            <w:r w:rsidRPr="00DF2323">
              <w:rPr>
                <w:rFonts w:eastAsia="Times New Roman"/>
                <w:b/>
                <w:sz w:val="20"/>
                <w:szCs w:val="20"/>
                <w:lang w:eastAsia="en-US"/>
              </w:rPr>
              <w:t>Details on final regulatory actions reported</w:t>
            </w:r>
          </w:p>
        </w:tc>
      </w:tr>
      <w:tr w:rsidR="009C38E1" w:rsidRPr="00DF2323" w14:paraId="77E9DC39" w14:textId="77777777" w:rsidTr="00BE0479">
        <w:trPr>
          <w:cantSplit/>
          <w:jc w:val="right"/>
        </w:trPr>
        <w:tc>
          <w:tcPr>
            <w:tcW w:w="1347" w:type="dxa"/>
          </w:tcPr>
          <w:p w14:paraId="1ACF95D0" w14:textId="77777777" w:rsidR="009C38E1" w:rsidRPr="00DF2323" w:rsidRDefault="009C38E1" w:rsidP="00BE0479">
            <w:pPr>
              <w:spacing w:before="40" w:after="40"/>
              <w:rPr>
                <w:rFonts w:eastAsia="Times New Roman"/>
                <w:sz w:val="20"/>
                <w:szCs w:val="20"/>
                <w:lang w:eastAsia="en-US"/>
              </w:rPr>
            </w:pPr>
            <w:r w:rsidRPr="00DF2323">
              <w:rPr>
                <w:rFonts w:eastAsia="Times New Roman"/>
                <w:sz w:val="20"/>
                <w:szCs w:val="20"/>
                <w:lang w:eastAsia="en-US"/>
              </w:rPr>
              <w:t>Annex 3</w:t>
            </w:r>
          </w:p>
        </w:tc>
        <w:tc>
          <w:tcPr>
            <w:tcW w:w="8150" w:type="dxa"/>
          </w:tcPr>
          <w:p w14:paraId="28B30C41" w14:textId="77777777" w:rsidR="009C38E1" w:rsidRPr="00DF2323" w:rsidRDefault="009C38E1" w:rsidP="00BE0479">
            <w:pPr>
              <w:spacing w:before="40" w:after="40"/>
              <w:rPr>
                <w:rFonts w:eastAsia="Times New Roman"/>
                <w:b/>
                <w:sz w:val="20"/>
                <w:szCs w:val="20"/>
                <w:lang w:eastAsia="en-US"/>
              </w:rPr>
            </w:pPr>
            <w:r w:rsidRPr="00DF2323">
              <w:rPr>
                <w:rFonts w:eastAsia="Times New Roman"/>
                <w:b/>
                <w:sz w:val="20"/>
                <w:szCs w:val="20"/>
                <w:lang w:eastAsia="en-US"/>
              </w:rPr>
              <w:t>Addresses of designated national authorities</w:t>
            </w:r>
          </w:p>
        </w:tc>
      </w:tr>
    </w:tbl>
    <w:p w14:paraId="61B262E7"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r w:rsidRPr="00DF2323">
        <w:rPr>
          <w:rFonts w:eastAsia="Times New Roman"/>
          <w:sz w:val="10"/>
          <w:szCs w:val="10"/>
          <w:lang w:eastAsia="en-US"/>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9C38E1" w:rsidRPr="00DF2323" w14:paraId="0E247E03" w14:textId="77777777" w:rsidTr="00BE0479">
        <w:trPr>
          <w:jc w:val="right"/>
        </w:trPr>
        <w:tc>
          <w:tcPr>
            <w:tcW w:w="9498" w:type="dxa"/>
            <w:shd w:val="pct12" w:color="000000" w:fill="FFFFFF"/>
          </w:tcPr>
          <w:p w14:paraId="13891CD9"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kern w:val="28"/>
                <w:szCs w:val="29"/>
                <w:lang w:eastAsia="en-US"/>
              </w:rPr>
              <w:lastRenderedPageBreak/>
              <w:t>Annex 1 to the decision guidance document - Further information on paraquat</w:t>
            </w:r>
          </w:p>
        </w:tc>
      </w:tr>
    </w:tbl>
    <w:p w14:paraId="70BE8265" w14:textId="77777777" w:rsidR="009C38E1" w:rsidRPr="00DF2323" w:rsidRDefault="009C38E1" w:rsidP="0006498F">
      <w:pPr>
        <w:spacing w:before="240" w:after="120"/>
        <w:ind w:right="505"/>
        <w:textAlignment w:val="baseline"/>
        <w:rPr>
          <w:rFonts w:eastAsia="Times New Roman"/>
          <w:color w:val="000000"/>
          <w:sz w:val="20"/>
          <w:szCs w:val="20"/>
        </w:rPr>
      </w:pPr>
      <w:r w:rsidRPr="00DF2323">
        <w:rPr>
          <w:rFonts w:eastAsia="Times New Roman"/>
          <w:color w:val="000000"/>
          <w:sz w:val="20"/>
          <w:szCs w:val="20"/>
        </w:rPr>
        <w:t>The information presented in this Annex reflects the conclusions of the notifying Parties: Malaysia and Mozambique. The notifications from Malaysia and Mozambique were published in PIC Circular LII of December 2020.</w:t>
      </w:r>
    </w:p>
    <w:p w14:paraId="579D5EB1" w14:textId="77777777" w:rsidR="009C38E1" w:rsidRPr="00DF2323" w:rsidRDefault="009C38E1" w:rsidP="0006498F">
      <w:pPr>
        <w:spacing w:before="124" w:after="120"/>
        <w:ind w:right="648"/>
        <w:textAlignment w:val="baseline"/>
        <w:rPr>
          <w:rFonts w:eastAsia="Times New Roman"/>
          <w:color w:val="000000"/>
          <w:sz w:val="20"/>
          <w:szCs w:val="20"/>
        </w:rPr>
      </w:pPr>
      <w:r w:rsidRPr="00DF2323">
        <w:rPr>
          <w:rFonts w:eastAsia="Times New Roman"/>
          <w:color w:val="000000"/>
          <w:sz w:val="20"/>
          <w:szCs w:val="20"/>
        </w:rPr>
        <w:t>Where possible, information on hazards provided by the notifying Parties has been presented together, while the evaluation of the risks, specific to the conditions prevailing in the notifying Parties are presented separately. This information has been taken from the documents referenced in the notifications in support of the final regulatory actions to ban paraquat.</w:t>
      </w:r>
    </w:p>
    <w:p w14:paraId="4B468BD6" w14:textId="77777777" w:rsidR="009C38E1" w:rsidRPr="00DF2323" w:rsidRDefault="009C38E1" w:rsidP="0006498F">
      <w:pPr>
        <w:spacing w:before="113" w:after="120"/>
        <w:ind w:right="142"/>
        <w:textAlignment w:val="baseline"/>
        <w:rPr>
          <w:rFonts w:eastAsia="Times New Roman"/>
          <w:color w:val="000000"/>
          <w:sz w:val="20"/>
          <w:szCs w:val="20"/>
        </w:rPr>
      </w:pPr>
      <w:r w:rsidRPr="00DF2323">
        <w:rPr>
          <w:rFonts w:eastAsia="Times New Roman"/>
          <w:color w:val="000000"/>
          <w:sz w:val="20"/>
          <w:szCs w:val="20"/>
        </w:rPr>
        <w:t>Furthermore, information from the IPCS (1991), the FAO/WHO JMPR (2003, 2004) and the EU (2003) evaluations of paraquat has been taken into account.</w:t>
      </w:r>
    </w:p>
    <w:tbl>
      <w:tblPr>
        <w:tblW w:w="5000" w:type="pct"/>
        <w:jc w:val="right"/>
        <w:tblLook w:val="0000" w:firstRow="0" w:lastRow="0" w:firstColumn="0" w:lastColumn="0" w:noHBand="0" w:noVBand="0"/>
      </w:tblPr>
      <w:tblGrid>
        <w:gridCol w:w="622"/>
        <w:gridCol w:w="1700"/>
        <w:gridCol w:w="7175"/>
      </w:tblGrid>
      <w:tr w:rsidR="009C38E1" w:rsidRPr="00DF2323" w14:paraId="23231E01" w14:textId="77777777" w:rsidTr="00BE0479">
        <w:trPr>
          <w:trHeight w:val="384"/>
          <w:jc w:val="right"/>
        </w:trPr>
        <w:tc>
          <w:tcPr>
            <w:tcW w:w="622" w:type="dxa"/>
            <w:tcBorders>
              <w:bottom w:val="single" w:sz="4" w:space="0" w:color="auto"/>
            </w:tcBorders>
          </w:tcPr>
          <w:p w14:paraId="06FFE2D5" w14:textId="77777777" w:rsidR="009C38E1" w:rsidRPr="00DF2323" w:rsidRDefault="009C38E1" w:rsidP="00BE0479">
            <w:pPr>
              <w:outlineLvl w:val="1"/>
              <w:rPr>
                <w:rFonts w:eastAsia="Times New Roman"/>
                <w:b/>
                <w:bCs/>
                <w:szCs w:val="28"/>
                <w:lang w:eastAsia="en-US"/>
              </w:rPr>
            </w:pPr>
            <w:r w:rsidRPr="00DF2323">
              <w:rPr>
                <w:rFonts w:eastAsia="Times New Roman"/>
                <w:b/>
                <w:bCs/>
                <w:szCs w:val="28"/>
                <w:lang w:eastAsia="en-US"/>
              </w:rPr>
              <w:t>1.</w:t>
            </w:r>
          </w:p>
        </w:tc>
        <w:tc>
          <w:tcPr>
            <w:tcW w:w="8875" w:type="dxa"/>
            <w:gridSpan w:val="2"/>
            <w:tcBorders>
              <w:bottom w:val="single" w:sz="4" w:space="0" w:color="auto"/>
            </w:tcBorders>
          </w:tcPr>
          <w:p w14:paraId="21ADC9CA" w14:textId="77777777" w:rsidR="009C38E1" w:rsidRPr="00DF2323" w:rsidRDefault="009C38E1" w:rsidP="00BE0479">
            <w:pPr>
              <w:outlineLvl w:val="1"/>
              <w:rPr>
                <w:rFonts w:eastAsia="Times New Roman"/>
                <w:b/>
                <w:bCs/>
                <w:szCs w:val="28"/>
                <w:lang w:eastAsia="en-US"/>
              </w:rPr>
            </w:pPr>
            <w:r w:rsidRPr="00DF2323">
              <w:rPr>
                <w:rFonts w:eastAsia="Times New Roman"/>
                <w:b/>
                <w:bCs/>
                <w:szCs w:val="28"/>
                <w:lang w:eastAsia="en-US"/>
              </w:rPr>
              <w:t xml:space="preserve">Physico-Chemical properties </w:t>
            </w:r>
          </w:p>
        </w:tc>
      </w:tr>
      <w:tr w:rsidR="009C38E1" w:rsidRPr="00DF2323" w14:paraId="7D9294FD"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1542DB1E"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1.1</w:t>
            </w:r>
          </w:p>
        </w:tc>
        <w:tc>
          <w:tcPr>
            <w:tcW w:w="1700" w:type="dxa"/>
            <w:tcBorders>
              <w:top w:val="nil"/>
              <w:left w:val="nil"/>
              <w:bottom w:val="nil"/>
              <w:right w:val="nil"/>
            </w:tcBorders>
          </w:tcPr>
          <w:p w14:paraId="40DCBDB4"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Identity</w:t>
            </w:r>
          </w:p>
        </w:tc>
        <w:tc>
          <w:tcPr>
            <w:tcW w:w="7175" w:type="dxa"/>
            <w:tcBorders>
              <w:top w:val="nil"/>
              <w:left w:val="nil"/>
              <w:bottom w:val="nil"/>
              <w:right w:val="nil"/>
            </w:tcBorders>
          </w:tcPr>
          <w:p w14:paraId="6F6677E2"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Paraquat dichloride</w:t>
            </w:r>
          </w:p>
          <w:p w14:paraId="4911FC9B"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IUPAC: 1,1’-dimethyl-4,4’-bipyridinium dichloride</w:t>
            </w:r>
          </w:p>
          <w:p w14:paraId="5214A88A"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CAS No: </w:t>
            </w:r>
            <w:r w:rsidRPr="00DF2323">
              <w:rPr>
                <w:sz w:val="20"/>
                <w:szCs w:val="20"/>
              </w:rPr>
              <w:t>1910-42-5</w:t>
            </w:r>
          </w:p>
        </w:tc>
      </w:tr>
      <w:tr w:rsidR="009C38E1" w:rsidRPr="00DF2323" w14:paraId="1AEAAF78"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B6AAC76"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1.2</w:t>
            </w:r>
          </w:p>
        </w:tc>
        <w:tc>
          <w:tcPr>
            <w:tcW w:w="1700" w:type="dxa"/>
            <w:tcBorders>
              <w:top w:val="nil"/>
              <w:left w:val="nil"/>
              <w:bottom w:val="nil"/>
              <w:right w:val="nil"/>
            </w:tcBorders>
          </w:tcPr>
          <w:p w14:paraId="46672321"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 xml:space="preserve">Formula </w:t>
            </w:r>
          </w:p>
        </w:tc>
        <w:tc>
          <w:tcPr>
            <w:tcW w:w="7175" w:type="dxa"/>
            <w:tcBorders>
              <w:top w:val="nil"/>
              <w:left w:val="nil"/>
              <w:bottom w:val="nil"/>
              <w:right w:val="nil"/>
            </w:tcBorders>
          </w:tcPr>
          <w:p w14:paraId="7DBB70FE"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C</w:t>
            </w:r>
            <w:r w:rsidRPr="00DF2323">
              <w:rPr>
                <w:rFonts w:eastAsia="Times New Roman"/>
                <w:sz w:val="20"/>
                <w:szCs w:val="20"/>
                <w:vertAlign w:val="subscript"/>
                <w:lang w:eastAsia="en-US"/>
              </w:rPr>
              <w:t>12</w:t>
            </w:r>
            <w:r w:rsidRPr="00DF2323">
              <w:rPr>
                <w:rFonts w:eastAsia="Times New Roman"/>
                <w:sz w:val="20"/>
                <w:szCs w:val="20"/>
                <w:lang w:eastAsia="en-US"/>
              </w:rPr>
              <w:t>H</w:t>
            </w:r>
            <w:r w:rsidRPr="00DF2323">
              <w:rPr>
                <w:rFonts w:eastAsia="Times New Roman"/>
                <w:sz w:val="20"/>
                <w:szCs w:val="20"/>
                <w:vertAlign w:val="subscript"/>
                <w:lang w:eastAsia="en-US"/>
              </w:rPr>
              <w:t>14</w:t>
            </w:r>
            <w:r w:rsidRPr="00DF2323">
              <w:rPr>
                <w:rFonts w:eastAsia="Times New Roman"/>
                <w:sz w:val="20"/>
                <w:szCs w:val="20"/>
                <w:lang w:eastAsia="en-US"/>
              </w:rPr>
              <w:t>N</w:t>
            </w:r>
            <w:r w:rsidRPr="00DF2323">
              <w:rPr>
                <w:rFonts w:eastAsia="Times New Roman"/>
                <w:sz w:val="20"/>
                <w:szCs w:val="20"/>
                <w:vertAlign w:val="subscript"/>
                <w:lang w:eastAsia="en-US"/>
              </w:rPr>
              <w:t>2</w:t>
            </w:r>
            <w:r w:rsidRPr="00DF2323">
              <w:rPr>
                <w:rFonts w:eastAsia="Times New Roman"/>
                <w:sz w:val="20"/>
                <w:szCs w:val="20"/>
                <w:lang w:eastAsia="en-US"/>
              </w:rPr>
              <w:t>Cl</w:t>
            </w:r>
            <w:r w:rsidRPr="00DF2323">
              <w:rPr>
                <w:rFonts w:eastAsia="Times New Roman"/>
                <w:sz w:val="20"/>
                <w:szCs w:val="20"/>
                <w:vertAlign w:val="subscript"/>
                <w:lang w:eastAsia="en-US"/>
              </w:rPr>
              <w:t>2</w:t>
            </w:r>
          </w:p>
        </w:tc>
      </w:tr>
      <w:tr w:rsidR="009C38E1" w:rsidRPr="00DF2323" w14:paraId="690D8F9C"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85A575A"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1.3</w:t>
            </w:r>
          </w:p>
        </w:tc>
        <w:tc>
          <w:tcPr>
            <w:tcW w:w="1700" w:type="dxa"/>
            <w:tcBorders>
              <w:top w:val="nil"/>
              <w:left w:val="nil"/>
              <w:bottom w:val="nil"/>
              <w:right w:val="nil"/>
            </w:tcBorders>
          </w:tcPr>
          <w:p w14:paraId="7CD5D97B"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Colour and Texture</w:t>
            </w:r>
          </w:p>
        </w:tc>
        <w:tc>
          <w:tcPr>
            <w:tcW w:w="7175" w:type="dxa"/>
            <w:tcBorders>
              <w:top w:val="nil"/>
              <w:left w:val="nil"/>
              <w:bottom w:val="nil"/>
              <w:right w:val="nil"/>
            </w:tcBorders>
          </w:tcPr>
          <w:p w14:paraId="33052FF5"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Off-white hygroscopic solid without characteristic odour</w:t>
            </w:r>
          </w:p>
        </w:tc>
      </w:tr>
      <w:tr w:rsidR="009C38E1" w:rsidRPr="00DF2323" w14:paraId="0ABFD46B"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484B4A0F"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1.4</w:t>
            </w:r>
          </w:p>
        </w:tc>
        <w:tc>
          <w:tcPr>
            <w:tcW w:w="1700" w:type="dxa"/>
            <w:tcBorders>
              <w:top w:val="nil"/>
              <w:left w:val="nil"/>
              <w:bottom w:val="nil"/>
              <w:right w:val="nil"/>
            </w:tcBorders>
          </w:tcPr>
          <w:p w14:paraId="0B64FAFE"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Decomposition temperature</w:t>
            </w:r>
          </w:p>
        </w:tc>
        <w:tc>
          <w:tcPr>
            <w:tcW w:w="7175" w:type="dxa"/>
            <w:tcBorders>
              <w:top w:val="nil"/>
              <w:left w:val="nil"/>
              <w:bottom w:val="nil"/>
              <w:right w:val="nil"/>
            </w:tcBorders>
          </w:tcPr>
          <w:p w14:paraId="3BFD9813"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~340 ºC (613ºK) </w:t>
            </w:r>
          </w:p>
        </w:tc>
      </w:tr>
      <w:tr w:rsidR="009C38E1" w:rsidRPr="00DF2323" w14:paraId="6DFD91CC"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C44B33B"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1.5</w:t>
            </w:r>
          </w:p>
        </w:tc>
        <w:tc>
          <w:tcPr>
            <w:tcW w:w="1700" w:type="dxa"/>
            <w:tcBorders>
              <w:top w:val="nil"/>
              <w:left w:val="nil"/>
              <w:bottom w:val="nil"/>
              <w:right w:val="nil"/>
            </w:tcBorders>
          </w:tcPr>
          <w:p w14:paraId="729CDEA2"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Boiling point</w:t>
            </w:r>
          </w:p>
        </w:tc>
        <w:tc>
          <w:tcPr>
            <w:tcW w:w="7175" w:type="dxa"/>
            <w:tcBorders>
              <w:top w:val="nil"/>
              <w:left w:val="nil"/>
              <w:bottom w:val="nil"/>
              <w:right w:val="nil"/>
            </w:tcBorders>
          </w:tcPr>
          <w:p w14:paraId="0715E4F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Not applicable. Decomposes before reaching boiling point</w:t>
            </w:r>
          </w:p>
        </w:tc>
      </w:tr>
      <w:tr w:rsidR="009C38E1" w:rsidRPr="00DF2323" w14:paraId="0C4C2439"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3CF368C"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1.6</w:t>
            </w:r>
          </w:p>
        </w:tc>
        <w:tc>
          <w:tcPr>
            <w:tcW w:w="1700" w:type="dxa"/>
            <w:tcBorders>
              <w:top w:val="nil"/>
              <w:left w:val="nil"/>
              <w:bottom w:val="nil"/>
              <w:right w:val="nil"/>
            </w:tcBorders>
          </w:tcPr>
          <w:p w14:paraId="2F6C6104"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 xml:space="preserve">Relative density </w:t>
            </w:r>
          </w:p>
        </w:tc>
        <w:tc>
          <w:tcPr>
            <w:tcW w:w="7175" w:type="dxa"/>
            <w:tcBorders>
              <w:top w:val="nil"/>
              <w:left w:val="nil"/>
              <w:bottom w:val="nil"/>
              <w:right w:val="nil"/>
            </w:tcBorders>
          </w:tcPr>
          <w:p w14:paraId="6BD2AD38"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 xml:space="preserve">1.55 at 25 ºC </w:t>
            </w:r>
          </w:p>
        </w:tc>
      </w:tr>
      <w:tr w:rsidR="009C38E1" w:rsidRPr="00DF2323" w14:paraId="55A04C9F"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875" w:type="dxa"/>
          <w:jc w:val="right"/>
        </w:trPr>
        <w:tc>
          <w:tcPr>
            <w:tcW w:w="622" w:type="dxa"/>
            <w:tcBorders>
              <w:top w:val="nil"/>
              <w:left w:val="nil"/>
              <w:bottom w:val="nil"/>
              <w:right w:val="nil"/>
            </w:tcBorders>
          </w:tcPr>
          <w:p w14:paraId="60166151" w14:textId="77777777" w:rsidR="009C38E1" w:rsidRPr="00DF2323" w:rsidRDefault="009C38E1" w:rsidP="00BE0479">
            <w:pPr>
              <w:rPr>
                <w:rFonts w:eastAsia="Times New Roman"/>
                <w:b/>
                <w:sz w:val="20"/>
                <w:szCs w:val="20"/>
                <w:lang w:eastAsia="en-US"/>
              </w:rPr>
            </w:pPr>
          </w:p>
        </w:tc>
      </w:tr>
      <w:tr w:rsidR="009C38E1" w:rsidRPr="00DF2323" w14:paraId="2203651F"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01A854B2" w14:textId="77777777" w:rsidR="009C38E1" w:rsidRPr="00A351F3" w:rsidRDefault="009C38E1" w:rsidP="00BE0479">
            <w:pPr>
              <w:rPr>
                <w:rFonts w:eastAsia="Times New Roman"/>
                <w:b/>
                <w:bCs/>
                <w:sz w:val="20"/>
                <w:szCs w:val="20"/>
                <w:lang w:eastAsia="en-US"/>
              </w:rPr>
            </w:pPr>
            <w:r w:rsidRPr="00921868">
              <w:rPr>
                <w:rFonts w:eastAsia="Times New Roman"/>
                <w:b/>
                <w:bCs/>
                <w:sz w:val="20"/>
                <w:szCs w:val="20"/>
                <w:lang w:eastAsia="en-US"/>
              </w:rPr>
              <w:t>1.7</w:t>
            </w:r>
          </w:p>
        </w:tc>
        <w:tc>
          <w:tcPr>
            <w:tcW w:w="1700" w:type="dxa"/>
            <w:tcBorders>
              <w:top w:val="nil"/>
              <w:left w:val="nil"/>
              <w:bottom w:val="nil"/>
              <w:right w:val="nil"/>
            </w:tcBorders>
          </w:tcPr>
          <w:p w14:paraId="31C5D77A"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Vapour Pressure</w:t>
            </w:r>
          </w:p>
        </w:tc>
        <w:tc>
          <w:tcPr>
            <w:tcW w:w="7175" w:type="dxa"/>
            <w:tcBorders>
              <w:top w:val="nil"/>
              <w:left w:val="nil"/>
              <w:bottom w:val="nil"/>
              <w:right w:val="nil"/>
            </w:tcBorders>
          </w:tcPr>
          <w:p w14:paraId="0DE8409C" w14:textId="77777777" w:rsidR="009C38E1" w:rsidRPr="00DF2323" w:rsidRDefault="009C38E1" w:rsidP="00BE0479">
            <w:pPr>
              <w:rPr>
                <w:rFonts w:eastAsia="Times New Roman"/>
                <w:sz w:val="20"/>
                <w:szCs w:val="20"/>
                <w:lang w:eastAsia="en-US"/>
              </w:rPr>
            </w:pPr>
            <w:r w:rsidRPr="00DF2323">
              <w:rPr>
                <w:rFonts w:eastAsia="Times New Roman"/>
                <w:sz w:val="20"/>
                <w:szCs w:val="20"/>
              </w:rPr>
              <w:t>&lt;&lt;1 x 10</w:t>
            </w:r>
            <w:r w:rsidRPr="00DF2323">
              <w:rPr>
                <w:rFonts w:eastAsia="Times New Roman"/>
                <w:sz w:val="20"/>
                <w:szCs w:val="20"/>
                <w:vertAlign w:val="superscript"/>
              </w:rPr>
              <w:t>-5</w:t>
            </w:r>
            <w:r w:rsidRPr="00DF2323">
              <w:rPr>
                <w:rFonts w:eastAsia="Times New Roman"/>
                <w:sz w:val="20"/>
                <w:szCs w:val="20"/>
              </w:rPr>
              <w:t xml:space="preserve"> Pa at 25 °C </w:t>
            </w:r>
            <w:r w:rsidRPr="00DF2323">
              <w:rPr>
                <w:rFonts w:eastAsia="Times New Roman"/>
                <w:sz w:val="20"/>
                <w:szCs w:val="20"/>
                <w:lang w:eastAsia="en-US"/>
              </w:rPr>
              <w:t xml:space="preserve"> </w:t>
            </w:r>
          </w:p>
        </w:tc>
      </w:tr>
      <w:tr w:rsidR="009C38E1" w:rsidRPr="00DF2323" w14:paraId="40F748BC"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74B1A2E" w14:textId="77777777" w:rsidR="009C38E1" w:rsidRPr="00A351F3" w:rsidRDefault="009C38E1" w:rsidP="00BE0479">
            <w:pPr>
              <w:rPr>
                <w:rFonts w:eastAsia="Times New Roman"/>
                <w:b/>
                <w:bCs/>
                <w:sz w:val="20"/>
                <w:szCs w:val="20"/>
                <w:lang w:eastAsia="en-US"/>
              </w:rPr>
            </w:pPr>
            <w:r w:rsidRPr="00921868">
              <w:rPr>
                <w:rFonts w:eastAsia="Times New Roman"/>
                <w:b/>
                <w:bCs/>
                <w:sz w:val="20"/>
                <w:szCs w:val="20"/>
                <w:lang w:eastAsia="en-US"/>
              </w:rPr>
              <w:t>1.8</w:t>
            </w:r>
          </w:p>
        </w:tc>
        <w:tc>
          <w:tcPr>
            <w:tcW w:w="1700" w:type="dxa"/>
            <w:tcBorders>
              <w:top w:val="nil"/>
              <w:left w:val="nil"/>
              <w:bottom w:val="nil"/>
              <w:right w:val="nil"/>
            </w:tcBorders>
          </w:tcPr>
          <w:p w14:paraId="17385CF3"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Henry’s Law Constant</w:t>
            </w:r>
          </w:p>
        </w:tc>
        <w:tc>
          <w:tcPr>
            <w:tcW w:w="7175" w:type="dxa"/>
            <w:tcBorders>
              <w:top w:val="nil"/>
              <w:left w:val="nil"/>
              <w:bottom w:val="nil"/>
              <w:right w:val="nil"/>
            </w:tcBorders>
          </w:tcPr>
          <w:p w14:paraId="6852864E" w14:textId="77777777" w:rsidR="009C38E1" w:rsidRPr="00DF2323" w:rsidRDefault="009C38E1" w:rsidP="00BE0479">
            <w:pPr>
              <w:rPr>
                <w:sz w:val="20"/>
                <w:szCs w:val="20"/>
              </w:rPr>
            </w:pPr>
            <w:r w:rsidRPr="00DF2323">
              <w:rPr>
                <w:sz w:val="20"/>
                <w:szCs w:val="20"/>
              </w:rPr>
              <w:t>4 x 10</w:t>
            </w:r>
            <w:r w:rsidRPr="00DF2323">
              <w:rPr>
                <w:sz w:val="20"/>
                <w:szCs w:val="20"/>
                <w:vertAlign w:val="superscript"/>
              </w:rPr>
              <w:t xml:space="preserve">-9 </w:t>
            </w:r>
            <w:r w:rsidRPr="00DF2323">
              <w:rPr>
                <w:sz w:val="20"/>
                <w:szCs w:val="20"/>
              </w:rPr>
              <w:t>Pa m</w:t>
            </w:r>
            <w:r w:rsidRPr="00DF2323">
              <w:rPr>
                <w:sz w:val="20"/>
                <w:szCs w:val="20"/>
                <w:vertAlign w:val="superscript"/>
              </w:rPr>
              <w:t>3</w:t>
            </w:r>
            <w:r w:rsidRPr="00DF2323">
              <w:rPr>
                <w:sz w:val="20"/>
                <w:szCs w:val="20"/>
              </w:rPr>
              <w:t xml:space="preserve">/mol </w:t>
            </w:r>
          </w:p>
        </w:tc>
      </w:tr>
      <w:tr w:rsidR="009C38E1" w:rsidRPr="00DF2323" w14:paraId="2DE7024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69AE2B70"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1.9</w:t>
            </w:r>
          </w:p>
        </w:tc>
        <w:tc>
          <w:tcPr>
            <w:tcW w:w="1700" w:type="dxa"/>
            <w:tcBorders>
              <w:top w:val="nil"/>
              <w:left w:val="nil"/>
              <w:bottom w:val="nil"/>
              <w:right w:val="nil"/>
            </w:tcBorders>
          </w:tcPr>
          <w:p w14:paraId="59C54B0B"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Relative density</w:t>
            </w:r>
          </w:p>
          <w:p w14:paraId="00DCB94B" w14:textId="77777777" w:rsidR="009C38E1" w:rsidRPr="00DF2323" w:rsidRDefault="009C38E1" w:rsidP="00BE0479">
            <w:pPr>
              <w:rPr>
                <w:rFonts w:eastAsia="Times New Roman"/>
                <w:sz w:val="20"/>
                <w:szCs w:val="20"/>
                <w:lang w:eastAsia="en-US"/>
              </w:rPr>
            </w:pPr>
          </w:p>
        </w:tc>
        <w:tc>
          <w:tcPr>
            <w:tcW w:w="7175" w:type="dxa"/>
            <w:tcBorders>
              <w:top w:val="nil"/>
              <w:left w:val="nil"/>
              <w:bottom w:val="nil"/>
              <w:right w:val="nil"/>
            </w:tcBorders>
          </w:tcPr>
          <w:p w14:paraId="2EBD32FC" w14:textId="77777777" w:rsidR="009C38E1" w:rsidRPr="00DF2323" w:rsidRDefault="009C38E1" w:rsidP="00BE0479">
            <w:pPr>
              <w:rPr>
                <w:rFonts w:eastAsia="Times New Roman"/>
                <w:sz w:val="20"/>
                <w:szCs w:val="20"/>
                <w:lang w:eastAsia="en-US"/>
              </w:rPr>
            </w:pPr>
            <w:r w:rsidRPr="00DF2323">
              <w:rPr>
                <w:rFonts w:eastAsia="Times New Roman"/>
                <w:sz w:val="20"/>
                <w:szCs w:val="20"/>
              </w:rPr>
              <w:t xml:space="preserve">1.11 at 20 </w:t>
            </w:r>
            <w:r w:rsidRPr="00DF2323">
              <w:rPr>
                <w:rFonts w:eastAsia="Times New Roman"/>
                <w:sz w:val="20"/>
                <w:szCs w:val="20"/>
                <w:lang w:eastAsia="en-US"/>
              </w:rPr>
              <w:t>°</w:t>
            </w:r>
            <w:r w:rsidRPr="00DF2323">
              <w:rPr>
                <w:rFonts w:eastAsia="Times New Roman"/>
                <w:sz w:val="20"/>
                <w:szCs w:val="20"/>
              </w:rPr>
              <w:t xml:space="preserve">C </w:t>
            </w:r>
          </w:p>
          <w:p w14:paraId="2B59C4FE" w14:textId="77777777" w:rsidR="009C38E1" w:rsidRPr="00DF2323" w:rsidRDefault="009C38E1" w:rsidP="00BE0479">
            <w:pPr>
              <w:rPr>
                <w:sz w:val="20"/>
                <w:szCs w:val="20"/>
              </w:rPr>
            </w:pPr>
          </w:p>
        </w:tc>
      </w:tr>
      <w:tr w:rsidR="009C38E1" w:rsidRPr="00DF2323" w14:paraId="17C777CE"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124F3041"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1.10</w:t>
            </w:r>
          </w:p>
        </w:tc>
        <w:tc>
          <w:tcPr>
            <w:tcW w:w="1700" w:type="dxa"/>
            <w:tcBorders>
              <w:top w:val="nil"/>
              <w:left w:val="nil"/>
              <w:bottom w:val="nil"/>
              <w:right w:val="nil"/>
            </w:tcBorders>
          </w:tcPr>
          <w:p w14:paraId="02FAF044" w14:textId="77777777" w:rsidR="009C38E1" w:rsidRPr="00DF2323" w:rsidRDefault="009C38E1" w:rsidP="00BE0479">
            <w:pPr>
              <w:rPr>
                <w:rFonts w:eastAsia="Times New Roman"/>
                <w:sz w:val="20"/>
                <w:szCs w:val="20"/>
                <w:lang w:eastAsia="en-US"/>
              </w:rPr>
            </w:pPr>
            <w:r w:rsidRPr="00DF2323">
              <w:rPr>
                <w:rFonts w:eastAsia="Times New Roman"/>
                <w:b/>
                <w:bCs/>
                <w:sz w:val="20"/>
                <w:szCs w:val="20"/>
                <w:lang w:eastAsia="en-US"/>
              </w:rPr>
              <w:t>Solubility in water</w:t>
            </w:r>
          </w:p>
        </w:tc>
        <w:tc>
          <w:tcPr>
            <w:tcW w:w="7175" w:type="dxa"/>
            <w:tcBorders>
              <w:top w:val="nil"/>
              <w:left w:val="nil"/>
              <w:bottom w:val="nil"/>
              <w:right w:val="nil"/>
            </w:tcBorders>
          </w:tcPr>
          <w:p w14:paraId="6FE016D6"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618 g/L at pH 5.2</w:t>
            </w:r>
          </w:p>
          <w:p w14:paraId="02D905C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620 g/L at pH 7.2</w:t>
            </w:r>
          </w:p>
          <w:p w14:paraId="5AC02139"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620 g/L at pH 9.2</w:t>
            </w:r>
          </w:p>
        </w:tc>
      </w:tr>
      <w:tr w:rsidR="009C38E1" w:rsidRPr="00DF2323" w14:paraId="58FE7938"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5A4BDA20"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1.11</w:t>
            </w:r>
          </w:p>
        </w:tc>
        <w:tc>
          <w:tcPr>
            <w:tcW w:w="1700" w:type="dxa"/>
            <w:tcBorders>
              <w:top w:val="nil"/>
              <w:left w:val="nil"/>
              <w:bottom w:val="nil"/>
              <w:right w:val="nil"/>
            </w:tcBorders>
          </w:tcPr>
          <w:p w14:paraId="2AFBD19F"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Solubility in organic solvents</w:t>
            </w:r>
          </w:p>
          <w:p w14:paraId="19A58BFE" w14:textId="77777777" w:rsidR="009C38E1" w:rsidRPr="00DF2323" w:rsidRDefault="009C38E1" w:rsidP="00BE0479">
            <w:pPr>
              <w:rPr>
                <w:rFonts w:eastAsia="Times New Roman"/>
                <w:sz w:val="20"/>
                <w:szCs w:val="20"/>
                <w:lang w:eastAsia="en-US"/>
              </w:rPr>
            </w:pPr>
          </w:p>
        </w:tc>
        <w:tc>
          <w:tcPr>
            <w:tcW w:w="7175" w:type="dxa"/>
            <w:tcBorders>
              <w:top w:val="nil"/>
              <w:left w:val="nil"/>
              <w:bottom w:val="nil"/>
              <w:right w:val="nil"/>
            </w:tcBorders>
          </w:tcPr>
          <w:p w14:paraId="7EF850D5" w14:textId="77777777" w:rsidR="009C38E1" w:rsidRPr="00DF2323" w:rsidRDefault="009C38E1" w:rsidP="00BE0479">
            <w:pPr>
              <w:rPr>
                <w:rFonts w:eastAsia="Times New Roman"/>
                <w:sz w:val="20"/>
                <w:szCs w:val="20"/>
              </w:rPr>
            </w:pPr>
            <w:r w:rsidRPr="00DF2323">
              <w:rPr>
                <w:rFonts w:eastAsia="Times New Roman"/>
                <w:sz w:val="20"/>
                <w:szCs w:val="20"/>
              </w:rPr>
              <w:t xml:space="preserve">Solubility &lt; 0.1 g/L for each of the following solvents at 20 °C: Acetone, hexane, dichloromethane, toluene and ethyl acetate. Solubility 143 g/L for methanol </w:t>
            </w:r>
          </w:p>
          <w:p w14:paraId="1741F91D" w14:textId="77777777" w:rsidR="009C38E1" w:rsidRPr="00DF2323" w:rsidRDefault="009C38E1" w:rsidP="00BE0479">
            <w:pPr>
              <w:rPr>
                <w:sz w:val="20"/>
                <w:szCs w:val="20"/>
              </w:rPr>
            </w:pPr>
            <w:r w:rsidRPr="00DF2323">
              <w:rPr>
                <w:rFonts w:eastAsia="Times New Roman"/>
                <w:sz w:val="20"/>
                <w:szCs w:val="20"/>
                <w:lang w:eastAsia="en-US"/>
              </w:rPr>
              <w:t>(99.5% purity)</w:t>
            </w:r>
          </w:p>
        </w:tc>
      </w:tr>
      <w:tr w:rsidR="009C38E1" w:rsidRPr="00DF2323" w14:paraId="668C58C5"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57D2F36"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1.12</w:t>
            </w:r>
          </w:p>
        </w:tc>
        <w:tc>
          <w:tcPr>
            <w:tcW w:w="1700" w:type="dxa"/>
            <w:tcBorders>
              <w:top w:val="nil"/>
              <w:left w:val="nil"/>
              <w:bottom w:val="nil"/>
              <w:right w:val="nil"/>
            </w:tcBorders>
          </w:tcPr>
          <w:p w14:paraId="1E890A9A" w14:textId="77777777" w:rsidR="009C38E1" w:rsidRPr="00DF2323" w:rsidRDefault="009C38E1" w:rsidP="00BE0479">
            <w:pPr>
              <w:rPr>
                <w:rFonts w:eastAsia="Times New Roman"/>
                <w:sz w:val="20"/>
                <w:szCs w:val="20"/>
                <w:lang w:eastAsia="en-US"/>
              </w:rPr>
            </w:pPr>
            <w:r w:rsidRPr="00DF2323">
              <w:rPr>
                <w:rFonts w:eastAsia="Times New Roman"/>
                <w:b/>
                <w:bCs/>
                <w:sz w:val="20"/>
                <w:szCs w:val="20"/>
                <w:lang w:eastAsia="en-US"/>
              </w:rPr>
              <w:t>Partition coefficient</w:t>
            </w:r>
          </w:p>
        </w:tc>
        <w:tc>
          <w:tcPr>
            <w:tcW w:w="7175" w:type="dxa"/>
            <w:tcBorders>
              <w:top w:val="nil"/>
              <w:left w:val="nil"/>
              <w:bottom w:val="nil"/>
              <w:right w:val="nil"/>
            </w:tcBorders>
          </w:tcPr>
          <w:p w14:paraId="0A688393" w14:textId="77777777" w:rsidR="009C38E1" w:rsidRPr="00DF2323" w:rsidRDefault="009C38E1" w:rsidP="00BE0479">
            <w:pPr>
              <w:rPr>
                <w:sz w:val="20"/>
                <w:szCs w:val="20"/>
              </w:rPr>
            </w:pPr>
            <w:r w:rsidRPr="00DF2323">
              <w:rPr>
                <w:rFonts w:eastAsia="Times New Roman"/>
                <w:sz w:val="20"/>
                <w:szCs w:val="20"/>
              </w:rPr>
              <w:t>Log K</w:t>
            </w:r>
            <w:r w:rsidRPr="00DF2323">
              <w:rPr>
                <w:rFonts w:eastAsia="Times New Roman"/>
                <w:sz w:val="20"/>
                <w:szCs w:val="20"/>
                <w:vertAlign w:val="subscript"/>
              </w:rPr>
              <w:t>ow</w:t>
            </w:r>
            <w:r w:rsidRPr="00DF2323">
              <w:rPr>
                <w:rFonts w:eastAsia="Times New Roman"/>
                <w:sz w:val="20"/>
                <w:szCs w:val="20"/>
              </w:rPr>
              <w:t xml:space="preserve"> -4.5 at 25 ºC </w:t>
            </w:r>
          </w:p>
        </w:tc>
      </w:tr>
      <w:tr w:rsidR="009C38E1" w:rsidRPr="00DF2323" w14:paraId="261309B3"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1366A83"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1.13</w:t>
            </w:r>
          </w:p>
        </w:tc>
        <w:tc>
          <w:tcPr>
            <w:tcW w:w="1700" w:type="dxa"/>
            <w:tcBorders>
              <w:top w:val="nil"/>
              <w:left w:val="nil"/>
              <w:bottom w:val="nil"/>
              <w:right w:val="nil"/>
            </w:tcBorders>
          </w:tcPr>
          <w:p w14:paraId="0FA1017A"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Dissociation constant</w:t>
            </w:r>
          </w:p>
        </w:tc>
        <w:tc>
          <w:tcPr>
            <w:tcW w:w="7175" w:type="dxa"/>
            <w:tcBorders>
              <w:top w:val="nil"/>
              <w:left w:val="nil"/>
              <w:bottom w:val="nil"/>
              <w:right w:val="nil"/>
            </w:tcBorders>
          </w:tcPr>
          <w:p w14:paraId="74421455" w14:textId="156A829E" w:rsidR="009C38E1" w:rsidRPr="00DF2323" w:rsidRDefault="009C38E1" w:rsidP="008C6056">
            <w:pPr>
              <w:rPr>
                <w:sz w:val="20"/>
                <w:szCs w:val="20"/>
              </w:rPr>
            </w:pPr>
            <w:r w:rsidRPr="00DF2323">
              <w:rPr>
                <w:rFonts w:eastAsia="Times New Roman"/>
                <w:sz w:val="20"/>
                <w:szCs w:val="20"/>
              </w:rPr>
              <w:t>Not applicable; compound does not dissociate</w:t>
            </w:r>
          </w:p>
        </w:tc>
      </w:tr>
      <w:tr w:rsidR="009C38E1" w:rsidRPr="00DF2323" w14:paraId="014103B0"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4367E594"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1.14</w:t>
            </w:r>
          </w:p>
        </w:tc>
        <w:tc>
          <w:tcPr>
            <w:tcW w:w="1700" w:type="dxa"/>
            <w:tcBorders>
              <w:top w:val="nil"/>
              <w:left w:val="nil"/>
              <w:bottom w:val="nil"/>
              <w:right w:val="nil"/>
            </w:tcBorders>
          </w:tcPr>
          <w:p w14:paraId="03DF3889"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Hydrolysis</w:t>
            </w:r>
          </w:p>
        </w:tc>
        <w:tc>
          <w:tcPr>
            <w:tcW w:w="7175" w:type="dxa"/>
            <w:tcBorders>
              <w:top w:val="nil"/>
              <w:left w:val="nil"/>
              <w:bottom w:val="nil"/>
              <w:right w:val="nil"/>
            </w:tcBorders>
          </w:tcPr>
          <w:p w14:paraId="2588841D" w14:textId="77777777" w:rsidR="009C38E1" w:rsidRPr="00DF2323" w:rsidRDefault="009C38E1" w:rsidP="00BE0479">
            <w:pPr>
              <w:rPr>
                <w:sz w:val="20"/>
                <w:szCs w:val="20"/>
              </w:rPr>
            </w:pPr>
            <w:r w:rsidRPr="00DF2323">
              <w:rPr>
                <w:sz w:val="20"/>
                <w:szCs w:val="20"/>
              </w:rPr>
              <w:t>No hydrolysis was observed at pH 5, 7 or 9 (91 mg/L; 25 or 40 ºC for 30 days)</w:t>
            </w:r>
          </w:p>
        </w:tc>
      </w:tr>
      <w:tr w:rsidR="009C38E1" w:rsidRPr="00DF2323" w14:paraId="5DC78B9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6371E6D" w14:textId="77777777" w:rsidR="009C38E1" w:rsidRPr="00921868" w:rsidRDefault="009C38E1" w:rsidP="00BE0479">
            <w:pPr>
              <w:rPr>
                <w:rFonts w:eastAsia="Times New Roman"/>
                <w:b/>
                <w:bCs/>
                <w:sz w:val="20"/>
                <w:szCs w:val="20"/>
                <w:lang w:eastAsia="en-US"/>
              </w:rPr>
            </w:pPr>
            <w:r w:rsidRPr="00921868">
              <w:rPr>
                <w:rFonts w:eastAsia="Times New Roman"/>
                <w:b/>
                <w:bCs/>
                <w:sz w:val="20"/>
                <w:szCs w:val="20"/>
                <w:lang w:eastAsia="en-US"/>
              </w:rPr>
              <w:t>1.15</w:t>
            </w:r>
          </w:p>
        </w:tc>
        <w:tc>
          <w:tcPr>
            <w:tcW w:w="1700" w:type="dxa"/>
            <w:tcBorders>
              <w:top w:val="nil"/>
              <w:left w:val="nil"/>
              <w:bottom w:val="nil"/>
              <w:right w:val="nil"/>
            </w:tcBorders>
          </w:tcPr>
          <w:p w14:paraId="7B970ADF" w14:textId="77777777" w:rsidR="009C38E1" w:rsidRPr="00DF2323" w:rsidRDefault="009C38E1" w:rsidP="00BE0479">
            <w:pPr>
              <w:rPr>
                <w:b/>
                <w:bCs/>
                <w:sz w:val="20"/>
                <w:szCs w:val="20"/>
              </w:rPr>
            </w:pPr>
            <w:r w:rsidRPr="00DF2323">
              <w:rPr>
                <w:b/>
                <w:bCs/>
                <w:sz w:val="20"/>
                <w:szCs w:val="20"/>
              </w:rPr>
              <w:t>Photolysis</w:t>
            </w:r>
          </w:p>
        </w:tc>
        <w:tc>
          <w:tcPr>
            <w:tcW w:w="7175" w:type="dxa"/>
            <w:tcBorders>
              <w:top w:val="nil"/>
              <w:left w:val="nil"/>
              <w:bottom w:val="nil"/>
              <w:right w:val="nil"/>
            </w:tcBorders>
          </w:tcPr>
          <w:p w14:paraId="6C88F90E" w14:textId="77777777" w:rsidR="009C38E1" w:rsidRPr="00DF2323" w:rsidRDefault="009C38E1" w:rsidP="00BE0479">
            <w:pPr>
              <w:rPr>
                <w:sz w:val="20"/>
                <w:szCs w:val="20"/>
              </w:rPr>
            </w:pPr>
            <w:r w:rsidRPr="00DF2323">
              <w:rPr>
                <w:sz w:val="20"/>
                <w:szCs w:val="20"/>
              </w:rPr>
              <w:t>In aqueous solution, photochemically decomposed by UV radiation</w:t>
            </w:r>
          </w:p>
        </w:tc>
      </w:tr>
      <w:tr w:rsidR="009C38E1" w:rsidRPr="00DF2323" w14:paraId="6D6D460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4B430349" w14:textId="77777777" w:rsidR="009C38E1" w:rsidRPr="00921868" w:rsidRDefault="009C38E1" w:rsidP="00BE0479">
            <w:pPr>
              <w:rPr>
                <w:b/>
                <w:bCs/>
                <w:sz w:val="20"/>
                <w:szCs w:val="20"/>
              </w:rPr>
            </w:pPr>
            <w:r w:rsidRPr="00921868">
              <w:rPr>
                <w:b/>
                <w:bCs/>
                <w:sz w:val="20"/>
                <w:szCs w:val="20"/>
              </w:rPr>
              <w:t>1.17</w:t>
            </w:r>
          </w:p>
        </w:tc>
        <w:tc>
          <w:tcPr>
            <w:tcW w:w="1700" w:type="dxa"/>
            <w:tcBorders>
              <w:top w:val="nil"/>
              <w:left w:val="nil"/>
              <w:bottom w:val="nil"/>
              <w:right w:val="nil"/>
            </w:tcBorders>
          </w:tcPr>
          <w:p w14:paraId="64E1E2C8" w14:textId="77777777" w:rsidR="009C38E1" w:rsidRPr="00DF2323" w:rsidRDefault="009C38E1" w:rsidP="00BE0479">
            <w:pPr>
              <w:rPr>
                <w:b/>
                <w:bCs/>
                <w:sz w:val="20"/>
                <w:szCs w:val="20"/>
              </w:rPr>
            </w:pPr>
            <w:r w:rsidRPr="00DF2323">
              <w:rPr>
                <w:b/>
                <w:bCs/>
                <w:sz w:val="20"/>
                <w:szCs w:val="20"/>
              </w:rPr>
              <w:t>Resistance to acids</w:t>
            </w:r>
          </w:p>
        </w:tc>
        <w:tc>
          <w:tcPr>
            <w:tcW w:w="7175" w:type="dxa"/>
            <w:tcBorders>
              <w:top w:val="nil"/>
              <w:left w:val="nil"/>
              <w:bottom w:val="nil"/>
              <w:right w:val="nil"/>
            </w:tcBorders>
          </w:tcPr>
          <w:p w14:paraId="48C5F5A3" w14:textId="77777777" w:rsidR="009C38E1" w:rsidRPr="00DF2323" w:rsidRDefault="009C38E1" w:rsidP="00BE0479">
            <w:pPr>
              <w:rPr>
                <w:sz w:val="20"/>
                <w:szCs w:val="20"/>
              </w:rPr>
            </w:pPr>
            <w:r w:rsidRPr="00DF2323">
              <w:rPr>
                <w:sz w:val="20"/>
                <w:szCs w:val="20"/>
              </w:rPr>
              <w:t>Hydrolytically stable under acidic conditions</w:t>
            </w:r>
          </w:p>
        </w:tc>
      </w:tr>
      <w:tr w:rsidR="009C38E1" w:rsidRPr="00DF2323" w14:paraId="0299770F"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9"/>
          <w:jc w:val="right"/>
        </w:trPr>
        <w:tc>
          <w:tcPr>
            <w:tcW w:w="622" w:type="dxa"/>
            <w:tcBorders>
              <w:top w:val="nil"/>
              <w:left w:val="nil"/>
              <w:bottom w:val="nil"/>
              <w:right w:val="nil"/>
            </w:tcBorders>
          </w:tcPr>
          <w:p w14:paraId="14247641" w14:textId="77777777" w:rsidR="009C38E1" w:rsidRPr="00921868" w:rsidRDefault="009C38E1" w:rsidP="00BE0479">
            <w:pPr>
              <w:rPr>
                <w:b/>
                <w:bCs/>
                <w:sz w:val="20"/>
                <w:szCs w:val="20"/>
              </w:rPr>
            </w:pPr>
          </w:p>
        </w:tc>
        <w:tc>
          <w:tcPr>
            <w:tcW w:w="1700" w:type="dxa"/>
            <w:tcBorders>
              <w:top w:val="nil"/>
              <w:left w:val="nil"/>
              <w:bottom w:val="nil"/>
              <w:right w:val="nil"/>
            </w:tcBorders>
          </w:tcPr>
          <w:p w14:paraId="55D94AE4" w14:textId="77777777" w:rsidR="009C38E1" w:rsidRPr="00DF2323" w:rsidRDefault="009C38E1" w:rsidP="00BE0479">
            <w:pPr>
              <w:rPr>
                <w:b/>
                <w:bCs/>
                <w:sz w:val="20"/>
                <w:szCs w:val="20"/>
              </w:rPr>
            </w:pPr>
            <w:r w:rsidRPr="00DF2323">
              <w:rPr>
                <w:b/>
                <w:bCs/>
                <w:sz w:val="20"/>
                <w:szCs w:val="20"/>
              </w:rPr>
              <w:t>Resistance to alkalis</w:t>
            </w:r>
          </w:p>
        </w:tc>
        <w:tc>
          <w:tcPr>
            <w:tcW w:w="7175" w:type="dxa"/>
            <w:tcBorders>
              <w:top w:val="nil"/>
              <w:left w:val="nil"/>
              <w:bottom w:val="nil"/>
              <w:right w:val="nil"/>
            </w:tcBorders>
          </w:tcPr>
          <w:p w14:paraId="0C1AFE46" w14:textId="77777777" w:rsidR="009C38E1" w:rsidRPr="00DF2323" w:rsidRDefault="009C38E1" w:rsidP="00BE0479">
            <w:pPr>
              <w:rPr>
                <w:sz w:val="20"/>
                <w:szCs w:val="20"/>
              </w:rPr>
            </w:pPr>
            <w:r w:rsidRPr="00DF2323">
              <w:rPr>
                <w:sz w:val="20"/>
                <w:szCs w:val="20"/>
              </w:rPr>
              <w:t>Hydrolytically stable under alkaline conditions</w:t>
            </w:r>
          </w:p>
        </w:tc>
      </w:tr>
      <w:tr w:rsidR="009C38E1" w:rsidRPr="00DF2323" w14:paraId="2029E124"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547933B2" w14:textId="77777777" w:rsidR="009C38E1" w:rsidRPr="00921868" w:rsidRDefault="009C38E1" w:rsidP="00BE0479">
            <w:pPr>
              <w:rPr>
                <w:b/>
                <w:bCs/>
                <w:sz w:val="20"/>
                <w:szCs w:val="20"/>
              </w:rPr>
            </w:pPr>
            <w:r w:rsidRPr="00921868">
              <w:rPr>
                <w:b/>
                <w:bCs/>
                <w:sz w:val="20"/>
                <w:szCs w:val="20"/>
              </w:rPr>
              <w:t>1.18</w:t>
            </w:r>
          </w:p>
        </w:tc>
        <w:tc>
          <w:tcPr>
            <w:tcW w:w="1700" w:type="dxa"/>
            <w:tcBorders>
              <w:top w:val="nil"/>
              <w:left w:val="nil"/>
              <w:bottom w:val="nil"/>
              <w:right w:val="nil"/>
            </w:tcBorders>
          </w:tcPr>
          <w:p w14:paraId="48C104D0" w14:textId="77777777" w:rsidR="009C38E1" w:rsidRPr="00DF2323" w:rsidRDefault="009C38E1" w:rsidP="00BE0479">
            <w:pPr>
              <w:rPr>
                <w:b/>
                <w:bCs/>
                <w:sz w:val="20"/>
                <w:szCs w:val="20"/>
              </w:rPr>
            </w:pPr>
            <w:r w:rsidRPr="00DF2323">
              <w:rPr>
                <w:b/>
                <w:bCs/>
                <w:sz w:val="20"/>
                <w:szCs w:val="20"/>
              </w:rPr>
              <w:t>Storage stability</w:t>
            </w:r>
          </w:p>
        </w:tc>
        <w:tc>
          <w:tcPr>
            <w:tcW w:w="7175" w:type="dxa"/>
            <w:tcBorders>
              <w:top w:val="nil"/>
              <w:left w:val="nil"/>
              <w:bottom w:val="nil"/>
              <w:right w:val="nil"/>
            </w:tcBorders>
          </w:tcPr>
          <w:p w14:paraId="2FE2858B" w14:textId="77777777" w:rsidR="009C38E1" w:rsidRPr="00DF2323" w:rsidRDefault="009C38E1" w:rsidP="00BE0479">
            <w:pPr>
              <w:rPr>
                <w:sz w:val="20"/>
                <w:szCs w:val="20"/>
              </w:rPr>
            </w:pPr>
            <w:r w:rsidRPr="00DF2323">
              <w:rPr>
                <w:sz w:val="20"/>
                <w:szCs w:val="20"/>
              </w:rPr>
              <w:t>Stable but decomposes in the presence of UV light</w:t>
            </w:r>
          </w:p>
        </w:tc>
      </w:tr>
      <w:tr w:rsidR="009C38E1" w:rsidRPr="00DF2323" w14:paraId="113A2692"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497" w:type="dxa"/>
            <w:gridSpan w:val="3"/>
            <w:tcBorders>
              <w:top w:val="nil"/>
              <w:left w:val="nil"/>
              <w:bottom w:val="nil"/>
              <w:right w:val="nil"/>
            </w:tcBorders>
          </w:tcPr>
          <w:p w14:paraId="01AEEC09" w14:textId="77777777" w:rsidR="009C38E1" w:rsidRPr="00DF2323" w:rsidRDefault="009C38E1" w:rsidP="00BE0479">
            <w:pPr>
              <w:rPr>
                <w:sz w:val="20"/>
                <w:szCs w:val="20"/>
              </w:rPr>
            </w:pPr>
            <w:r w:rsidRPr="00DF2323">
              <w:rPr>
                <w:sz w:val="20"/>
                <w:szCs w:val="20"/>
              </w:rPr>
              <w:t>Purity of test substance 95%</w:t>
            </w:r>
          </w:p>
          <w:p w14:paraId="2EA1D376" w14:textId="77777777" w:rsidR="009C38E1" w:rsidRPr="00DF2323" w:rsidRDefault="009C38E1" w:rsidP="00BE0479">
            <w:pPr>
              <w:rPr>
                <w:sz w:val="20"/>
                <w:szCs w:val="20"/>
              </w:rPr>
            </w:pPr>
            <w:r w:rsidRPr="00DF2323">
              <w:rPr>
                <w:sz w:val="20"/>
                <w:szCs w:val="20"/>
              </w:rPr>
              <w:t>Source: JMPR (2003)</w:t>
            </w:r>
          </w:p>
        </w:tc>
      </w:tr>
      <w:tr w:rsidR="009C38E1" w:rsidRPr="00DF2323" w14:paraId="1BD755FC" w14:textId="77777777" w:rsidTr="00BE0479">
        <w:tblPrEx>
          <w:tblBorders>
            <w:top w:val="single" w:sz="6" w:space="0" w:color="C0C0C0"/>
            <w:left w:val="single" w:sz="6" w:space="0" w:color="C0C0C0"/>
            <w:bottom w:val="single" w:sz="6" w:space="0" w:color="C0C0C0"/>
            <w:right w:val="single" w:sz="6" w:space="0" w:color="C0C0C0"/>
          </w:tblBorders>
        </w:tblPrEx>
        <w:trPr>
          <w:jc w:val="right"/>
        </w:trPr>
        <w:tc>
          <w:tcPr>
            <w:tcW w:w="622" w:type="dxa"/>
            <w:tcBorders>
              <w:top w:val="nil"/>
              <w:left w:val="nil"/>
              <w:bottom w:val="single" w:sz="4" w:space="0" w:color="auto"/>
              <w:right w:val="nil"/>
            </w:tcBorders>
          </w:tcPr>
          <w:p w14:paraId="7EE66B34"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kern w:val="28"/>
                <w:szCs w:val="29"/>
                <w:lang w:eastAsia="en-US"/>
              </w:rPr>
              <w:t>2</w:t>
            </w:r>
          </w:p>
        </w:tc>
        <w:tc>
          <w:tcPr>
            <w:tcW w:w="8875" w:type="dxa"/>
            <w:gridSpan w:val="2"/>
            <w:tcBorders>
              <w:top w:val="nil"/>
              <w:left w:val="nil"/>
              <w:bottom w:val="single" w:sz="4" w:space="0" w:color="auto"/>
              <w:right w:val="nil"/>
            </w:tcBorders>
          </w:tcPr>
          <w:p w14:paraId="68ABA49F" w14:textId="77777777" w:rsidR="009C38E1" w:rsidRPr="00DF2323" w:rsidRDefault="009C38E1" w:rsidP="00BE0479">
            <w:pPr>
              <w:keepNext/>
              <w:spacing w:before="40" w:after="60"/>
              <w:outlineLvl w:val="0"/>
              <w:rPr>
                <w:rFonts w:eastAsia="Times New Roman"/>
                <w:b/>
                <w:bCs/>
                <w:kern w:val="28"/>
                <w:szCs w:val="29"/>
                <w:lang w:eastAsia="en-US"/>
              </w:rPr>
            </w:pPr>
            <w:r w:rsidRPr="00DF2323">
              <w:rPr>
                <w:rFonts w:eastAsia="Times New Roman"/>
                <w:b/>
                <w:bCs/>
                <w:kern w:val="28"/>
                <w:szCs w:val="29"/>
                <w:lang w:eastAsia="en-US"/>
              </w:rPr>
              <w:t xml:space="preserve">Toxicological properties </w:t>
            </w:r>
          </w:p>
        </w:tc>
      </w:tr>
      <w:tr w:rsidR="009C38E1" w:rsidRPr="00DF2323" w14:paraId="719AA7CA"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2F0A5F71" w14:textId="77777777" w:rsidR="009C38E1" w:rsidRPr="00DF2323" w:rsidRDefault="009C38E1" w:rsidP="00BE0479">
            <w:pPr>
              <w:spacing w:after="60"/>
              <w:rPr>
                <w:rFonts w:eastAsia="Times New Roman"/>
                <w:b/>
                <w:bCs/>
                <w:color w:val="000000"/>
                <w:sz w:val="20"/>
                <w:szCs w:val="20"/>
                <w:lang w:eastAsia="en-US"/>
              </w:rPr>
            </w:pPr>
            <w:r w:rsidRPr="00DF2323">
              <w:rPr>
                <w:rFonts w:eastAsia="Times New Roman"/>
                <w:b/>
                <w:bCs/>
                <w:color w:val="000000"/>
                <w:sz w:val="20"/>
                <w:szCs w:val="20"/>
                <w:lang w:eastAsia="en-US"/>
              </w:rPr>
              <w:t>2.1</w:t>
            </w:r>
          </w:p>
        </w:tc>
        <w:tc>
          <w:tcPr>
            <w:tcW w:w="1700" w:type="dxa"/>
            <w:tcBorders>
              <w:top w:val="nil"/>
              <w:left w:val="nil"/>
              <w:bottom w:val="nil"/>
              <w:right w:val="nil"/>
            </w:tcBorders>
          </w:tcPr>
          <w:p w14:paraId="3BFC430D"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 xml:space="preserve">General </w:t>
            </w:r>
          </w:p>
        </w:tc>
        <w:tc>
          <w:tcPr>
            <w:tcW w:w="7175" w:type="dxa"/>
            <w:tcBorders>
              <w:top w:val="nil"/>
              <w:left w:val="nil"/>
              <w:bottom w:val="nil"/>
              <w:right w:val="nil"/>
            </w:tcBorders>
          </w:tcPr>
          <w:p w14:paraId="57A50AC2" w14:textId="77777777" w:rsidR="009C38E1" w:rsidRPr="00DF2323" w:rsidRDefault="009C38E1" w:rsidP="00BE0479">
            <w:pPr>
              <w:spacing w:after="40"/>
              <w:rPr>
                <w:rFonts w:eastAsia="Times New Roman"/>
                <w:szCs w:val="20"/>
                <w:lang w:eastAsia="en-US"/>
              </w:rPr>
            </w:pPr>
          </w:p>
        </w:tc>
      </w:tr>
      <w:tr w:rsidR="009C38E1" w:rsidRPr="00DF2323" w14:paraId="046CAE98"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5523DF20"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2.1.1</w:t>
            </w:r>
          </w:p>
        </w:tc>
        <w:tc>
          <w:tcPr>
            <w:tcW w:w="1700" w:type="dxa"/>
            <w:tcBorders>
              <w:top w:val="nil"/>
              <w:left w:val="nil"/>
              <w:bottom w:val="nil"/>
              <w:right w:val="nil"/>
            </w:tcBorders>
          </w:tcPr>
          <w:p w14:paraId="5C33BA72"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Mode of Action</w:t>
            </w:r>
          </w:p>
        </w:tc>
        <w:tc>
          <w:tcPr>
            <w:tcW w:w="7175" w:type="dxa"/>
            <w:tcBorders>
              <w:top w:val="nil"/>
              <w:left w:val="nil"/>
              <w:bottom w:val="nil"/>
              <w:right w:val="nil"/>
            </w:tcBorders>
          </w:tcPr>
          <w:p w14:paraId="47848FDD" w14:textId="77777777" w:rsidR="009C38E1" w:rsidRPr="00DF2323" w:rsidRDefault="009C38E1" w:rsidP="00BE0479">
            <w:pPr>
              <w:spacing w:after="40"/>
              <w:rPr>
                <w:rFonts w:eastAsia="Times New Roman"/>
                <w:b/>
                <w:bCs/>
                <w:sz w:val="20"/>
                <w:szCs w:val="20"/>
                <w:lang w:eastAsia="en-US"/>
              </w:rPr>
            </w:pPr>
            <w:r w:rsidRPr="00DF2323">
              <w:rPr>
                <w:rFonts w:eastAsia="Times New Roman"/>
                <w:b/>
                <w:bCs/>
                <w:iCs/>
                <w:sz w:val="20"/>
                <w:szCs w:val="20"/>
                <w:lang w:eastAsia="en-US"/>
              </w:rPr>
              <w:t>JMPR (2003a, b)</w:t>
            </w:r>
          </w:p>
          <w:p w14:paraId="438FF311" w14:textId="77777777" w:rsidR="009C38E1" w:rsidRPr="00DF2323" w:rsidRDefault="009C38E1" w:rsidP="00BE0479">
            <w:pPr>
              <w:spacing w:after="40"/>
              <w:rPr>
                <w:rFonts w:eastAsia="Times New Roman"/>
                <w:sz w:val="20"/>
                <w:szCs w:val="20"/>
                <w:lang w:eastAsia="en-US"/>
              </w:rPr>
            </w:pPr>
            <w:r w:rsidRPr="00DF2323">
              <w:rPr>
                <w:rFonts w:eastAsia="Times New Roman"/>
                <w:sz w:val="20"/>
                <w:szCs w:val="20"/>
                <w:lang w:eastAsia="en-US"/>
              </w:rPr>
              <w:t>The primary target organ of paraquat is the lungs.</w:t>
            </w:r>
            <w:r w:rsidRPr="00DF2323">
              <w:t xml:space="preserve"> </w:t>
            </w:r>
            <w:r w:rsidRPr="00DF2323">
              <w:rPr>
                <w:rFonts w:eastAsia="Times New Roman"/>
                <w:sz w:val="20"/>
                <w:szCs w:val="20"/>
                <w:lang w:eastAsia="en-US"/>
              </w:rPr>
              <w:t>The main molecular mechanism of paraquat toxicity in the lungs is based on redox cycling and intracellular oxidative stress generation.</w:t>
            </w:r>
          </w:p>
        </w:tc>
      </w:tr>
      <w:tr w:rsidR="009C38E1" w:rsidRPr="00DF2323" w14:paraId="6754A65A"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5872A168"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2.1.2</w:t>
            </w:r>
          </w:p>
        </w:tc>
        <w:tc>
          <w:tcPr>
            <w:tcW w:w="1700" w:type="dxa"/>
            <w:tcBorders>
              <w:top w:val="nil"/>
              <w:left w:val="nil"/>
              <w:bottom w:val="nil"/>
              <w:right w:val="nil"/>
            </w:tcBorders>
          </w:tcPr>
          <w:p w14:paraId="40A708B8"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Symptoms of poisoning</w:t>
            </w:r>
          </w:p>
        </w:tc>
        <w:tc>
          <w:tcPr>
            <w:tcW w:w="7175" w:type="dxa"/>
            <w:tcBorders>
              <w:top w:val="nil"/>
              <w:left w:val="nil"/>
              <w:bottom w:val="nil"/>
              <w:right w:val="nil"/>
            </w:tcBorders>
          </w:tcPr>
          <w:p w14:paraId="630650EF" w14:textId="77777777" w:rsidR="009C38E1" w:rsidRPr="00DF2323" w:rsidRDefault="009C38E1" w:rsidP="00BE0479">
            <w:pPr>
              <w:spacing w:after="40"/>
              <w:rPr>
                <w:rFonts w:eastAsia="Times New Roman"/>
                <w:b/>
                <w:bCs/>
                <w:sz w:val="20"/>
                <w:szCs w:val="20"/>
                <w:lang w:eastAsia="en-US"/>
              </w:rPr>
            </w:pPr>
            <w:r w:rsidRPr="00DF2323">
              <w:rPr>
                <w:rFonts w:eastAsia="Times New Roman"/>
                <w:b/>
                <w:bCs/>
                <w:sz w:val="20"/>
                <w:szCs w:val="20"/>
                <w:lang w:eastAsia="en-US"/>
              </w:rPr>
              <w:t>IPCS (1991)</w:t>
            </w:r>
          </w:p>
          <w:p w14:paraId="045BD5B7"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Symptoms are largely dependent on the route of exposure, concentration of paraquat in the product and the amount involved.</w:t>
            </w:r>
          </w:p>
          <w:p w14:paraId="52228EBE"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lastRenderedPageBreak/>
              <w:t>Paraquat is irritating to the eyes, the skin and the respiratory tract. Inhalation of this substance may cause lung oedema. The substance may cause effects on the kidneys, liver, gastrointestinal tract, cardiovascular system and lungs, resulting in impaired functions, tissue lesions including haemorrhage and lung fibrosis. Exposure to high doses (&gt; 40 mg paraquat ion per kg body weight = 20 mL of 20 to 24% concentrate) may result in death.</w:t>
            </w:r>
          </w:p>
          <w:p w14:paraId="12CAF0E2" w14:textId="77777777"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Nearly all products contain an emetic and if this has been ingested vomiting may be severe and repeated.</w:t>
            </w:r>
          </w:p>
          <w:p w14:paraId="0E87CA1F" w14:textId="0B39DE5C"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After ingestion of low dose (&lt;20 mg paraquat ion per kg body weight = 10ml of a 20</w:t>
            </w:r>
            <w:r w:rsidR="00620E06">
              <w:rPr>
                <w:rFonts w:eastAsia="Times New Roman"/>
                <w:sz w:val="20"/>
                <w:szCs w:val="20"/>
                <w:lang w:eastAsia="en-US"/>
              </w:rPr>
              <w:t> </w:t>
            </w:r>
            <w:r w:rsidRPr="00DF2323">
              <w:rPr>
                <w:rFonts w:eastAsia="Times New Roman"/>
                <w:sz w:val="20"/>
                <w:szCs w:val="20"/>
                <w:lang w:eastAsia="en-US"/>
              </w:rPr>
              <w:t>to 24% concentrate), patients are often asymptomatic or may develop vomiting or diarrhoea. Complete recovery occurs but there may be a transient impairment of lung function tests.</w:t>
            </w:r>
          </w:p>
          <w:p w14:paraId="0A61CDB3" w14:textId="26B359F6"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After ingestion of moderate dose (20 to 40 mg paraquat ion per kg body weight =</w:t>
            </w:r>
            <w:r w:rsidR="00B97E7C">
              <w:rPr>
                <w:rFonts w:eastAsia="Times New Roman"/>
                <w:sz w:val="20"/>
                <w:szCs w:val="20"/>
                <w:lang w:eastAsia="en-US"/>
              </w:rPr>
              <w:t> </w:t>
            </w:r>
            <w:r w:rsidRPr="00DF2323">
              <w:rPr>
                <w:rFonts w:eastAsia="Times New Roman"/>
                <w:sz w:val="20"/>
                <w:szCs w:val="20"/>
                <w:lang w:eastAsia="en-US"/>
              </w:rPr>
              <w:t>10</w:t>
            </w:r>
            <w:r w:rsidR="00B97E7C">
              <w:rPr>
                <w:rFonts w:eastAsia="Times New Roman"/>
                <w:sz w:val="20"/>
                <w:szCs w:val="20"/>
                <w:lang w:eastAsia="en-US"/>
              </w:rPr>
              <w:t> </w:t>
            </w:r>
            <w:r w:rsidRPr="00DF2323">
              <w:rPr>
                <w:rFonts w:eastAsia="Times New Roman"/>
                <w:sz w:val="20"/>
                <w:szCs w:val="20"/>
                <w:lang w:eastAsia="en-US"/>
              </w:rPr>
              <w:t>to 20 ml of 20 to 24% concentrate), initially renal and hepatic dysfunction are common. Mucosal damage may become apparent with sloughing of the mucous membranes in the mouth.  Dyspnoea may develop after a few days in the more severe cases.  By about 10 days crepitations and radiological signs of lung damage usually develop.  Renal function often returns to normal at this stage. Massive pulmonary fibrosis manifested by progressive dyspnoea may cause death between 2-4 weeks after ingestion.</w:t>
            </w:r>
          </w:p>
          <w:p w14:paraId="651CF59C" w14:textId="5CB8A16B" w:rsidR="009C38E1" w:rsidRPr="00DF2323" w:rsidRDefault="009C38E1" w:rsidP="00BE0479">
            <w:pPr>
              <w:spacing w:after="120"/>
              <w:rPr>
                <w:rFonts w:eastAsia="Times New Roman"/>
                <w:sz w:val="20"/>
                <w:szCs w:val="20"/>
                <w:lang w:eastAsia="en-US"/>
              </w:rPr>
            </w:pPr>
            <w:r w:rsidRPr="00DF2323">
              <w:rPr>
                <w:rFonts w:eastAsia="Times New Roman"/>
                <w:sz w:val="20"/>
                <w:szCs w:val="20"/>
                <w:lang w:eastAsia="en-US"/>
              </w:rPr>
              <w:t xml:space="preserve">Ingestion of high dose (&gt; 40 mg paraquat ion per kg body weight = 20 ml of 20 to 24% concentrate) result in much more severe toxicity, and death occurs early </w:t>
            </w:r>
            <w:r w:rsidR="00B97E7C">
              <w:rPr>
                <w:rFonts w:eastAsia="Times New Roman"/>
                <w:sz w:val="20"/>
                <w:szCs w:val="20"/>
                <w:lang w:eastAsia="en-US"/>
              </w:rPr>
              <w:br/>
            </w:r>
            <w:r w:rsidRPr="00DF2323">
              <w:rPr>
                <w:rFonts w:eastAsia="Times New Roman"/>
                <w:sz w:val="20"/>
                <w:szCs w:val="20"/>
                <w:lang w:eastAsia="en-US"/>
              </w:rPr>
              <w:t>(24-48 hrs) from multiple organ failure. The initial gastrointestinal symptoms are similar but very severe with considerable fluid loss. Renal failure, cardiac arrythmias, coma, convulsions, oesophageal perforation and death soon follow.</w:t>
            </w:r>
          </w:p>
          <w:p w14:paraId="23075A9C" w14:textId="77777777" w:rsidR="009C38E1" w:rsidRPr="00DF2323" w:rsidRDefault="009C38E1" w:rsidP="00BE0479">
            <w:pPr>
              <w:spacing w:after="120"/>
              <w:rPr>
                <w:sz w:val="20"/>
                <w:szCs w:val="20"/>
                <w:lang w:eastAsia="en-US"/>
              </w:rPr>
            </w:pPr>
            <w:r w:rsidRPr="00DF2323">
              <w:rPr>
                <w:sz w:val="20"/>
                <w:szCs w:val="20"/>
                <w:lang w:eastAsia="en-US"/>
              </w:rPr>
              <w:t>There is no antidote as such available.</w:t>
            </w:r>
          </w:p>
          <w:p w14:paraId="6C2BCC97" w14:textId="77777777" w:rsidR="009C38E1" w:rsidRPr="00DF2323" w:rsidRDefault="009C38E1" w:rsidP="00BE0479">
            <w:pPr>
              <w:spacing w:after="40"/>
              <w:rPr>
                <w:rFonts w:eastAsia="Times New Roman"/>
                <w:sz w:val="20"/>
                <w:szCs w:val="20"/>
                <w:lang w:eastAsia="en-US"/>
              </w:rPr>
            </w:pPr>
            <w:r w:rsidRPr="00DF2323">
              <w:rPr>
                <w:rFonts w:eastAsia="Times New Roman"/>
                <w:sz w:val="20"/>
                <w:szCs w:val="20"/>
                <w:lang w:eastAsia="en-US"/>
              </w:rPr>
              <w:t>Overall mortality rate of accidental poisoning is estimated to be 33 - 50%.</w:t>
            </w:r>
          </w:p>
        </w:tc>
      </w:tr>
      <w:tr w:rsidR="009C38E1" w:rsidRPr="00DF2323" w14:paraId="6C079E1A"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57EC14F"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lastRenderedPageBreak/>
              <w:t>2.1.3</w:t>
            </w:r>
          </w:p>
        </w:tc>
        <w:tc>
          <w:tcPr>
            <w:tcW w:w="1700" w:type="dxa"/>
            <w:tcBorders>
              <w:top w:val="nil"/>
              <w:left w:val="nil"/>
              <w:bottom w:val="nil"/>
              <w:right w:val="nil"/>
            </w:tcBorders>
          </w:tcPr>
          <w:p w14:paraId="5ACABBC7" w14:textId="77777777" w:rsidR="009C38E1" w:rsidRPr="00DF2323" w:rsidRDefault="009C38E1" w:rsidP="00BE0479">
            <w:pPr>
              <w:keepNext/>
              <w:rPr>
                <w:rFonts w:eastAsia="Times New Roman"/>
                <w:b/>
                <w:bCs/>
                <w:sz w:val="20"/>
                <w:szCs w:val="20"/>
                <w:lang w:eastAsia="en-US"/>
              </w:rPr>
            </w:pPr>
            <w:r w:rsidRPr="00DF2323">
              <w:rPr>
                <w:rFonts w:eastAsia="Times New Roman"/>
                <w:b/>
                <w:bCs/>
                <w:sz w:val="20"/>
                <w:szCs w:val="20"/>
                <w:lang w:eastAsia="en-US"/>
              </w:rPr>
              <w:t>Absorption, distribution, excretion and metabolism in mammals</w:t>
            </w:r>
          </w:p>
        </w:tc>
        <w:tc>
          <w:tcPr>
            <w:tcW w:w="7175" w:type="dxa"/>
            <w:tcBorders>
              <w:top w:val="nil"/>
              <w:left w:val="nil"/>
              <w:bottom w:val="nil"/>
              <w:right w:val="nil"/>
            </w:tcBorders>
          </w:tcPr>
          <w:p w14:paraId="2E92B775" w14:textId="77777777" w:rsidR="009C38E1" w:rsidRPr="00DF2323" w:rsidRDefault="009C38E1" w:rsidP="00BE0479">
            <w:pPr>
              <w:keepNext/>
              <w:spacing w:after="120"/>
              <w:rPr>
                <w:rFonts w:eastAsia="Times New Roman"/>
                <w:b/>
                <w:bCs/>
                <w:sz w:val="20"/>
                <w:szCs w:val="20"/>
                <w:lang w:eastAsia="en-US"/>
              </w:rPr>
            </w:pPr>
            <w:r w:rsidRPr="00DF2323">
              <w:rPr>
                <w:rFonts w:eastAsia="Times New Roman"/>
                <w:b/>
                <w:bCs/>
                <w:iCs/>
                <w:sz w:val="20"/>
                <w:szCs w:val="20"/>
                <w:lang w:eastAsia="en-US"/>
              </w:rPr>
              <w:t xml:space="preserve">JMPR (2003a, b), </w:t>
            </w:r>
            <w:r w:rsidRPr="00DF2323">
              <w:rPr>
                <w:rFonts w:eastAsia="Times New Roman"/>
                <w:b/>
                <w:bCs/>
                <w:sz w:val="20"/>
                <w:szCs w:val="20"/>
                <w:lang w:eastAsia="en-US"/>
              </w:rPr>
              <w:t>IPCS (1991)</w:t>
            </w:r>
          </w:p>
          <w:p w14:paraId="4D94C823"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Rate and extent of oral absorption: poor.</w:t>
            </w:r>
          </w:p>
          <w:p w14:paraId="5FCECF3D"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Dermal absorption: Poor; 0.25-0.29% absorbed (humans).</w:t>
            </w:r>
          </w:p>
          <w:p w14:paraId="1BF13FEA"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Distribution:</w:t>
            </w:r>
            <w:r w:rsidRPr="00DF2323">
              <w:t xml:space="preserve"> </w:t>
            </w:r>
            <w:r w:rsidRPr="00DF2323">
              <w:rPr>
                <w:rFonts w:eastAsia="Times New Roman"/>
                <w:sz w:val="20"/>
                <w:szCs w:val="20"/>
                <w:lang w:eastAsia="en-US"/>
              </w:rPr>
              <w:t>Highest concentrations found in the lungs, liver and kidneys.</w:t>
            </w:r>
          </w:p>
          <w:p w14:paraId="112DA4F0"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Potential for accumulation: No potential for passive accumulation; active uptake into type II pneumocytes.</w:t>
            </w:r>
          </w:p>
          <w:p w14:paraId="1F1D561E"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Rate and extent of excretion: Rapid, about 64% in 24 h; 10% in urine, the remainder in the faeces; none is found in bile.</w:t>
            </w:r>
          </w:p>
          <w:p w14:paraId="437D88F3"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Metabolism: Some metabolism (&lt;5%) in gut (probably microbial); paraquat is largely excreted unchanged.</w:t>
            </w:r>
          </w:p>
          <w:p w14:paraId="41FBBA21"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Toxicologically significant compounds: parent compound.</w:t>
            </w:r>
          </w:p>
          <w:p w14:paraId="71205462" w14:textId="77777777" w:rsidR="009C38E1" w:rsidRPr="00DF2323" w:rsidRDefault="009C38E1" w:rsidP="00BE0479">
            <w:pPr>
              <w:keepNext/>
              <w:spacing w:after="120"/>
              <w:rPr>
                <w:rFonts w:eastAsia="Times New Roman"/>
                <w:sz w:val="20"/>
                <w:szCs w:val="20"/>
                <w:lang w:eastAsia="en-US"/>
              </w:rPr>
            </w:pPr>
            <w:r w:rsidRPr="00DF2323">
              <w:rPr>
                <w:rFonts w:eastAsia="Times New Roman"/>
                <w:sz w:val="20"/>
                <w:szCs w:val="20"/>
                <w:lang w:eastAsia="en-US"/>
              </w:rPr>
              <w:t xml:space="preserve">The pharmacokinetics and metabolism of paraquat have been the subject of many studies. Paraquat is not well-absorbed when administered orally. After oral administration of radiolabelled paraquat to rats, more than half the dose (60-70%) appeared in the faeces and a small proportion (10-20%) in the urine. In studies involving single or repeated doses, excretion of the radiolabel was rapid; about 90% was excreted within 72 h. </w:t>
            </w:r>
          </w:p>
          <w:p w14:paraId="00522FFD" w14:textId="77777777" w:rsidR="009C38E1" w:rsidRPr="00DF2323" w:rsidRDefault="009C38E1" w:rsidP="00BE0479">
            <w:pPr>
              <w:keepNext/>
              <w:spacing w:after="120"/>
              <w:rPr>
                <w:rFonts w:eastAsia="Times New Roman"/>
                <w:i/>
                <w:sz w:val="20"/>
                <w:szCs w:val="20"/>
                <w:lang w:eastAsia="en-US"/>
              </w:rPr>
            </w:pPr>
            <w:r w:rsidRPr="00DF2323">
              <w:rPr>
                <w:rFonts w:eastAsia="Times New Roman"/>
                <w:sz w:val="20"/>
                <w:szCs w:val="20"/>
                <w:lang w:eastAsia="en-US"/>
              </w:rPr>
              <w:t xml:space="preserve">Paraquat is largely eliminated unchanged; in rats, approximately 90-95% of radiolabelled paraquat in urine was excreted as the parent compound. </w:t>
            </w:r>
          </w:p>
        </w:tc>
      </w:tr>
      <w:tr w:rsidR="009C38E1" w:rsidRPr="00DF2323" w14:paraId="53F8295D"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B493731" w14:textId="77777777" w:rsidR="009C38E1" w:rsidRPr="00DF2323" w:rsidRDefault="009C38E1" w:rsidP="0006498F">
            <w:pPr>
              <w:keepNext/>
              <w:keepLines/>
              <w:rPr>
                <w:rFonts w:eastAsia="Times New Roman"/>
                <w:b/>
                <w:sz w:val="20"/>
                <w:szCs w:val="20"/>
                <w:lang w:eastAsia="en-US"/>
              </w:rPr>
            </w:pPr>
            <w:r w:rsidRPr="00DF2323">
              <w:rPr>
                <w:rFonts w:eastAsia="Times New Roman"/>
                <w:b/>
                <w:sz w:val="20"/>
                <w:szCs w:val="20"/>
                <w:lang w:eastAsia="en-US"/>
              </w:rPr>
              <w:lastRenderedPageBreak/>
              <w:t>2.2</w:t>
            </w:r>
          </w:p>
        </w:tc>
        <w:tc>
          <w:tcPr>
            <w:tcW w:w="1700" w:type="dxa"/>
            <w:tcBorders>
              <w:top w:val="nil"/>
              <w:left w:val="nil"/>
              <w:bottom w:val="nil"/>
              <w:right w:val="nil"/>
            </w:tcBorders>
          </w:tcPr>
          <w:p w14:paraId="42D742AB" w14:textId="77777777" w:rsidR="009C38E1" w:rsidRPr="00DF2323" w:rsidRDefault="009C38E1" w:rsidP="0006498F">
            <w:pPr>
              <w:keepNext/>
              <w:keepLines/>
              <w:rPr>
                <w:rFonts w:eastAsia="Times New Roman"/>
                <w:b/>
                <w:bCs/>
                <w:sz w:val="20"/>
                <w:szCs w:val="20"/>
                <w:lang w:eastAsia="en-US"/>
              </w:rPr>
            </w:pPr>
            <w:r w:rsidRPr="00DF2323">
              <w:rPr>
                <w:rFonts w:eastAsia="Times New Roman"/>
                <w:b/>
                <w:bCs/>
                <w:sz w:val="20"/>
                <w:szCs w:val="20"/>
                <w:lang w:eastAsia="en-US"/>
              </w:rPr>
              <w:t>Toxicology studies</w:t>
            </w:r>
          </w:p>
        </w:tc>
        <w:tc>
          <w:tcPr>
            <w:tcW w:w="7175" w:type="dxa"/>
            <w:tcBorders>
              <w:top w:val="nil"/>
              <w:left w:val="nil"/>
              <w:bottom w:val="nil"/>
              <w:right w:val="nil"/>
            </w:tcBorders>
          </w:tcPr>
          <w:p w14:paraId="57257B4D" w14:textId="77777777" w:rsidR="009C38E1" w:rsidRPr="00DF2323" w:rsidRDefault="009C38E1" w:rsidP="0006498F">
            <w:pPr>
              <w:keepNext/>
              <w:keepLines/>
              <w:spacing w:after="40"/>
              <w:rPr>
                <w:rFonts w:eastAsia="Times New Roman"/>
                <w:sz w:val="20"/>
                <w:szCs w:val="20"/>
                <w:lang w:eastAsia="en-US"/>
              </w:rPr>
            </w:pPr>
          </w:p>
        </w:tc>
      </w:tr>
      <w:tr w:rsidR="009C38E1" w:rsidRPr="00DF2323" w14:paraId="328BDA26"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257C04E" w14:textId="77777777" w:rsidR="009C38E1" w:rsidRPr="00DF2323" w:rsidRDefault="009C38E1" w:rsidP="0006498F">
            <w:pPr>
              <w:keepNext/>
              <w:keepLines/>
              <w:rPr>
                <w:rFonts w:eastAsia="Times New Roman"/>
                <w:b/>
                <w:sz w:val="20"/>
                <w:szCs w:val="20"/>
                <w:lang w:eastAsia="en-US"/>
              </w:rPr>
            </w:pPr>
            <w:r w:rsidRPr="00DF2323">
              <w:rPr>
                <w:rFonts w:eastAsia="Times New Roman"/>
                <w:b/>
                <w:sz w:val="20"/>
                <w:szCs w:val="20"/>
                <w:lang w:eastAsia="en-US"/>
              </w:rPr>
              <w:t>2.2.1</w:t>
            </w:r>
          </w:p>
        </w:tc>
        <w:tc>
          <w:tcPr>
            <w:tcW w:w="1700" w:type="dxa"/>
            <w:tcBorders>
              <w:top w:val="nil"/>
              <w:left w:val="nil"/>
              <w:bottom w:val="nil"/>
              <w:right w:val="nil"/>
            </w:tcBorders>
          </w:tcPr>
          <w:p w14:paraId="2B796347" w14:textId="77777777" w:rsidR="009C38E1" w:rsidRPr="00DF2323" w:rsidRDefault="009C38E1" w:rsidP="0006498F">
            <w:pPr>
              <w:keepNext/>
              <w:keepLines/>
              <w:rPr>
                <w:rFonts w:eastAsia="Times New Roman"/>
                <w:b/>
                <w:bCs/>
                <w:sz w:val="20"/>
                <w:szCs w:val="20"/>
                <w:lang w:eastAsia="en-US"/>
              </w:rPr>
            </w:pPr>
            <w:r w:rsidRPr="00DF2323">
              <w:rPr>
                <w:rFonts w:eastAsia="Times New Roman"/>
                <w:b/>
                <w:bCs/>
                <w:sz w:val="20"/>
                <w:szCs w:val="20"/>
                <w:lang w:eastAsia="en-US"/>
              </w:rPr>
              <w:t>Acute toxicity</w:t>
            </w:r>
          </w:p>
        </w:tc>
        <w:tc>
          <w:tcPr>
            <w:tcW w:w="7175" w:type="dxa"/>
            <w:tcBorders>
              <w:top w:val="nil"/>
              <w:left w:val="nil"/>
              <w:bottom w:val="nil"/>
              <w:right w:val="nil"/>
            </w:tcBorders>
          </w:tcPr>
          <w:p w14:paraId="6AE266D8" w14:textId="77777777" w:rsidR="009C38E1" w:rsidRPr="00DF2323" w:rsidRDefault="009C38E1" w:rsidP="0006498F">
            <w:pPr>
              <w:keepNext/>
              <w:keepLines/>
              <w:spacing w:after="40"/>
              <w:rPr>
                <w:rFonts w:eastAsia="Times New Roman"/>
                <w:b/>
                <w:bCs/>
                <w:iCs/>
                <w:sz w:val="20"/>
                <w:szCs w:val="20"/>
                <w:lang w:eastAsia="en-US"/>
              </w:rPr>
            </w:pPr>
            <w:r w:rsidRPr="00DF2323">
              <w:rPr>
                <w:rFonts w:eastAsia="Times New Roman"/>
                <w:b/>
                <w:bCs/>
                <w:iCs/>
                <w:sz w:val="20"/>
                <w:szCs w:val="20"/>
                <w:lang w:eastAsia="en-US"/>
              </w:rPr>
              <w:t>JMPR (2003a, b) EU (2003)</w:t>
            </w:r>
          </w:p>
          <w:p w14:paraId="0A905453" w14:textId="77777777" w:rsidR="009C38E1" w:rsidRPr="00DF2323" w:rsidRDefault="009C38E1" w:rsidP="0006498F">
            <w:pPr>
              <w:keepNext/>
              <w:keepLines/>
              <w:spacing w:after="120"/>
              <w:rPr>
                <w:rFonts w:eastAsia="Times New Roman"/>
                <w:iCs/>
                <w:sz w:val="20"/>
                <w:szCs w:val="20"/>
                <w:lang w:eastAsia="en-US"/>
              </w:rPr>
            </w:pPr>
            <w:r w:rsidRPr="00DF2323">
              <w:rPr>
                <w:rFonts w:eastAsia="Times New Roman"/>
                <w:iCs/>
                <w:sz w:val="20"/>
                <w:szCs w:val="20"/>
                <w:lang w:eastAsia="en-US"/>
              </w:rPr>
              <w:t>Rat, LD</w:t>
            </w:r>
            <w:r w:rsidRPr="00DF2323">
              <w:rPr>
                <w:rFonts w:eastAsia="Times New Roman"/>
                <w:iCs/>
                <w:sz w:val="20"/>
                <w:szCs w:val="20"/>
                <w:vertAlign w:val="subscript"/>
                <w:lang w:eastAsia="en-US"/>
              </w:rPr>
              <w:t>50</w:t>
            </w:r>
            <w:r w:rsidRPr="00DF2323">
              <w:rPr>
                <w:rFonts w:eastAsia="Times New Roman"/>
                <w:iCs/>
                <w:sz w:val="20"/>
                <w:szCs w:val="20"/>
                <w:lang w:eastAsia="en-US"/>
              </w:rPr>
              <w:t>, oral: 100-300 mg paraquat ion/kg bw</w:t>
            </w:r>
          </w:p>
          <w:p w14:paraId="5DFF9E56" w14:textId="77777777" w:rsidR="009C38E1" w:rsidRPr="00DF2323" w:rsidRDefault="009C38E1" w:rsidP="0006498F">
            <w:pPr>
              <w:keepNext/>
              <w:keepLines/>
              <w:spacing w:after="120"/>
              <w:rPr>
                <w:sz w:val="20"/>
                <w:szCs w:val="20"/>
              </w:rPr>
            </w:pPr>
            <w:r w:rsidRPr="00DF2323">
              <w:rPr>
                <w:sz w:val="20"/>
                <w:szCs w:val="20"/>
              </w:rPr>
              <w:t>Guinea pig LD</w:t>
            </w:r>
            <w:r w:rsidRPr="00DF2323">
              <w:rPr>
                <w:sz w:val="20"/>
                <w:szCs w:val="20"/>
                <w:vertAlign w:val="subscript"/>
              </w:rPr>
              <w:t>50</w:t>
            </w:r>
            <w:r w:rsidRPr="00DF2323">
              <w:rPr>
                <w:sz w:val="20"/>
                <w:szCs w:val="20"/>
              </w:rPr>
              <w:t xml:space="preserve"> oral: 22-30 mg</w:t>
            </w:r>
            <w:r w:rsidRPr="00DF2323">
              <w:rPr>
                <w:rFonts w:eastAsia="Times New Roman"/>
                <w:iCs/>
                <w:sz w:val="20"/>
                <w:szCs w:val="20"/>
                <w:lang w:eastAsia="en-US"/>
              </w:rPr>
              <w:t xml:space="preserve"> paraquat ion</w:t>
            </w:r>
            <w:r w:rsidRPr="00DF2323">
              <w:rPr>
                <w:sz w:val="20"/>
                <w:szCs w:val="20"/>
              </w:rPr>
              <w:t>/kg bw</w:t>
            </w:r>
          </w:p>
          <w:p w14:paraId="326A2D33" w14:textId="77777777" w:rsidR="009C38E1" w:rsidRPr="00DF2323" w:rsidRDefault="009C38E1" w:rsidP="0006498F">
            <w:pPr>
              <w:keepNext/>
              <w:keepLines/>
              <w:spacing w:after="120"/>
              <w:rPr>
                <w:sz w:val="20"/>
                <w:szCs w:val="20"/>
              </w:rPr>
            </w:pPr>
            <w:r w:rsidRPr="00DF2323">
              <w:rPr>
                <w:sz w:val="20"/>
                <w:szCs w:val="20"/>
              </w:rPr>
              <w:t>Monkey LD</w:t>
            </w:r>
            <w:r w:rsidRPr="00DF2323">
              <w:rPr>
                <w:sz w:val="20"/>
                <w:szCs w:val="20"/>
                <w:vertAlign w:val="subscript"/>
              </w:rPr>
              <w:t>50</w:t>
            </w:r>
            <w:r w:rsidRPr="00DF2323">
              <w:rPr>
                <w:sz w:val="20"/>
                <w:szCs w:val="20"/>
              </w:rPr>
              <w:t xml:space="preserve"> oral: 50-70 mg</w:t>
            </w:r>
            <w:r w:rsidRPr="00DF2323">
              <w:rPr>
                <w:rFonts w:eastAsia="Times New Roman"/>
                <w:iCs/>
                <w:sz w:val="20"/>
                <w:szCs w:val="20"/>
                <w:lang w:eastAsia="en-US"/>
              </w:rPr>
              <w:t xml:space="preserve"> paraquat ion/</w:t>
            </w:r>
            <w:r w:rsidRPr="00DF2323">
              <w:rPr>
                <w:sz w:val="20"/>
                <w:szCs w:val="20"/>
              </w:rPr>
              <w:t xml:space="preserve"> kg bw  </w:t>
            </w:r>
          </w:p>
          <w:p w14:paraId="2E54BCD8" w14:textId="77777777" w:rsidR="009C38E1" w:rsidRPr="00DF2323" w:rsidRDefault="009C38E1" w:rsidP="0006498F">
            <w:pPr>
              <w:keepNext/>
              <w:keepLines/>
              <w:spacing w:after="120"/>
              <w:rPr>
                <w:rFonts w:eastAsia="Times New Roman"/>
                <w:iCs/>
                <w:sz w:val="20"/>
                <w:szCs w:val="20"/>
                <w:lang w:eastAsia="en-US"/>
              </w:rPr>
            </w:pPr>
            <w:r w:rsidRPr="00DF2323">
              <w:rPr>
                <w:rFonts w:eastAsia="Times New Roman"/>
                <w:iCs/>
                <w:sz w:val="20"/>
                <w:szCs w:val="20"/>
                <w:lang w:eastAsia="en-US"/>
              </w:rPr>
              <w:t>Rat, LD</w:t>
            </w:r>
            <w:r w:rsidRPr="00DF2323">
              <w:rPr>
                <w:rFonts w:eastAsia="Times New Roman"/>
                <w:iCs/>
                <w:sz w:val="20"/>
                <w:szCs w:val="20"/>
                <w:vertAlign w:val="subscript"/>
                <w:lang w:eastAsia="en-US"/>
              </w:rPr>
              <w:t>50</w:t>
            </w:r>
            <w:r w:rsidRPr="00DF2323">
              <w:rPr>
                <w:rFonts w:eastAsia="Times New Roman"/>
                <w:iCs/>
                <w:sz w:val="20"/>
                <w:szCs w:val="20"/>
                <w:lang w:eastAsia="en-US"/>
              </w:rPr>
              <w:t xml:space="preserve">, dermal: &gt; 660 mg of paraquat ion/ kg bw </w:t>
            </w:r>
          </w:p>
          <w:p w14:paraId="03DD709B" w14:textId="77777777" w:rsidR="009C38E1" w:rsidRPr="00DF2323" w:rsidRDefault="009C38E1" w:rsidP="0006498F">
            <w:pPr>
              <w:keepNext/>
              <w:keepLines/>
              <w:spacing w:after="120"/>
              <w:rPr>
                <w:rFonts w:eastAsia="Times New Roman"/>
                <w:iCs/>
                <w:sz w:val="20"/>
                <w:szCs w:val="20"/>
                <w:lang w:eastAsia="en-US"/>
              </w:rPr>
            </w:pPr>
            <w:r w:rsidRPr="00DF2323">
              <w:rPr>
                <w:rFonts w:eastAsia="Times New Roman"/>
                <w:iCs/>
                <w:sz w:val="20"/>
                <w:szCs w:val="20"/>
                <w:lang w:eastAsia="en-US"/>
              </w:rPr>
              <w:t>Rat, LC</w:t>
            </w:r>
            <w:r w:rsidRPr="00DF2323">
              <w:rPr>
                <w:rFonts w:eastAsia="Times New Roman"/>
                <w:iCs/>
                <w:sz w:val="20"/>
                <w:szCs w:val="20"/>
                <w:vertAlign w:val="subscript"/>
                <w:lang w:eastAsia="en-US"/>
              </w:rPr>
              <w:t>50</w:t>
            </w:r>
            <w:r w:rsidRPr="00DF2323">
              <w:rPr>
                <w:rFonts w:eastAsia="Times New Roman"/>
                <w:iCs/>
                <w:sz w:val="20"/>
                <w:szCs w:val="20"/>
                <w:lang w:eastAsia="en-US"/>
              </w:rPr>
              <w:t>, inhalation: 0.0006-0.0014 mg of paraquat ion/L (4 h exposure)</w:t>
            </w:r>
          </w:p>
          <w:p w14:paraId="61359E62" w14:textId="77777777" w:rsidR="009C38E1" w:rsidRPr="00DF2323" w:rsidRDefault="009C38E1" w:rsidP="0006498F">
            <w:pPr>
              <w:keepNext/>
              <w:keepLines/>
              <w:spacing w:after="120"/>
              <w:rPr>
                <w:rFonts w:eastAsia="Times New Roman"/>
                <w:iCs/>
                <w:sz w:val="20"/>
                <w:szCs w:val="20"/>
                <w:lang w:eastAsia="en-US"/>
              </w:rPr>
            </w:pPr>
            <w:r w:rsidRPr="00DF2323">
              <w:rPr>
                <w:rFonts w:eastAsia="Times New Roman"/>
                <w:iCs/>
                <w:sz w:val="20"/>
                <w:szCs w:val="20"/>
                <w:lang w:eastAsia="en-US"/>
              </w:rPr>
              <w:t>Rabbit, skin irritation: Mild</w:t>
            </w:r>
          </w:p>
          <w:p w14:paraId="6109F8A8" w14:textId="77777777" w:rsidR="009C38E1" w:rsidRPr="00DF2323" w:rsidRDefault="009C38E1" w:rsidP="0006498F">
            <w:pPr>
              <w:keepNext/>
              <w:keepLines/>
              <w:spacing w:after="120"/>
              <w:rPr>
                <w:rFonts w:eastAsia="Times New Roman"/>
                <w:iCs/>
                <w:sz w:val="20"/>
                <w:szCs w:val="20"/>
                <w:lang w:eastAsia="en-US"/>
              </w:rPr>
            </w:pPr>
            <w:r w:rsidRPr="00DF2323">
              <w:rPr>
                <w:rFonts w:eastAsia="Times New Roman"/>
                <w:iCs/>
                <w:sz w:val="20"/>
                <w:szCs w:val="20"/>
                <w:lang w:eastAsia="en-US"/>
              </w:rPr>
              <w:t>Rabbit, eye irritation: Moderate</w:t>
            </w:r>
          </w:p>
          <w:p w14:paraId="569523D1" w14:textId="77777777" w:rsidR="009C38E1" w:rsidRPr="00DF2323" w:rsidRDefault="009C38E1" w:rsidP="0006498F">
            <w:pPr>
              <w:keepNext/>
              <w:keepLines/>
              <w:spacing w:after="120"/>
              <w:rPr>
                <w:rFonts w:eastAsia="Times New Roman"/>
                <w:i/>
                <w:sz w:val="20"/>
                <w:szCs w:val="20"/>
                <w:lang w:eastAsia="en-US"/>
              </w:rPr>
            </w:pPr>
            <w:r w:rsidRPr="00DF2323">
              <w:rPr>
                <w:rFonts w:eastAsia="Times New Roman"/>
                <w:iCs/>
                <w:sz w:val="20"/>
                <w:szCs w:val="20"/>
                <w:lang w:eastAsia="en-US"/>
              </w:rPr>
              <w:t>Not sensitizing (Magnusson and Kligman test)</w:t>
            </w:r>
          </w:p>
        </w:tc>
      </w:tr>
      <w:tr w:rsidR="009C38E1" w:rsidRPr="00DF2323" w14:paraId="46FB08E8"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A3CB9C0"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2.2.2</w:t>
            </w:r>
          </w:p>
        </w:tc>
        <w:tc>
          <w:tcPr>
            <w:tcW w:w="1700" w:type="dxa"/>
            <w:tcBorders>
              <w:top w:val="nil"/>
              <w:left w:val="nil"/>
              <w:bottom w:val="nil"/>
              <w:right w:val="nil"/>
            </w:tcBorders>
          </w:tcPr>
          <w:p w14:paraId="46AEBB57"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Short term toxicity</w:t>
            </w:r>
          </w:p>
        </w:tc>
        <w:tc>
          <w:tcPr>
            <w:tcW w:w="7175" w:type="dxa"/>
            <w:tcBorders>
              <w:top w:val="nil"/>
              <w:left w:val="nil"/>
              <w:bottom w:val="nil"/>
              <w:right w:val="nil"/>
            </w:tcBorders>
          </w:tcPr>
          <w:p w14:paraId="3855C21C"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(2003a, b)</w:t>
            </w:r>
          </w:p>
          <w:p w14:paraId="42ACC638" w14:textId="60349E08" w:rsidR="009C38E1" w:rsidRPr="00DF2323" w:rsidRDefault="009C38E1" w:rsidP="00D046D0">
            <w:pPr>
              <w:spacing w:after="120"/>
              <w:rPr>
                <w:rFonts w:eastAsia="Times New Roman"/>
                <w:iCs/>
                <w:sz w:val="20"/>
                <w:szCs w:val="20"/>
                <w:lang w:eastAsia="en-US"/>
              </w:rPr>
            </w:pPr>
            <w:r w:rsidRPr="00DF2323">
              <w:rPr>
                <w:rFonts w:eastAsia="Times New Roman"/>
                <w:iCs/>
                <w:sz w:val="20"/>
                <w:szCs w:val="20"/>
                <w:lang w:eastAsia="en-US"/>
              </w:rPr>
              <w:t>Target organ/critical effect: Lung toxicity. Alveolar damage by oral route. Upper respiratory tract damage by inhalation.</w:t>
            </w:r>
          </w:p>
          <w:p w14:paraId="793D1B9F"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Lowest relevant oral NOAEL:</w:t>
            </w:r>
          </w:p>
          <w:p w14:paraId="38599554"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 xml:space="preserve"> 0.55 mg of paraquat ion/kg bw per day (13-week study in dogs);</w:t>
            </w:r>
          </w:p>
          <w:p w14:paraId="5FC28703" w14:textId="77777777" w:rsidR="009C38E1" w:rsidRPr="00DF2323" w:rsidRDefault="009C38E1" w:rsidP="00D046D0">
            <w:pPr>
              <w:spacing w:after="120"/>
              <w:rPr>
                <w:rFonts w:eastAsia="Times New Roman"/>
                <w:iCs/>
                <w:sz w:val="20"/>
                <w:szCs w:val="20"/>
                <w:lang w:eastAsia="en-US"/>
              </w:rPr>
            </w:pPr>
            <w:r w:rsidRPr="00DF2323">
              <w:rPr>
                <w:rFonts w:eastAsia="Times New Roman"/>
                <w:iCs/>
                <w:sz w:val="20"/>
                <w:szCs w:val="20"/>
                <w:lang w:eastAsia="en-US"/>
              </w:rPr>
              <w:t xml:space="preserve"> 0.45 mg of paraquat ion/kg bw per day (1-year study in dogs) on the basis of signs of respiratory dysfunction and histopathological changes at higher doses.</w:t>
            </w:r>
          </w:p>
          <w:p w14:paraId="72D8C769" w14:textId="77777777" w:rsidR="009C38E1" w:rsidRPr="00DF2323" w:rsidRDefault="009C38E1" w:rsidP="00D046D0">
            <w:pPr>
              <w:spacing w:after="120"/>
              <w:rPr>
                <w:rFonts w:eastAsia="Times New Roman"/>
                <w:iCs/>
                <w:sz w:val="20"/>
                <w:szCs w:val="20"/>
                <w:lang w:eastAsia="en-US"/>
              </w:rPr>
            </w:pPr>
            <w:r w:rsidRPr="00DF2323">
              <w:rPr>
                <w:rFonts w:eastAsia="Times New Roman"/>
                <w:iCs/>
                <w:sz w:val="20"/>
                <w:szCs w:val="20"/>
                <w:lang w:eastAsia="en-US"/>
              </w:rPr>
              <w:t>Lowest relevant dermal NOAEL: 1.15 mg of paraquat ion/kg bw per day (21-day study in rabbits) on the basis of erythema, erosion, ulceration, exudate, acanthosis and chronic inflammatory change. No systemic toxicity was observed in the study at the highest dose tested (6 mg paraquat ion/kg/day).</w:t>
            </w:r>
          </w:p>
          <w:p w14:paraId="64D47E38" w14:textId="77777777" w:rsidR="009C38E1" w:rsidRPr="00DF2323" w:rsidRDefault="009C38E1" w:rsidP="00D046D0">
            <w:pPr>
              <w:spacing w:after="120"/>
              <w:rPr>
                <w:rFonts w:eastAsia="Times New Roman"/>
                <w:i/>
                <w:sz w:val="20"/>
                <w:szCs w:val="20"/>
                <w:lang w:eastAsia="en-US"/>
              </w:rPr>
            </w:pPr>
            <w:r w:rsidRPr="00DF2323">
              <w:rPr>
                <w:rFonts w:eastAsia="Times New Roman"/>
                <w:iCs/>
                <w:sz w:val="20"/>
                <w:szCs w:val="20"/>
                <w:lang w:eastAsia="en-US"/>
              </w:rPr>
              <w:t>Lowest relevant inhalation NOAEC: 0.00001 mg/L (21-day inhalation study in rats using, an aerosol of technical-grade paraquat) on the basis of histopathological changes in the upper respiratory.</w:t>
            </w:r>
          </w:p>
        </w:tc>
      </w:tr>
      <w:tr w:rsidR="009C38E1" w:rsidRPr="00DF2323" w14:paraId="790E8713"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27917410"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2.2.3</w:t>
            </w:r>
          </w:p>
        </w:tc>
        <w:tc>
          <w:tcPr>
            <w:tcW w:w="1700" w:type="dxa"/>
            <w:tcBorders>
              <w:top w:val="nil"/>
              <w:left w:val="nil"/>
              <w:bottom w:val="nil"/>
              <w:right w:val="nil"/>
            </w:tcBorders>
          </w:tcPr>
          <w:p w14:paraId="121E641B"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Genotoxicity (including mutagenicity)</w:t>
            </w:r>
          </w:p>
        </w:tc>
        <w:tc>
          <w:tcPr>
            <w:tcW w:w="7175" w:type="dxa"/>
            <w:tcBorders>
              <w:top w:val="nil"/>
              <w:left w:val="nil"/>
              <w:bottom w:val="nil"/>
              <w:right w:val="nil"/>
            </w:tcBorders>
          </w:tcPr>
          <w:p w14:paraId="32F30E91"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(2003a, b)</w:t>
            </w:r>
          </w:p>
          <w:p w14:paraId="31829157" w14:textId="77777777" w:rsidR="009C38E1" w:rsidRPr="00DF2323" w:rsidRDefault="009C38E1" w:rsidP="008C6056">
            <w:pPr>
              <w:spacing w:after="120"/>
              <w:rPr>
                <w:rFonts w:eastAsia="Times New Roman"/>
                <w:sz w:val="20"/>
                <w:szCs w:val="20"/>
                <w:lang w:eastAsia="en-US"/>
              </w:rPr>
            </w:pPr>
            <w:r w:rsidRPr="00DF2323">
              <w:rPr>
                <w:rFonts w:eastAsia="Times New Roman"/>
                <w:sz w:val="20"/>
                <w:szCs w:val="20"/>
                <w:lang w:eastAsia="en-US"/>
              </w:rPr>
              <w:t>Paraquat has been tested extensively in a broad range of assays for genotoxicity in vitro and in vivo, with mixed results. Studies more commonly gave positive results when DNA damage or clastogenicity were the endpoints. Paraquat is known to produce active oxygen species and the available evidence indicates that it is probably this property that is responsible for its genotoxicity. Consequently, there is a threshold below which genotoxic activity will not be evident, provided that normally functioning antioxidant defence mechanisms have not been overwhelmed. Paraquat is unlikely to pose a genotoxic risk to humans.</w:t>
            </w:r>
          </w:p>
        </w:tc>
      </w:tr>
      <w:tr w:rsidR="009C38E1" w:rsidRPr="00DF2323" w14:paraId="1D412E91"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D60E741"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2.2.4</w:t>
            </w:r>
          </w:p>
        </w:tc>
        <w:tc>
          <w:tcPr>
            <w:tcW w:w="1700" w:type="dxa"/>
            <w:tcBorders>
              <w:top w:val="nil"/>
              <w:left w:val="nil"/>
              <w:bottom w:val="nil"/>
              <w:right w:val="nil"/>
            </w:tcBorders>
          </w:tcPr>
          <w:p w14:paraId="49946C20"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Long term toxicity and carcinogenicity</w:t>
            </w:r>
          </w:p>
        </w:tc>
        <w:tc>
          <w:tcPr>
            <w:tcW w:w="7175" w:type="dxa"/>
            <w:tcBorders>
              <w:top w:val="nil"/>
              <w:left w:val="nil"/>
              <w:bottom w:val="nil"/>
              <w:right w:val="nil"/>
            </w:tcBorders>
          </w:tcPr>
          <w:p w14:paraId="5E04D45A"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(2003 a, b)</w:t>
            </w:r>
          </w:p>
          <w:p w14:paraId="7A535A88" w14:textId="77777777" w:rsidR="009C38E1" w:rsidRPr="00DF2323" w:rsidRDefault="009C38E1" w:rsidP="0027247A">
            <w:pPr>
              <w:spacing w:after="120"/>
              <w:rPr>
                <w:rFonts w:eastAsia="Times New Roman"/>
                <w:sz w:val="20"/>
                <w:szCs w:val="20"/>
                <w:lang w:eastAsia="en-US"/>
              </w:rPr>
            </w:pPr>
            <w:r w:rsidRPr="00DF2323">
              <w:rPr>
                <w:rFonts w:eastAsia="Times New Roman"/>
                <w:sz w:val="20"/>
                <w:szCs w:val="20"/>
                <w:lang w:eastAsia="en-US"/>
              </w:rPr>
              <w:t>Target organ/critical effect: The predominant feature of exposure to repeated doses of paraquat was lung toxicity. Renal toxicity (proximal tubular damage) and toxicity to the liver (jaundice and elevations of enzyme activity) were also found.</w:t>
            </w:r>
          </w:p>
          <w:p w14:paraId="2454C798" w14:textId="77777777" w:rsidR="009C38E1" w:rsidRPr="00DF2323" w:rsidRDefault="009C38E1" w:rsidP="00BE0479">
            <w:pPr>
              <w:autoSpaceDE w:val="0"/>
              <w:autoSpaceDN w:val="0"/>
              <w:adjustRightInd w:val="0"/>
              <w:rPr>
                <w:rFonts w:eastAsia="Times New Roman"/>
                <w:sz w:val="20"/>
                <w:szCs w:val="20"/>
                <w:lang w:eastAsia="en-US"/>
              </w:rPr>
            </w:pPr>
            <w:r w:rsidRPr="00DF2323">
              <w:rPr>
                <w:rFonts w:eastAsia="Times New Roman"/>
                <w:sz w:val="20"/>
                <w:szCs w:val="20"/>
                <w:lang w:eastAsia="en-US"/>
              </w:rPr>
              <w:t xml:space="preserve">Lowest relevant NOAEL: </w:t>
            </w:r>
          </w:p>
          <w:p w14:paraId="6379C817" w14:textId="77777777" w:rsidR="009C38E1" w:rsidRPr="00DF2323" w:rsidRDefault="009C38E1" w:rsidP="00BE0479">
            <w:pPr>
              <w:autoSpaceDE w:val="0"/>
              <w:autoSpaceDN w:val="0"/>
              <w:adjustRightInd w:val="0"/>
              <w:rPr>
                <w:rFonts w:eastAsia="Times New Roman"/>
                <w:sz w:val="20"/>
                <w:szCs w:val="20"/>
                <w:lang w:eastAsia="en-US"/>
              </w:rPr>
            </w:pPr>
            <w:r w:rsidRPr="00DF2323">
              <w:rPr>
                <w:rFonts w:eastAsia="Times New Roman"/>
                <w:sz w:val="20"/>
                <w:szCs w:val="20"/>
                <w:lang w:eastAsia="en-US"/>
              </w:rPr>
              <w:t>0.77 mg of paraquat ion/kg bw per day (2-year study in rats)</w:t>
            </w:r>
            <w:r w:rsidRPr="00DF2323">
              <w:t xml:space="preserve"> </w:t>
            </w:r>
            <w:r w:rsidRPr="00DF2323">
              <w:rPr>
                <w:rFonts w:eastAsia="Times New Roman"/>
                <w:sz w:val="20"/>
                <w:szCs w:val="20"/>
                <w:lang w:eastAsia="en-US"/>
              </w:rPr>
              <w:t>on the basis of histopathology of the lungs.</w:t>
            </w:r>
          </w:p>
          <w:p w14:paraId="1A006C23" w14:textId="77777777" w:rsidR="009C38E1" w:rsidRPr="00DF2323" w:rsidRDefault="009C38E1" w:rsidP="0027247A">
            <w:pPr>
              <w:spacing w:after="120"/>
              <w:rPr>
                <w:rFonts w:eastAsia="Times New Roman"/>
                <w:sz w:val="20"/>
                <w:szCs w:val="20"/>
                <w:lang w:eastAsia="en-US"/>
              </w:rPr>
            </w:pPr>
            <w:r w:rsidRPr="00DF2323">
              <w:rPr>
                <w:rFonts w:eastAsia="Times New Roman"/>
                <w:sz w:val="20"/>
                <w:szCs w:val="20"/>
                <w:lang w:eastAsia="en-US"/>
              </w:rPr>
              <w:t>Because of the nature of the genotoxicity observed and the lack of carcinogenicity in rats and mice, it was concluded that paraquat was unlikely to pose a carcinogenic risk to humans.</w:t>
            </w:r>
          </w:p>
        </w:tc>
      </w:tr>
      <w:tr w:rsidR="009C38E1" w:rsidRPr="00DF2323" w14:paraId="53E4F08C"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68A43ED3" w14:textId="77777777" w:rsidR="009C38E1" w:rsidRPr="00DF2323" w:rsidRDefault="009C38E1" w:rsidP="00BE0479">
            <w:pPr>
              <w:rPr>
                <w:rFonts w:eastAsia="Times New Roman"/>
                <w:b/>
                <w:sz w:val="20"/>
                <w:szCs w:val="20"/>
                <w:lang w:eastAsia="en-US"/>
              </w:rPr>
            </w:pPr>
          </w:p>
        </w:tc>
        <w:tc>
          <w:tcPr>
            <w:tcW w:w="1700" w:type="dxa"/>
            <w:tcBorders>
              <w:top w:val="nil"/>
              <w:left w:val="nil"/>
              <w:bottom w:val="nil"/>
              <w:right w:val="nil"/>
            </w:tcBorders>
          </w:tcPr>
          <w:p w14:paraId="000B0FCE" w14:textId="77777777" w:rsidR="009C38E1" w:rsidRPr="00DF2323" w:rsidRDefault="009C38E1" w:rsidP="00BE0479">
            <w:pPr>
              <w:rPr>
                <w:rFonts w:eastAsia="Times New Roman"/>
                <w:b/>
                <w:bCs/>
                <w:sz w:val="20"/>
                <w:szCs w:val="20"/>
                <w:lang w:eastAsia="en-US"/>
              </w:rPr>
            </w:pPr>
          </w:p>
        </w:tc>
        <w:tc>
          <w:tcPr>
            <w:tcW w:w="7175" w:type="dxa"/>
            <w:tcBorders>
              <w:top w:val="nil"/>
              <w:left w:val="nil"/>
              <w:bottom w:val="nil"/>
              <w:right w:val="nil"/>
            </w:tcBorders>
          </w:tcPr>
          <w:p w14:paraId="4369FB92" w14:textId="77777777" w:rsidR="009C38E1" w:rsidRPr="00DF2323" w:rsidRDefault="009C38E1" w:rsidP="00BE0479">
            <w:pPr>
              <w:spacing w:after="40"/>
              <w:rPr>
                <w:rFonts w:eastAsia="Times New Roman"/>
                <w:b/>
                <w:bCs/>
                <w:iCs/>
                <w:sz w:val="20"/>
                <w:szCs w:val="20"/>
                <w:lang w:eastAsia="en-US"/>
              </w:rPr>
            </w:pPr>
          </w:p>
        </w:tc>
      </w:tr>
      <w:tr w:rsidR="009C38E1" w:rsidRPr="00DF2323" w14:paraId="739F2709"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10ED108A"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2.2.5</w:t>
            </w:r>
          </w:p>
        </w:tc>
        <w:tc>
          <w:tcPr>
            <w:tcW w:w="1700" w:type="dxa"/>
            <w:tcBorders>
              <w:top w:val="nil"/>
              <w:left w:val="nil"/>
              <w:bottom w:val="nil"/>
              <w:right w:val="nil"/>
            </w:tcBorders>
          </w:tcPr>
          <w:p w14:paraId="71A04443"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Effects on reproduction</w:t>
            </w:r>
          </w:p>
        </w:tc>
        <w:tc>
          <w:tcPr>
            <w:tcW w:w="7175" w:type="dxa"/>
            <w:tcBorders>
              <w:top w:val="nil"/>
              <w:left w:val="nil"/>
              <w:bottom w:val="nil"/>
              <w:right w:val="nil"/>
            </w:tcBorders>
          </w:tcPr>
          <w:p w14:paraId="2C67BF25"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(2003 a, b)</w:t>
            </w:r>
          </w:p>
          <w:p w14:paraId="231CAB36"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Reproduction target/critical effect: Lung lesions in parental animals. No specific effects on reproduction. 3-generation study in rats:</w:t>
            </w:r>
          </w:p>
          <w:p w14:paraId="1DE0F602"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Lowest relevant parental NOAEL: 1.67 mg of paraquat ion/kg bw per day</w:t>
            </w:r>
          </w:p>
          <w:p w14:paraId="5A4A77D4"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Lowest relevant reproductive NOAEL: 10 mg of paraquat ion/kg bw per day (highest dietary concentration administered)</w:t>
            </w:r>
          </w:p>
          <w:p w14:paraId="75E3D654" w14:textId="77777777" w:rsidR="009C38E1" w:rsidRPr="00DF2323" w:rsidRDefault="009C38E1" w:rsidP="0027247A">
            <w:pPr>
              <w:spacing w:after="120"/>
              <w:rPr>
                <w:rFonts w:eastAsia="Times New Roman"/>
                <w:iCs/>
                <w:sz w:val="20"/>
                <w:szCs w:val="20"/>
                <w:lang w:eastAsia="en-US"/>
              </w:rPr>
            </w:pPr>
            <w:r w:rsidRPr="00DF2323">
              <w:rPr>
                <w:rFonts w:eastAsia="Times New Roman"/>
                <w:iCs/>
                <w:sz w:val="20"/>
                <w:szCs w:val="20"/>
                <w:lang w:eastAsia="en-US"/>
              </w:rPr>
              <w:t>Lowest relevant off-spring toxicity NOAEL: 5 mg of paraquat ion/kg bw per day</w:t>
            </w:r>
          </w:p>
          <w:p w14:paraId="3008D80A" w14:textId="77777777" w:rsidR="009C38E1" w:rsidRPr="00DF2323" w:rsidRDefault="009C38E1" w:rsidP="002676CE">
            <w:pPr>
              <w:spacing w:after="120"/>
              <w:rPr>
                <w:rFonts w:eastAsia="Times New Roman"/>
                <w:iCs/>
                <w:sz w:val="20"/>
                <w:szCs w:val="20"/>
                <w:lang w:eastAsia="en-US"/>
              </w:rPr>
            </w:pPr>
            <w:r w:rsidRPr="00DF2323">
              <w:rPr>
                <w:rFonts w:eastAsia="Times New Roman"/>
                <w:iCs/>
                <w:sz w:val="20"/>
                <w:szCs w:val="20"/>
                <w:lang w:eastAsia="en-US"/>
              </w:rPr>
              <w:lastRenderedPageBreak/>
              <w:t>Developmental target/critical effect: Not teratogenic; reduced fetus weight and ossification at maternally toxic dose.</w:t>
            </w:r>
          </w:p>
          <w:p w14:paraId="5E54BB37" w14:textId="77777777" w:rsidR="009C38E1" w:rsidRPr="00DF2323" w:rsidRDefault="009C38E1" w:rsidP="002676CE">
            <w:pPr>
              <w:spacing w:after="120"/>
              <w:rPr>
                <w:rFonts w:eastAsia="Times New Roman"/>
                <w:i/>
                <w:sz w:val="20"/>
                <w:szCs w:val="20"/>
                <w:lang w:eastAsia="en-US"/>
              </w:rPr>
            </w:pPr>
            <w:r w:rsidRPr="00DF2323">
              <w:rPr>
                <w:rFonts w:eastAsia="Times New Roman"/>
                <w:iCs/>
                <w:sz w:val="20"/>
                <w:szCs w:val="20"/>
                <w:lang w:eastAsia="en-US"/>
              </w:rPr>
              <w:t>Lowest relevant developmental NOAEL: 1 mg of paraquat ion/kg bw per day (rats)</w:t>
            </w:r>
          </w:p>
        </w:tc>
      </w:tr>
      <w:tr w:rsidR="009C38E1" w:rsidRPr="00DF2323" w14:paraId="411D9EEE"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BA9805A"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lastRenderedPageBreak/>
              <w:t>2.2.6</w:t>
            </w:r>
          </w:p>
        </w:tc>
        <w:tc>
          <w:tcPr>
            <w:tcW w:w="1700" w:type="dxa"/>
            <w:tcBorders>
              <w:top w:val="nil"/>
              <w:left w:val="nil"/>
              <w:bottom w:val="nil"/>
              <w:right w:val="nil"/>
            </w:tcBorders>
          </w:tcPr>
          <w:p w14:paraId="70ADCEBD"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Neurotoxicity/ delayed neurotoxicity, Special studies where available</w:t>
            </w:r>
          </w:p>
        </w:tc>
        <w:tc>
          <w:tcPr>
            <w:tcW w:w="7175" w:type="dxa"/>
            <w:tcBorders>
              <w:top w:val="nil"/>
              <w:left w:val="nil"/>
              <w:bottom w:val="nil"/>
              <w:right w:val="nil"/>
            </w:tcBorders>
          </w:tcPr>
          <w:p w14:paraId="56E124E4"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(2003 a, b)</w:t>
            </w:r>
          </w:p>
          <w:p w14:paraId="16511EF7" w14:textId="77777777" w:rsidR="009C38E1" w:rsidRPr="00DF2323" w:rsidRDefault="009C38E1" w:rsidP="00BE0479">
            <w:pPr>
              <w:spacing w:after="40"/>
              <w:rPr>
                <w:rFonts w:eastAsia="Times New Roman"/>
                <w:iCs/>
                <w:sz w:val="20"/>
                <w:szCs w:val="20"/>
                <w:lang w:eastAsia="en-US"/>
              </w:rPr>
            </w:pPr>
            <w:r w:rsidRPr="00DF2323">
              <w:rPr>
                <w:rFonts w:eastAsia="Times New Roman"/>
                <w:iCs/>
                <w:sz w:val="20"/>
                <w:szCs w:val="20"/>
                <w:lang w:eastAsia="en-US"/>
              </w:rPr>
              <w:t>Not neurotoxic by oral route.</w:t>
            </w:r>
          </w:p>
        </w:tc>
      </w:tr>
      <w:tr w:rsidR="009C38E1" w:rsidRPr="00DF2323" w14:paraId="015D06FD"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2866E8F4"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2.2.7</w:t>
            </w:r>
          </w:p>
        </w:tc>
        <w:tc>
          <w:tcPr>
            <w:tcW w:w="1700" w:type="dxa"/>
            <w:tcBorders>
              <w:top w:val="nil"/>
              <w:left w:val="nil"/>
              <w:bottom w:val="nil"/>
              <w:right w:val="nil"/>
            </w:tcBorders>
          </w:tcPr>
          <w:p w14:paraId="0F039FFA"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Summary of mammalian toxicity and overall evaluation</w:t>
            </w:r>
          </w:p>
        </w:tc>
        <w:tc>
          <w:tcPr>
            <w:tcW w:w="7175" w:type="dxa"/>
            <w:tcBorders>
              <w:top w:val="nil"/>
              <w:left w:val="nil"/>
              <w:bottom w:val="nil"/>
              <w:right w:val="nil"/>
            </w:tcBorders>
          </w:tcPr>
          <w:p w14:paraId="191CEA4D"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The primary target organ of paraquat is the lungs. Symptoms are largely dependent on the route of exposure, concentration of paraquat in the product and the amount involved.</w:t>
            </w:r>
          </w:p>
          <w:p w14:paraId="356F6DEC"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The acute LD</w:t>
            </w:r>
            <w:r w:rsidRPr="00DF2323">
              <w:rPr>
                <w:rFonts w:eastAsia="Times New Roman"/>
                <w:sz w:val="20"/>
                <w:szCs w:val="20"/>
                <w:vertAlign w:val="subscript"/>
                <w:lang w:eastAsia="en-US"/>
              </w:rPr>
              <w:t>50</w:t>
            </w:r>
            <w:r w:rsidRPr="00DF2323">
              <w:rPr>
                <w:rFonts w:eastAsia="Times New Roman"/>
                <w:sz w:val="20"/>
                <w:szCs w:val="20"/>
                <w:lang w:eastAsia="en-US"/>
              </w:rPr>
              <w:t xml:space="preserve"> after oral administration was 290-360 mg/kg bw in mice and 112-350 mg/kg bw in rats, while the guinea pig was more sensitive (LD</w:t>
            </w:r>
            <w:r w:rsidRPr="00DF2323">
              <w:rPr>
                <w:rFonts w:eastAsia="Times New Roman"/>
                <w:sz w:val="20"/>
                <w:szCs w:val="20"/>
                <w:vertAlign w:val="subscript"/>
                <w:lang w:eastAsia="en-US"/>
              </w:rPr>
              <w:t>50</w:t>
            </w:r>
            <w:r w:rsidRPr="00DF2323">
              <w:rPr>
                <w:rFonts w:eastAsia="Times New Roman"/>
                <w:sz w:val="20"/>
                <w:szCs w:val="20"/>
                <w:lang w:eastAsia="en-US"/>
              </w:rPr>
              <w:t xml:space="preserve"> of 22-30 mg/kg bw). The LD</w:t>
            </w:r>
            <w:r w:rsidRPr="00DF2323">
              <w:rPr>
                <w:rFonts w:eastAsia="Times New Roman"/>
                <w:sz w:val="20"/>
                <w:szCs w:val="20"/>
                <w:vertAlign w:val="subscript"/>
                <w:lang w:eastAsia="en-US"/>
              </w:rPr>
              <w:t xml:space="preserve">50 </w:t>
            </w:r>
            <w:r w:rsidRPr="00DF2323">
              <w:rPr>
                <w:rFonts w:eastAsia="Times New Roman"/>
                <w:sz w:val="20"/>
                <w:szCs w:val="20"/>
                <w:lang w:eastAsia="en-US"/>
              </w:rPr>
              <w:t>in cynomolgus monkeys was 50-70 mg/kg bw. The acute LD</w:t>
            </w:r>
            <w:r w:rsidRPr="00DF2323">
              <w:rPr>
                <w:rFonts w:eastAsia="Times New Roman"/>
                <w:sz w:val="20"/>
                <w:szCs w:val="20"/>
                <w:vertAlign w:val="subscript"/>
                <w:lang w:eastAsia="en-US"/>
              </w:rPr>
              <w:t>50</w:t>
            </w:r>
            <w:r w:rsidRPr="00DF2323">
              <w:rPr>
                <w:rFonts w:eastAsia="Times New Roman"/>
                <w:sz w:val="20"/>
                <w:szCs w:val="20"/>
                <w:lang w:eastAsia="en-US"/>
              </w:rPr>
              <w:t xml:space="preserve"> after inhalation was 0.0006-0.0014 mg of paraquat ion/l (4 h exposure) in rats. </w:t>
            </w:r>
          </w:p>
          <w:p w14:paraId="2AC9F6FD"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 xml:space="preserve">Effects in the respiratory tract are observed after single and repeat dose exposures regardless of the route of exposure (oral or inhalation); however, inhalation was a more sensitive route of exposure than the oral route in both acute and repeat dose studies. </w:t>
            </w:r>
          </w:p>
          <w:p w14:paraId="3DB1EE7D"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The minimum lethal oral dose in humans is estimated to be 40 mg paraquat ion per kg body weight (=20 ml of 20 to 24% concentrate), with doses above 20 mg leading to severe toxic effects.</w:t>
            </w:r>
          </w:p>
          <w:p w14:paraId="065C3950"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The predominant feature of exposure to repeated doses of paraquat in animal studies was lung toxicity. Renal toxicity (proximal tubular damage) and toxicity to the liver (jaundice and elevations of enzyme activity) were also found. Similar effects have been observed in human poisoning cases</w:t>
            </w:r>
          </w:p>
          <w:p w14:paraId="37DCBAA2"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Lung abnormalities observed in mice, rats and dogs consisted of increased lung weight and gross pathological changes. Associated histopathological changes included cell necrosis, alveolar cell proliferation and hypertrophy, oedema, infiltration of macrophages and mononuclear cells and exudate. Dogs were most sensitive to paraquat-induced lung toxicity, followed by rats and mice; a NOAEL of 0.45 mg of paraquat ion/kg bw per day was found in a 1-year study in dogs, on the basis of signs of respiratory dysfunction and histopathological changes at higher doses.</w:t>
            </w:r>
          </w:p>
          <w:p w14:paraId="12E437E3" w14:textId="77777777" w:rsidR="009C38E1" w:rsidRPr="00DF2323" w:rsidRDefault="009C38E1" w:rsidP="002676CE">
            <w:pPr>
              <w:spacing w:after="120"/>
              <w:rPr>
                <w:rFonts w:eastAsia="Times New Roman"/>
                <w:sz w:val="20"/>
                <w:szCs w:val="20"/>
                <w:lang w:eastAsia="en-US"/>
              </w:rPr>
            </w:pPr>
            <w:r w:rsidRPr="00DF2323">
              <w:rPr>
                <w:rFonts w:eastAsia="Times New Roman"/>
                <w:sz w:val="20"/>
                <w:szCs w:val="20"/>
                <w:lang w:eastAsia="en-US"/>
              </w:rPr>
              <w:t>Paraquat is considered to be a mild skin irritant and a moderate ocular irritant and was not a skin sensitizer.</w:t>
            </w:r>
          </w:p>
          <w:p w14:paraId="489E70DF" w14:textId="77777777" w:rsidR="009C38E1" w:rsidRPr="00DF2323" w:rsidRDefault="009C38E1" w:rsidP="002676CE">
            <w:pPr>
              <w:spacing w:after="120"/>
              <w:rPr>
                <w:rFonts w:eastAsia="Times New Roman"/>
                <w:i/>
                <w:sz w:val="20"/>
                <w:szCs w:val="20"/>
                <w:highlight w:val="yellow"/>
                <w:lang w:eastAsia="en-US"/>
              </w:rPr>
            </w:pPr>
            <w:r w:rsidRPr="00DF2323">
              <w:rPr>
                <w:rFonts w:eastAsia="Times New Roman"/>
                <w:sz w:val="20"/>
                <w:szCs w:val="20"/>
                <w:lang w:eastAsia="en-US"/>
              </w:rPr>
              <w:t>Normal skin provides a good barrier against absorption and systemic toxicity at low exposure levels. However, if there is prolonged contact leading to extensive skin damage,</w:t>
            </w:r>
            <w:r w:rsidRPr="00DF2323">
              <w:t xml:space="preserve"> </w:t>
            </w:r>
            <w:r w:rsidRPr="00DF2323">
              <w:rPr>
                <w:sz w:val="20"/>
                <w:szCs w:val="20"/>
              </w:rPr>
              <w:t>or exposure to</w:t>
            </w:r>
            <w:r w:rsidRPr="00DF2323">
              <w:t xml:space="preserve"> </w:t>
            </w:r>
            <w:r w:rsidRPr="00DF2323">
              <w:rPr>
                <w:rFonts w:eastAsia="Times New Roman"/>
                <w:sz w:val="20"/>
                <w:szCs w:val="20"/>
                <w:lang w:eastAsia="en-US"/>
              </w:rPr>
              <w:t xml:space="preserve">high doses that erode the integrity of the skin, this may allow unimpeded access of paraquat to the bloodstream, which may lead to systemic poisoning and may result in severe toxicity. </w:t>
            </w:r>
          </w:p>
        </w:tc>
      </w:tr>
      <w:tr w:rsidR="009C38E1" w:rsidRPr="00DF2323" w14:paraId="221A3065"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single" w:sz="4" w:space="0" w:color="auto"/>
              <w:right w:val="nil"/>
            </w:tcBorders>
          </w:tcPr>
          <w:p w14:paraId="68E1C191" w14:textId="77777777" w:rsidR="009C38E1" w:rsidRPr="00DF2323" w:rsidRDefault="009C38E1" w:rsidP="00BE0479">
            <w:pPr>
              <w:keepNext/>
              <w:widowControl w:val="0"/>
              <w:rPr>
                <w:rFonts w:eastAsia="Times New Roman"/>
                <w:b/>
                <w:szCs w:val="20"/>
                <w:lang w:eastAsia="en-US"/>
              </w:rPr>
            </w:pPr>
            <w:r w:rsidRPr="00DF2323">
              <w:rPr>
                <w:rFonts w:eastAsia="Times New Roman"/>
                <w:b/>
                <w:szCs w:val="20"/>
                <w:lang w:eastAsia="en-US"/>
              </w:rPr>
              <w:t>3</w:t>
            </w:r>
          </w:p>
        </w:tc>
        <w:tc>
          <w:tcPr>
            <w:tcW w:w="8875" w:type="dxa"/>
            <w:gridSpan w:val="2"/>
            <w:tcBorders>
              <w:top w:val="nil"/>
              <w:left w:val="nil"/>
              <w:bottom w:val="single" w:sz="4" w:space="0" w:color="auto"/>
              <w:right w:val="nil"/>
            </w:tcBorders>
          </w:tcPr>
          <w:p w14:paraId="37CBD795" w14:textId="77777777" w:rsidR="009C38E1" w:rsidRPr="00DF2323" w:rsidRDefault="009C38E1" w:rsidP="00BE0479">
            <w:pPr>
              <w:widowControl w:val="0"/>
              <w:rPr>
                <w:rFonts w:eastAsia="Times New Roman"/>
                <w:b/>
                <w:szCs w:val="20"/>
                <w:lang w:eastAsia="en-US"/>
              </w:rPr>
            </w:pPr>
            <w:r w:rsidRPr="00DF2323">
              <w:rPr>
                <w:rFonts w:eastAsia="Times New Roman"/>
                <w:b/>
                <w:szCs w:val="20"/>
                <w:lang w:eastAsia="en-US"/>
              </w:rPr>
              <w:t xml:space="preserve">Human exposure/Risk evaluation </w:t>
            </w:r>
          </w:p>
        </w:tc>
      </w:tr>
      <w:tr w:rsidR="009C38E1" w:rsidRPr="00DF2323" w14:paraId="7A9A0BA3"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single" w:sz="4" w:space="0" w:color="auto"/>
              <w:left w:val="nil"/>
              <w:bottom w:val="nil"/>
              <w:right w:val="nil"/>
            </w:tcBorders>
          </w:tcPr>
          <w:p w14:paraId="61BF4E2F"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3.1</w:t>
            </w:r>
          </w:p>
        </w:tc>
        <w:tc>
          <w:tcPr>
            <w:tcW w:w="1700" w:type="dxa"/>
            <w:tcBorders>
              <w:top w:val="single" w:sz="4" w:space="0" w:color="auto"/>
              <w:left w:val="nil"/>
              <w:bottom w:val="nil"/>
              <w:right w:val="nil"/>
            </w:tcBorders>
          </w:tcPr>
          <w:p w14:paraId="03274376"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Food</w:t>
            </w:r>
          </w:p>
        </w:tc>
        <w:tc>
          <w:tcPr>
            <w:tcW w:w="7175" w:type="dxa"/>
            <w:tcBorders>
              <w:top w:val="single" w:sz="4" w:space="0" w:color="auto"/>
              <w:left w:val="nil"/>
              <w:bottom w:val="nil"/>
              <w:right w:val="nil"/>
            </w:tcBorders>
          </w:tcPr>
          <w:p w14:paraId="1453A5F1"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(2004a, b)</w:t>
            </w:r>
          </w:p>
          <w:p w14:paraId="6811B823" w14:textId="77777777" w:rsidR="009C38E1" w:rsidRPr="00DF2323" w:rsidRDefault="009C38E1" w:rsidP="00E15F22">
            <w:pPr>
              <w:spacing w:after="120"/>
              <w:rPr>
                <w:rFonts w:eastAsia="Times New Roman"/>
                <w:sz w:val="20"/>
                <w:szCs w:val="20"/>
                <w:lang w:eastAsia="en-US"/>
              </w:rPr>
            </w:pPr>
            <w:r w:rsidRPr="00DF2323">
              <w:rPr>
                <w:rFonts w:eastAsia="Times New Roman"/>
                <w:sz w:val="20"/>
                <w:szCs w:val="20"/>
                <w:lang w:eastAsia="en-US"/>
              </w:rPr>
              <w:t>Residue levels of paraquat in food resulting from its normal use are unlikely to pose a health hazard for the general population.</w:t>
            </w:r>
          </w:p>
          <w:p w14:paraId="3561EE1A" w14:textId="77777777" w:rsidR="009C38E1" w:rsidRPr="00DF2323" w:rsidRDefault="009C38E1" w:rsidP="00BE0479">
            <w:pPr>
              <w:rPr>
                <w:rFonts w:eastAsia="Times New Roman"/>
                <w:sz w:val="20"/>
                <w:szCs w:val="20"/>
                <w:u w:val="single"/>
                <w:lang w:eastAsia="en-US"/>
              </w:rPr>
            </w:pPr>
            <w:r w:rsidRPr="00DF2323">
              <w:rPr>
                <w:rFonts w:eastAsia="Times New Roman"/>
                <w:sz w:val="20"/>
                <w:szCs w:val="20"/>
                <w:u w:val="single"/>
                <w:lang w:eastAsia="en-US"/>
              </w:rPr>
              <w:t>Long-term intake</w:t>
            </w:r>
          </w:p>
          <w:p w14:paraId="31D9A8F5" w14:textId="4515BAA3" w:rsidR="009C38E1" w:rsidRPr="00DF2323" w:rsidRDefault="009C38E1" w:rsidP="00E15F22">
            <w:pPr>
              <w:spacing w:after="120"/>
              <w:rPr>
                <w:rFonts w:eastAsia="Times New Roman"/>
                <w:sz w:val="20"/>
                <w:szCs w:val="20"/>
                <w:lang w:eastAsia="en-US"/>
              </w:rPr>
            </w:pPr>
            <w:r w:rsidRPr="00DF2323">
              <w:rPr>
                <w:rFonts w:eastAsia="Times New Roman"/>
                <w:sz w:val="20"/>
                <w:szCs w:val="20"/>
                <w:lang w:eastAsia="en-US"/>
              </w:rPr>
              <w:t>The international estimated daily intake (IEDI) values were calculated for the five Global Environment Monitoring System (GEMS)/Food regional diets from the supervised trials median residue values for fruit, vegetables, maize, sorghum, cotton seed, sunflower, hops, tea and animal commodities and the</w:t>
            </w:r>
            <w:r w:rsidRPr="00DF2323">
              <w:t xml:space="preserve"> </w:t>
            </w:r>
            <w:r w:rsidRPr="00DF2323">
              <w:rPr>
                <w:rFonts w:eastAsia="Times New Roman"/>
                <w:sz w:val="20"/>
                <w:szCs w:val="20"/>
                <w:lang w:eastAsia="en-US"/>
              </w:rPr>
              <w:t>supervised trials median residue value in processed commodities (STMR-P), as estimated by JMPR. The ADI is 0–0.005 mg/kg bw, and the calculated IEDIs were 2–5% of the ADI. The Meeting concluded that the intake of residues of paraquat resulting from uses considered by the current JMPR was unlikely to present a public health concern.</w:t>
            </w:r>
          </w:p>
          <w:p w14:paraId="0633801F" w14:textId="77777777" w:rsidR="009C38E1" w:rsidRPr="00DF2323" w:rsidRDefault="009C38E1" w:rsidP="00BE0479">
            <w:pPr>
              <w:rPr>
                <w:rFonts w:eastAsia="Times New Roman"/>
                <w:sz w:val="20"/>
                <w:szCs w:val="20"/>
                <w:u w:val="single"/>
                <w:lang w:eastAsia="en-US"/>
              </w:rPr>
            </w:pPr>
            <w:r w:rsidRPr="00DF2323">
              <w:rPr>
                <w:rFonts w:eastAsia="Times New Roman"/>
                <w:sz w:val="20"/>
                <w:szCs w:val="20"/>
                <w:u w:val="single"/>
                <w:lang w:eastAsia="en-US"/>
              </w:rPr>
              <w:t>Short-term intake</w:t>
            </w:r>
          </w:p>
          <w:p w14:paraId="00C6D2D3" w14:textId="77777777" w:rsidR="009C38E1" w:rsidRPr="00DF2323" w:rsidRDefault="009C38E1" w:rsidP="00E15F22">
            <w:pPr>
              <w:spacing w:after="120"/>
              <w:rPr>
                <w:rFonts w:eastAsia="Times New Roman"/>
                <w:sz w:val="20"/>
                <w:szCs w:val="20"/>
                <w:lang w:eastAsia="en-US"/>
              </w:rPr>
            </w:pPr>
            <w:r w:rsidRPr="00DF2323">
              <w:rPr>
                <w:rFonts w:eastAsia="Times New Roman"/>
                <w:sz w:val="20"/>
                <w:szCs w:val="20"/>
                <w:lang w:eastAsia="en-US"/>
              </w:rPr>
              <w:t xml:space="preserve">The international estimated short-term dietary intake (IESTI) values of paraquat by the general population and by children were calculated for commodities for which STMR </w:t>
            </w:r>
            <w:r w:rsidRPr="00DF2323">
              <w:rPr>
                <w:rFonts w:eastAsia="Times New Roman"/>
                <w:sz w:val="20"/>
                <w:szCs w:val="20"/>
                <w:lang w:eastAsia="en-US"/>
              </w:rPr>
              <w:lastRenderedPageBreak/>
              <w:t>or STMR-P values had been estimated by JMPR when information on consumption was available (see section 5 of the decision guidance document). The ARfD is 0.006 mg/kg; the calculated IESTIs for children up to 6 years range from 0 to 50% and those for the general population from 0 to 20% of the ARfD. JMPR concluded that the short-term intake of residues of paraquat from uses considered at the meeting was unlikely to present a public health concern.</w:t>
            </w:r>
          </w:p>
          <w:p w14:paraId="1E4094E9" w14:textId="77777777" w:rsidR="009C38E1" w:rsidRPr="00DF2323" w:rsidRDefault="009C38E1" w:rsidP="00BE0479">
            <w:pPr>
              <w:rPr>
                <w:rFonts w:eastAsia="Times New Roman"/>
                <w:b/>
                <w:bCs/>
                <w:iCs/>
                <w:sz w:val="20"/>
                <w:szCs w:val="20"/>
                <w:lang w:eastAsia="en-US"/>
              </w:rPr>
            </w:pPr>
            <w:r w:rsidRPr="00DF2323">
              <w:rPr>
                <w:rFonts w:eastAsia="Times New Roman"/>
                <w:b/>
                <w:bCs/>
                <w:iCs/>
                <w:sz w:val="20"/>
                <w:szCs w:val="20"/>
                <w:lang w:eastAsia="en-US"/>
              </w:rPr>
              <w:t>EU (2003)</w:t>
            </w:r>
          </w:p>
          <w:p w14:paraId="6814A20F" w14:textId="75CECD2D" w:rsidR="009C38E1" w:rsidRPr="00DF2323" w:rsidRDefault="009C38E1" w:rsidP="00CD5BBB">
            <w:pPr>
              <w:autoSpaceDE w:val="0"/>
              <w:autoSpaceDN w:val="0"/>
              <w:adjustRightInd w:val="0"/>
              <w:spacing w:after="120"/>
              <w:rPr>
                <w:rFonts w:eastAsia="Times New Roman"/>
                <w:sz w:val="20"/>
                <w:szCs w:val="20"/>
                <w:lang w:eastAsia="en-US"/>
              </w:rPr>
            </w:pPr>
            <w:r w:rsidRPr="00DF2323">
              <w:rPr>
                <w:rFonts w:eastAsia="Times New Roman"/>
                <w:sz w:val="20"/>
                <w:szCs w:val="20"/>
                <w:lang w:eastAsia="en-US"/>
              </w:rPr>
              <w:t xml:space="preserve">The EU review has established that the residues arising from the proposed uses, consequent on application consistent with good plant protection practice, have no harmful effects on human or animal health. The Theoretical Maximum Daily Intake (TMDI; excluding water and products of animal origin) for a 60 kg adult is 17 % of the Acceptable Daily Intake (ADI), based on the FAO/WHO European Diet (August 1994). Additional intake from water and products of animal origin are not expected to give rise to intake problems. </w:t>
            </w:r>
          </w:p>
        </w:tc>
      </w:tr>
      <w:tr w:rsidR="009C38E1" w:rsidRPr="00DF2323" w14:paraId="1EE28F6D"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02BD6587"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lastRenderedPageBreak/>
              <w:t>3.2</w:t>
            </w:r>
          </w:p>
        </w:tc>
        <w:tc>
          <w:tcPr>
            <w:tcW w:w="1700" w:type="dxa"/>
            <w:tcBorders>
              <w:top w:val="nil"/>
              <w:left w:val="nil"/>
              <w:bottom w:val="nil"/>
              <w:right w:val="nil"/>
            </w:tcBorders>
          </w:tcPr>
          <w:p w14:paraId="36ECA284" w14:textId="77777777" w:rsidR="009C38E1" w:rsidRPr="00DF2323" w:rsidRDefault="009C38E1" w:rsidP="00BE0479">
            <w:pPr>
              <w:spacing w:before="20" w:after="20"/>
              <w:ind w:right="-108"/>
              <w:outlineLvl w:val="2"/>
              <w:rPr>
                <w:rFonts w:eastAsia="Times New Roman"/>
                <w:b/>
                <w:bCs/>
                <w:sz w:val="20"/>
                <w:szCs w:val="20"/>
                <w:lang w:eastAsia="en-US"/>
              </w:rPr>
            </w:pPr>
            <w:r w:rsidRPr="00DF2323">
              <w:rPr>
                <w:rFonts w:eastAsia="Times New Roman"/>
                <w:b/>
                <w:bCs/>
                <w:sz w:val="20"/>
                <w:szCs w:val="20"/>
                <w:lang w:eastAsia="en-US"/>
              </w:rPr>
              <w:t>Air</w:t>
            </w:r>
          </w:p>
        </w:tc>
        <w:tc>
          <w:tcPr>
            <w:tcW w:w="7175" w:type="dxa"/>
            <w:tcBorders>
              <w:top w:val="nil"/>
              <w:left w:val="nil"/>
              <w:bottom w:val="nil"/>
              <w:right w:val="nil"/>
            </w:tcBorders>
          </w:tcPr>
          <w:p w14:paraId="2F237DD2" w14:textId="77777777" w:rsidR="009C38E1" w:rsidRPr="00DF2323" w:rsidRDefault="009C38E1" w:rsidP="001D281C">
            <w:pPr>
              <w:spacing w:after="40"/>
              <w:rPr>
                <w:rFonts w:eastAsia="Times New Roman"/>
                <w:b/>
                <w:bCs/>
                <w:iCs/>
                <w:sz w:val="20"/>
                <w:szCs w:val="20"/>
                <w:lang w:eastAsia="en-US"/>
              </w:rPr>
            </w:pPr>
            <w:r w:rsidRPr="00DF2323">
              <w:rPr>
                <w:rFonts w:eastAsia="Times New Roman"/>
                <w:b/>
                <w:bCs/>
                <w:iCs/>
                <w:sz w:val="20"/>
                <w:szCs w:val="20"/>
                <w:lang w:eastAsia="en-US"/>
              </w:rPr>
              <w:t>JMPR (2003a, b); IPCS (1991)</w:t>
            </w:r>
          </w:p>
          <w:p w14:paraId="7F9E9FED" w14:textId="77777777" w:rsidR="009C38E1" w:rsidRPr="00DF2323" w:rsidRDefault="009C38E1" w:rsidP="00CD5BBB">
            <w:pPr>
              <w:spacing w:after="120"/>
              <w:rPr>
                <w:rFonts w:eastAsia="Times New Roman"/>
                <w:iCs/>
                <w:sz w:val="20"/>
                <w:szCs w:val="20"/>
                <w:lang w:eastAsia="en-US"/>
              </w:rPr>
            </w:pPr>
            <w:r w:rsidRPr="00DF2323">
              <w:rPr>
                <w:rFonts w:eastAsia="Times New Roman"/>
                <w:sz w:val="20"/>
                <w:szCs w:val="20"/>
                <w:lang w:eastAsia="en-US"/>
              </w:rPr>
              <w:t>Paraquat is of very high acute toxicity when administered by the inhalation route. The acute inhalation LC</w:t>
            </w:r>
            <w:r w:rsidRPr="00DF2323">
              <w:rPr>
                <w:rFonts w:eastAsia="Times New Roman"/>
                <w:sz w:val="20"/>
                <w:szCs w:val="20"/>
                <w:vertAlign w:val="subscript"/>
                <w:lang w:eastAsia="en-US"/>
              </w:rPr>
              <w:t xml:space="preserve">50 </w:t>
            </w:r>
            <w:r w:rsidRPr="00DF2323">
              <w:rPr>
                <w:rFonts w:eastAsia="Times New Roman"/>
                <w:sz w:val="20"/>
                <w:szCs w:val="20"/>
                <w:lang w:eastAsia="en-US"/>
              </w:rPr>
              <w:t xml:space="preserve">in rats ranged from </w:t>
            </w:r>
            <w:r w:rsidRPr="00DF2323">
              <w:rPr>
                <w:rFonts w:eastAsia="Times New Roman"/>
                <w:iCs/>
                <w:sz w:val="20"/>
                <w:szCs w:val="20"/>
                <w:lang w:eastAsia="en-US"/>
              </w:rPr>
              <w:t>0.0006-0.0014 mg of paraquat ion/L (4 h exposure). The lowest relevant short term inhalation NOAEC: 0.00001 mg/L (21-day exposure).</w:t>
            </w:r>
          </w:p>
          <w:p w14:paraId="1E63B08D" w14:textId="77777777" w:rsidR="009C38E1" w:rsidRPr="00DF2323" w:rsidRDefault="009C38E1" w:rsidP="00CD5BBB">
            <w:pPr>
              <w:spacing w:after="120"/>
              <w:rPr>
                <w:rFonts w:eastAsia="Times New Roman"/>
                <w:sz w:val="20"/>
                <w:szCs w:val="20"/>
                <w:lang w:eastAsia="en-US"/>
              </w:rPr>
            </w:pPr>
            <w:r w:rsidRPr="00DF2323">
              <w:rPr>
                <w:rFonts w:eastAsia="Times New Roman"/>
                <w:sz w:val="20"/>
                <w:szCs w:val="20"/>
                <w:lang w:eastAsia="en-US"/>
              </w:rPr>
              <w:t xml:space="preserve">Paraquat is not volatile; thus, inhalation of paraquat vapour is not expected to be a significant route of exposure. </w:t>
            </w:r>
          </w:p>
          <w:p w14:paraId="7178D182" w14:textId="77777777" w:rsidR="009C38E1" w:rsidRPr="00DF2323" w:rsidRDefault="009C38E1" w:rsidP="00CD5BBB">
            <w:pPr>
              <w:spacing w:after="120"/>
              <w:rPr>
                <w:rFonts w:eastAsia="Times New Roman"/>
                <w:sz w:val="20"/>
                <w:szCs w:val="20"/>
                <w:lang w:eastAsia="en-US"/>
              </w:rPr>
            </w:pPr>
            <w:r w:rsidRPr="00DF2323">
              <w:rPr>
                <w:rFonts w:eastAsia="Times New Roman"/>
                <w:sz w:val="20"/>
                <w:szCs w:val="20"/>
                <w:lang w:eastAsia="en-US"/>
              </w:rPr>
              <w:t>Paraquat present in airborne dust in agricultural fields was found to range from 0.0004 to 0.001 mg/m</w:t>
            </w:r>
            <w:r w:rsidRPr="00DF2323">
              <w:rPr>
                <w:rFonts w:eastAsia="Times New Roman"/>
                <w:sz w:val="20"/>
                <w:szCs w:val="20"/>
                <w:vertAlign w:val="superscript"/>
                <w:lang w:eastAsia="en-US"/>
              </w:rPr>
              <w:t>3</w:t>
            </w:r>
            <w:r w:rsidRPr="00DF2323">
              <w:rPr>
                <w:rFonts w:eastAsia="Times New Roman"/>
                <w:sz w:val="20"/>
                <w:szCs w:val="20"/>
                <w:lang w:eastAsia="en-US"/>
              </w:rPr>
              <w:t>. The paraquat was so strongly bound to the dust particles that it did not exert any toxicological effect on rats that were exposed via inhalation.</w:t>
            </w:r>
          </w:p>
          <w:p w14:paraId="0074DFCD" w14:textId="77777777" w:rsidR="009C38E1" w:rsidRPr="00DF2323" w:rsidRDefault="009C38E1" w:rsidP="00CD5BBB">
            <w:pPr>
              <w:spacing w:after="120"/>
              <w:rPr>
                <w:rFonts w:eastAsia="Times New Roman"/>
                <w:sz w:val="20"/>
                <w:szCs w:val="20"/>
                <w:lang w:eastAsia="en-US"/>
              </w:rPr>
            </w:pPr>
            <w:r w:rsidRPr="00DF2323">
              <w:rPr>
                <w:rFonts w:eastAsia="Times New Roman"/>
                <w:sz w:val="20"/>
                <w:szCs w:val="20"/>
                <w:lang w:eastAsia="en-US"/>
              </w:rPr>
              <w:t xml:space="preserve">Inhalation of paraquat spray aerosol and dust particles are relatively large and are mostly deposited in the upper respiratory tract. Inhalation of paraquat is not expected to be a significant route of exposure in non-occupational settings. </w:t>
            </w:r>
          </w:p>
          <w:p w14:paraId="6EA72FD2" w14:textId="77777777" w:rsidR="009C38E1" w:rsidRPr="00DF2323" w:rsidRDefault="009C38E1" w:rsidP="00CD5BBB">
            <w:pPr>
              <w:spacing w:after="120"/>
              <w:rPr>
                <w:rFonts w:eastAsia="Times New Roman"/>
                <w:sz w:val="20"/>
                <w:szCs w:val="20"/>
                <w:lang w:eastAsia="en-US"/>
              </w:rPr>
            </w:pPr>
            <w:r w:rsidRPr="00DF2323">
              <w:rPr>
                <w:rFonts w:eastAsia="Times New Roman"/>
                <w:sz w:val="20"/>
                <w:szCs w:val="20"/>
                <w:lang w:eastAsia="en-US"/>
              </w:rPr>
              <w:t>There are several studies on paraquat exposure during normal agricultural use. The main route of occupational exposure of agricultural workers is via the skin. Paraquat aerosol concentrations (total airborne) ranged up to 0.55 mg/m</w:t>
            </w:r>
            <w:r w:rsidRPr="00DF2323">
              <w:rPr>
                <w:rFonts w:eastAsia="Times New Roman"/>
                <w:sz w:val="20"/>
                <w:szCs w:val="20"/>
                <w:vertAlign w:val="superscript"/>
                <w:lang w:eastAsia="en-US"/>
              </w:rPr>
              <w:t>3</w:t>
            </w:r>
            <w:r w:rsidRPr="00DF2323">
              <w:rPr>
                <w:rFonts w:eastAsia="Times New Roman"/>
                <w:sz w:val="20"/>
                <w:szCs w:val="20"/>
                <w:lang w:eastAsia="en-US"/>
              </w:rPr>
              <w:t xml:space="preserve"> in the work situation, depending on the method of spraying. Under normal conditions of use, the amount of respirable airborne paraquat was found to be insignificant.</w:t>
            </w:r>
          </w:p>
        </w:tc>
      </w:tr>
      <w:tr w:rsidR="009C38E1" w:rsidRPr="00DF2323" w14:paraId="0C65918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4A51BB1"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3.3</w:t>
            </w:r>
          </w:p>
        </w:tc>
        <w:tc>
          <w:tcPr>
            <w:tcW w:w="1700" w:type="dxa"/>
            <w:tcBorders>
              <w:top w:val="nil"/>
              <w:left w:val="nil"/>
              <w:bottom w:val="nil"/>
              <w:right w:val="nil"/>
            </w:tcBorders>
          </w:tcPr>
          <w:p w14:paraId="7D243FFF" w14:textId="77777777" w:rsidR="009C38E1" w:rsidRPr="00DF2323" w:rsidRDefault="009C38E1" w:rsidP="00BE0479">
            <w:pPr>
              <w:spacing w:before="20" w:after="20"/>
              <w:ind w:right="-108"/>
              <w:outlineLvl w:val="2"/>
              <w:rPr>
                <w:rFonts w:eastAsia="Times New Roman"/>
                <w:b/>
                <w:bCs/>
                <w:sz w:val="20"/>
                <w:szCs w:val="20"/>
                <w:lang w:eastAsia="en-US"/>
              </w:rPr>
            </w:pPr>
            <w:r w:rsidRPr="00DF2323">
              <w:rPr>
                <w:rFonts w:eastAsia="Times New Roman"/>
                <w:b/>
                <w:bCs/>
                <w:sz w:val="20"/>
                <w:szCs w:val="20"/>
                <w:lang w:eastAsia="en-US"/>
              </w:rPr>
              <w:t>Water</w:t>
            </w:r>
          </w:p>
        </w:tc>
        <w:tc>
          <w:tcPr>
            <w:tcW w:w="7175" w:type="dxa"/>
            <w:tcBorders>
              <w:top w:val="nil"/>
              <w:left w:val="nil"/>
              <w:bottom w:val="nil"/>
              <w:right w:val="nil"/>
            </w:tcBorders>
          </w:tcPr>
          <w:p w14:paraId="72B80CA6" w14:textId="77777777" w:rsidR="009C38E1" w:rsidRPr="00DF2323" w:rsidRDefault="009C38E1" w:rsidP="00BE0479">
            <w:pPr>
              <w:spacing w:after="40"/>
              <w:rPr>
                <w:rFonts w:eastAsia="Times New Roman"/>
                <w:b/>
                <w:bCs/>
                <w:iCs/>
                <w:sz w:val="20"/>
                <w:szCs w:val="20"/>
                <w:lang w:eastAsia="en-US"/>
              </w:rPr>
            </w:pPr>
            <w:r w:rsidRPr="00DF2323">
              <w:rPr>
                <w:rFonts w:eastAsia="Times New Roman"/>
                <w:b/>
                <w:bCs/>
                <w:iCs/>
                <w:sz w:val="20"/>
                <w:szCs w:val="20"/>
                <w:lang w:eastAsia="en-US"/>
              </w:rPr>
              <w:t>JMPR (2004 a, b); EU (2003)</w:t>
            </w:r>
          </w:p>
          <w:p w14:paraId="19CA359E"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From soil studies, there is no evidence of desorption of paraquat back into the water phase (see section 4.1.1). Therefore, exposure of paraquat via water is not considered to be representative of normal paraquat use.</w:t>
            </w:r>
            <w:r w:rsidRPr="00DF2323">
              <w:t xml:space="preserve"> </w:t>
            </w:r>
            <w:r w:rsidRPr="00DF2323">
              <w:rPr>
                <w:rFonts w:eastAsia="Times New Roman"/>
                <w:sz w:val="20"/>
                <w:szCs w:val="20"/>
                <w:lang w:eastAsia="en-US"/>
              </w:rPr>
              <w:t>Non-occupational exposures via water may occur as a result of spray drift from off-target applications of paraquat.</w:t>
            </w:r>
          </w:p>
          <w:p w14:paraId="71FCDADF"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In the unlikely event of paraquat entering an aquatic body at biologically significant concentrations, it will dissipate initially in a similar way than in soil, i.e. mainly by adsorption onto sediment (see section 4.1.2).</w:t>
            </w:r>
          </w:p>
        </w:tc>
      </w:tr>
      <w:tr w:rsidR="009C38E1" w:rsidRPr="00DF2323" w14:paraId="2419337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2F8CACE7"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3.4</w:t>
            </w:r>
          </w:p>
        </w:tc>
        <w:tc>
          <w:tcPr>
            <w:tcW w:w="1700" w:type="dxa"/>
            <w:tcBorders>
              <w:top w:val="nil"/>
              <w:left w:val="nil"/>
              <w:bottom w:val="nil"/>
              <w:right w:val="nil"/>
            </w:tcBorders>
          </w:tcPr>
          <w:p w14:paraId="42D1F0FC"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 xml:space="preserve">Occupational exposure </w:t>
            </w:r>
          </w:p>
        </w:tc>
        <w:tc>
          <w:tcPr>
            <w:tcW w:w="7175" w:type="dxa"/>
            <w:tcBorders>
              <w:top w:val="nil"/>
              <w:left w:val="nil"/>
              <w:bottom w:val="nil"/>
              <w:right w:val="nil"/>
            </w:tcBorders>
          </w:tcPr>
          <w:p w14:paraId="0B16CFF0" w14:textId="77777777" w:rsidR="009C38E1" w:rsidRPr="00DF2323" w:rsidRDefault="009C38E1" w:rsidP="00BE0479">
            <w:pPr>
              <w:rPr>
                <w:rFonts w:eastAsia="Times New Roman"/>
                <w:b/>
                <w:bCs/>
                <w:iCs/>
                <w:sz w:val="20"/>
                <w:szCs w:val="20"/>
                <w:lang w:eastAsia="en-US"/>
              </w:rPr>
            </w:pPr>
            <w:r w:rsidRPr="00DF2323">
              <w:rPr>
                <w:rFonts w:eastAsia="Times New Roman"/>
                <w:b/>
                <w:bCs/>
                <w:iCs/>
                <w:sz w:val="20"/>
                <w:szCs w:val="20"/>
                <w:lang w:eastAsia="en-US"/>
              </w:rPr>
              <w:t>Malaysia</w:t>
            </w:r>
          </w:p>
          <w:p w14:paraId="0533DC3E" w14:textId="1FC6CD30" w:rsidR="009C38E1" w:rsidRPr="00DF2323" w:rsidRDefault="009C38E1" w:rsidP="001D281C">
            <w:pPr>
              <w:spacing w:after="120"/>
              <w:rPr>
                <w:iCs/>
                <w:sz w:val="20"/>
                <w:szCs w:val="20"/>
              </w:rPr>
            </w:pPr>
            <w:r w:rsidRPr="00DF2323">
              <w:rPr>
                <w:iCs/>
                <w:sz w:val="20"/>
                <w:szCs w:val="20"/>
              </w:rPr>
              <w:t>In Malaysia, the Pesticides Board classified paraquat under Class Ib, instead of Class II (of WHO classification) after taking into consideration that under local conditions paraquat cannot be used safely due to hot and humid weather making wearing full protective equipment not always practical. In addition, yearly pesticide poisoning cases reported indicate that paraquat is the number one pesticide associated with poisoning incidences either due to suicide, accidental or occupational poisoning (see</w:t>
            </w:r>
            <w:r w:rsidR="001C1E84">
              <w:rPr>
                <w:iCs/>
                <w:sz w:val="20"/>
                <w:szCs w:val="20"/>
              </w:rPr>
              <w:t> </w:t>
            </w:r>
            <w:r w:rsidRPr="00DF2323">
              <w:rPr>
                <w:iCs/>
                <w:sz w:val="20"/>
                <w:szCs w:val="20"/>
              </w:rPr>
              <w:t xml:space="preserve">section 3.5). </w:t>
            </w:r>
          </w:p>
          <w:p w14:paraId="3AD03D6E"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 xml:space="preserve">The supporting information provided by Malaysia refers to a report published by Syngenta in 2004 in response to the request of the German authorities to review the current situation with regards to accidents, suicides and ecotoxicological impact (Syngenta, 2004). The report included that poisoning due to exposure through the skin is quite frequently reported and is mostly due to not wearing appropriate protective clothing and unsafe working methods such as poor spraying practice. Among the effects reported are skin and eye irritation, nail damage and upper respiratory tract irritation, but the symptoms are generally minor and quickly reversible in the vast majority of cases. The study also recommended that several measures be taken to </w:t>
            </w:r>
            <w:r w:rsidRPr="00DF2323">
              <w:rPr>
                <w:rFonts w:eastAsia="Times New Roman"/>
                <w:sz w:val="20"/>
                <w:szCs w:val="20"/>
                <w:lang w:eastAsia="en-US"/>
              </w:rPr>
              <w:lastRenderedPageBreak/>
              <w:t>prevent poisoning from occurring, such as specific preventive measures and training to users, and Malaysia notes that these may need strict implementation and enforcement.</w:t>
            </w:r>
          </w:p>
          <w:p w14:paraId="3A2BB07A"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The Malaysian Palm Oil Board (MPOB) in collaboration with University Sains Malaysia (USM), University Putra Malaysia (UPM) and several other parties conducted a study on the implication of paraquat banning in Malaysia. The Pesticides Board’s secretariat comments on the study include that “In the OEL (Operator Exposure Level) study, the findings support the argument that the risk of paraquat exposure to consumers under local conditions is unacceptably high and it was recommended to use complete PPE (long sleeves, long pants, face masks, gloves, boots and hats) when handling paraquat products. However, the use of complete PPE is not always practical under hot and humid like Malaysia.” The Pesticides Board’s secretariat added that there are some users who experience signs of paraquat poisoning especially when not using PPE. There was detection of paraquat at low levels in urine and blood analysis studies in samples taken from several operators who frequently sprayed paraquat.</w:t>
            </w:r>
          </w:p>
          <w:p w14:paraId="50C58AE9" w14:textId="77777777" w:rsidR="009C38E1" w:rsidRPr="00DF2323" w:rsidRDefault="009C38E1" w:rsidP="00BE0479">
            <w:pPr>
              <w:autoSpaceDE w:val="0"/>
              <w:autoSpaceDN w:val="0"/>
              <w:adjustRightInd w:val="0"/>
              <w:rPr>
                <w:rFonts w:eastAsia="Times New Roman"/>
                <w:sz w:val="20"/>
                <w:szCs w:val="20"/>
                <w:lang w:eastAsia="en-US"/>
              </w:rPr>
            </w:pPr>
            <w:r w:rsidRPr="00DF2323">
              <w:rPr>
                <w:rFonts w:eastAsia="Times New Roman"/>
                <w:sz w:val="20"/>
                <w:szCs w:val="20"/>
                <w:lang w:eastAsia="en-US"/>
              </w:rPr>
              <w:t xml:space="preserve">Based on the outcome of the above report and wide consultation, the Pesticides Board concluded that: </w:t>
            </w:r>
          </w:p>
          <w:p w14:paraId="456EFCD0" w14:textId="77777777" w:rsidR="009C38E1" w:rsidRPr="00DF2323" w:rsidRDefault="009C38E1" w:rsidP="009C38E1">
            <w:pPr>
              <w:pStyle w:val="ListParagraph"/>
              <w:numPr>
                <w:ilvl w:val="0"/>
                <w:numId w:val="32"/>
              </w:numPr>
              <w:autoSpaceDE w:val="0"/>
              <w:autoSpaceDN w:val="0"/>
              <w:adjustRightInd w:val="0"/>
              <w:contextualSpacing w:val="0"/>
              <w:rPr>
                <w:rFonts w:eastAsia="Times New Roman"/>
                <w:sz w:val="20"/>
                <w:szCs w:val="20"/>
                <w:lang w:val="en-GB" w:eastAsia="en-US"/>
              </w:rPr>
            </w:pPr>
            <w:r w:rsidRPr="00DF2323">
              <w:rPr>
                <w:rFonts w:eastAsia="Times New Roman"/>
                <w:sz w:val="20"/>
                <w:szCs w:val="20"/>
                <w:lang w:val="en-GB" w:eastAsia="en-US"/>
              </w:rPr>
              <w:t>The continued registration of paraquat in the country would contribute to the high incident of pesticide poisonings as paraquat has been constantly reported to be the number one pesticide associated with poisonings.</w:t>
            </w:r>
          </w:p>
          <w:p w14:paraId="4DE58E2E" w14:textId="77777777" w:rsidR="009C38E1" w:rsidRPr="00DF2323" w:rsidRDefault="009C38E1" w:rsidP="009C38E1">
            <w:pPr>
              <w:pStyle w:val="ListParagraph"/>
              <w:numPr>
                <w:ilvl w:val="0"/>
                <w:numId w:val="32"/>
              </w:numPr>
              <w:autoSpaceDE w:val="0"/>
              <w:autoSpaceDN w:val="0"/>
              <w:adjustRightInd w:val="0"/>
              <w:contextualSpacing w:val="0"/>
              <w:rPr>
                <w:rFonts w:eastAsia="Times New Roman"/>
                <w:sz w:val="20"/>
                <w:szCs w:val="20"/>
                <w:lang w:val="en-GB" w:eastAsia="en-US"/>
              </w:rPr>
            </w:pPr>
            <w:r w:rsidRPr="00DF2323">
              <w:rPr>
                <w:rFonts w:eastAsia="Times New Roman"/>
                <w:sz w:val="20"/>
                <w:szCs w:val="20"/>
                <w:lang w:val="en-GB" w:eastAsia="en-US"/>
              </w:rPr>
              <w:t>Paraquat cannot be applied and used safely without complete PPE to prevent exposure under the hot and humid conditions, which is not always feasible in a country like Malaysia.</w:t>
            </w:r>
          </w:p>
          <w:p w14:paraId="7A8C53A6" w14:textId="77777777" w:rsidR="009C38E1" w:rsidRPr="00DF2323" w:rsidRDefault="009C38E1" w:rsidP="009C38E1">
            <w:pPr>
              <w:pStyle w:val="ListParagraph"/>
              <w:numPr>
                <w:ilvl w:val="0"/>
                <w:numId w:val="32"/>
              </w:numPr>
              <w:autoSpaceDE w:val="0"/>
              <w:autoSpaceDN w:val="0"/>
              <w:adjustRightInd w:val="0"/>
              <w:contextualSpacing w:val="0"/>
              <w:rPr>
                <w:rFonts w:eastAsia="Times New Roman"/>
                <w:sz w:val="20"/>
                <w:szCs w:val="20"/>
                <w:lang w:val="en-GB" w:eastAsia="en-US"/>
              </w:rPr>
            </w:pPr>
            <w:r w:rsidRPr="00DF2323">
              <w:rPr>
                <w:rFonts w:eastAsia="Times New Roman"/>
                <w:sz w:val="20"/>
                <w:szCs w:val="20"/>
                <w:lang w:val="en-GB" w:eastAsia="en-US"/>
              </w:rPr>
              <w:t>Paraquat is a very highly hazardous to humans and classified by the Pesticides Board under Class Ib - very highly hazardous to humans instead of Class II (of WHO classification) and it has no antidote for treating cases of poisoning.</w:t>
            </w:r>
          </w:p>
          <w:p w14:paraId="7471F872" w14:textId="77777777" w:rsidR="009C38E1" w:rsidRPr="00DF2323" w:rsidRDefault="009C38E1" w:rsidP="009C38E1">
            <w:pPr>
              <w:pStyle w:val="ListParagraph"/>
              <w:numPr>
                <w:ilvl w:val="0"/>
                <w:numId w:val="32"/>
              </w:numPr>
              <w:autoSpaceDE w:val="0"/>
              <w:autoSpaceDN w:val="0"/>
              <w:adjustRightInd w:val="0"/>
              <w:contextualSpacing w:val="0"/>
              <w:rPr>
                <w:rFonts w:eastAsia="Times New Roman"/>
                <w:sz w:val="20"/>
                <w:szCs w:val="20"/>
                <w:lang w:val="en-GB" w:eastAsia="en-US"/>
              </w:rPr>
            </w:pPr>
            <w:r w:rsidRPr="00DF2323">
              <w:rPr>
                <w:rFonts w:eastAsia="Times New Roman"/>
                <w:sz w:val="20"/>
                <w:szCs w:val="20"/>
                <w:lang w:val="en-GB" w:eastAsia="en-US"/>
              </w:rPr>
              <w:t xml:space="preserve">Paraquat has been identified by the Roundtable on Sustainable Palm Oil (RSPO) as one of the pesticides that cannot be used in oil palm cultivation as it is not consistent with sustainable palm oil cultivation and production. </w:t>
            </w:r>
          </w:p>
          <w:p w14:paraId="5355120B" w14:textId="77777777" w:rsidR="009C38E1" w:rsidRPr="00DF2323" w:rsidRDefault="009C38E1" w:rsidP="009C38E1">
            <w:pPr>
              <w:pStyle w:val="ListParagraph"/>
              <w:numPr>
                <w:ilvl w:val="0"/>
                <w:numId w:val="32"/>
              </w:numPr>
              <w:autoSpaceDE w:val="0"/>
              <w:autoSpaceDN w:val="0"/>
              <w:adjustRightInd w:val="0"/>
              <w:contextualSpacing w:val="0"/>
              <w:rPr>
                <w:rFonts w:eastAsia="Times New Roman"/>
                <w:sz w:val="20"/>
                <w:szCs w:val="20"/>
                <w:lang w:val="en-GB" w:eastAsia="en-US"/>
              </w:rPr>
            </w:pPr>
            <w:r w:rsidRPr="00DF2323">
              <w:rPr>
                <w:rFonts w:eastAsia="Times New Roman"/>
                <w:sz w:val="20"/>
                <w:szCs w:val="20"/>
                <w:lang w:val="en-GB" w:eastAsia="en-US"/>
              </w:rPr>
              <w:t>Final analysis shows that risk of paraquat outweighs the benefit.</w:t>
            </w:r>
          </w:p>
          <w:p w14:paraId="400FAC09" w14:textId="77777777" w:rsidR="009C38E1" w:rsidRPr="00DF2323" w:rsidRDefault="009C38E1" w:rsidP="001D281C">
            <w:pPr>
              <w:spacing w:before="240"/>
              <w:rPr>
                <w:rFonts w:eastAsia="Times New Roman"/>
                <w:b/>
                <w:bCs/>
                <w:iCs/>
                <w:sz w:val="20"/>
                <w:szCs w:val="20"/>
                <w:lang w:eastAsia="en-US"/>
              </w:rPr>
            </w:pPr>
            <w:r w:rsidRPr="00DF2323">
              <w:rPr>
                <w:rFonts w:eastAsia="Times New Roman"/>
                <w:b/>
                <w:bCs/>
                <w:iCs/>
                <w:sz w:val="20"/>
                <w:szCs w:val="20"/>
                <w:lang w:eastAsia="en-US"/>
              </w:rPr>
              <w:t>Mozambique</w:t>
            </w:r>
          </w:p>
          <w:p w14:paraId="3447AEF6"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The risk of occupational exposure in Mozambique was assessed for a subset of the short-listed pesticides, including paraquat. The subset included nine pesticides in seven different cropping systems using 13 application scenarios, each with and without PPE.</w:t>
            </w:r>
          </w:p>
          <w:p w14:paraId="2573AE4B"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For the occupational risk assessment an estimate of operator exposure was made, which was then compared to a toxicologically acceptable level.</w:t>
            </w:r>
          </w:p>
          <w:p w14:paraId="2328C8D8"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The exposure assessment used the registered dose rates and other application parameters for each pesticide based on farming conditions in Mozambique, including application with backpack sprayers (used in vegetables, tobacco, cereals and several other crops), hand-held rotary atomisers (used in cotton), and tractor - mounted sprayers. The exposure of pesticide applicators wearing full PPE that is realistically available in Mozambique was compared to the exposure of applicators wearing shorts and a T-shirt, as is often the case for smallholder farmers. For further details of the occupational risk assessment, see annex 2 to the decision guidance document for Mozambique, Section 4.1.</w:t>
            </w:r>
          </w:p>
          <w:p w14:paraId="1D9A5E5C"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The occupational risk assessments that were conducted showed that acceptable operator exposure levels were greatly exceeded for all cropping systems and all pesticide application scenarios, irrespective of the application rate or use of PPE. This indicates that the application of paraquat likely poses a high risk under Mozambican use conditions.</w:t>
            </w:r>
          </w:p>
          <w:p w14:paraId="3B4012AC"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Given the large risk quotient, it is unlikely that locally feasible mitigation measures would reduce the risk of paraquat to acceptable levels.</w:t>
            </w:r>
          </w:p>
        </w:tc>
      </w:tr>
      <w:tr w:rsidR="009C38E1" w:rsidRPr="00DF2323" w14:paraId="05520E63"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75D8340B"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lastRenderedPageBreak/>
              <w:t xml:space="preserve">3.5 </w:t>
            </w:r>
          </w:p>
        </w:tc>
        <w:tc>
          <w:tcPr>
            <w:tcW w:w="1700" w:type="dxa"/>
            <w:tcBorders>
              <w:top w:val="nil"/>
              <w:left w:val="nil"/>
              <w:bottom w:val="nil"/>
              <w:right w:val="nil"/>
            </w:tcBorders>
          </w:tcPr>
          <w:p w14:paraId="025185B5"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Medical data contributing to regulatory decision</w:t>
            </w:r>
          </w:p>
        </w:tc>
        <w:tc>
          <w:tcPr>
            <w:tcW w:w="7175" w:type="dxa"/>
            <w:tcBorders>
              <w:top w:val="nil"/>
              <w:left w:val="nil"/>
              <w:bottom w:val="nil"/>
              <w:right w:val="nil"/>
            </w:tcBorders>
          </w:tcPr>
          <w:p w14:paraId="0C83200A" w14:textId="77777777" w:rsidR="009C38E1" w:rsidRPr="00DF2323" w:rsidRDefault="009C38E1" w:rsidP="00BE0479">
            <w:pPr>
              <w:rPr>
                <w:rFonts w:eastAsia="Times New Roman"/>
                <w:b/>
                <w:bCs/>
                <w:iCs/>
                <w:sz w:val="20"/>
                <w:szCs w:val="20"/>
                <w:lang w:eastAsia="en-US"/>
              </w:rPr>
            </w:pPr>
            <w:r w:rsidRPr="00DF2323">
              <w:rPr>
                <w:rFonts w:eastAsia="Times New Roman"/>
                <w:b/>
                <w:bCs/>
                <w:iCs/>
                <w:sz w:val="20"/>
                <w:szCs w:val="20"/>
                <w:lang w:eastAsia="en-US"/>
              </w:rPr>
              <w:t>Malaysia</w:t>
            </w:r>
          </w:p>
          <w:p w14:paraId="1D70C45A" w14:textId="77777777"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 xml:space="preserve">Based on the information from the Ministry of Health of Malaysia, the most common pesticide involved in poisoning cases in Malaysia for the period 1997-2009 was paraquat, which related to 1,082 cases of poisoning, involving at least 272 deaths. </w:t>
            </w:r>
            <w:r w:rsidRPr="00DF2323">
              <w:rPr>
                <w:rFonts w:eastAsia="Times New Roman"/>
                <w:sz w:val="20"/>
                <w:szCs w:val="20"/>
                <w:lang w:eastAsia="en-US"/>
              </w:rPr>
              <w:lastRenderedPageBreak/>
              <w:t>Analysis of poisoning data shows that the cause of paraquat poisoning is suicide, followed by accidental drinking and occupational poisoning.</w:t>
            </w:r>
          </w:p>
          <w:p w14:paraId="746C99B8" w14:textId="77777777" w:rsidR="009C38E1" w:rsidRPr="00DF2323" w:rsidRDefault="009C38E1" w:rsidP="001D281C">
            <w:pPr>
              <w:spacing w:after="120"/>
              <w:rPr>
                <w:rFonts w:eastAsia="Times New Roman"/>
                <w:i/>
                <w:sz w:val="20"/>
                <w:szCs w:val="20"/>
                <w:lang w:eastAsia="en-US"/>
              </w:rPr>
            </w:pPr>
            <w:r w:rsidRPr="00DF2323">
              <w:rPr>
                <w:rFonts w:eastAsia="Times New Roman"/>
                <w:sz w:val="20"/>
                <w:szCs w:val="20"/>
                <w:lang w:eastAsia="en-US"/>
              </w:rPr>
              <w:t>Information related to cases of poisoning caused by chemicals including pesticides in Malaysia was based on information from the Ministry of Health through cases of poisoning referred to government clinics/hospitals only. This means the actual cases of poisoning reported is far greater than this, if cases referred to private clinics/hospitals and unreported cases were also taken into account.</w:t>
            </w:r>
          </w:p>
        </w:tc>
      </w:tr>
      <w:tr w:rsidR="009C38E1" w:rsidRPr="00DF2323" w14:paraId="111C97B7"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37FEA270"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lastRenderedPageBreak/>
              <w:t>3.6</w:t>
            </w:r>
          </w:p>
        </w:tc>
        <w:tc>
          <w:tcPr>
            <w:tcW w:w="1700" w:type="dxa"/>
            <w:tcBorders>
              <w:top w:val="nil"/>
              <w:left w:val="nil"/>
              <w:bottom w:val="nil"/>
              <w:right w:val="nil"/>
            </w:tcBorders>
          </w:tcPr>
          <w:p w14:paraId="3EAA7E8D"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 xml:space="preserve">Public exposure </w:t>
            </w:r>
          </w:p>
        </w:tc>
        <w:tc>
          <w:tcPr>
            <w:tcW w:w="7175" w:type="dxa"/>
            <w:tcBorders>
              <w:top w:val="nil"/>
              <w:left w:val="nil"/>
              <w:bottom w:val="nil"/>
              <w:right w:val="nil"/>
            </w:tcBorders>
          </w:tcPr>
          <w:p w14:paraId="14C628EC" w14:textId="33F7D58B" w:rsidR="009C38E1" w:rsidRPr="00DF2323" w:rsidRDefault="009C38E1" w:rsidP="001D281C">
            <w:pPr>
              <w:spacing w:after="120"/>
              <w:rPr>
                <w:rFonts w:eastAsia="Times New Roman"/>
                <w:sz w:val="20"/>
                <w:szCs w:val="20"/>
                <w:lang w:eastAsia="en-US"/>
              </w:rPr>
            </w:pPr>
            <w:r w:rsidRPr="00DF2323">
              <w:rPr>
                <w:rFonts w:eastAsia="Times New Roman"/>
                <w:sz w:val="20"/>
                <w:szCs w:val="20"/>
                <w:lang w:eastAsia="en-US"/>
              </w:rPr>
              <w:t>None reported</w:t>
            </w:r>
          </w:p>
        </w:tc>
      </w:tr>
      <w:tr w:rsidR="009C38E1" w:rsidRPr="00DF2323" w14:paraId="7856E65F" w14:textId="77777777" w:rsidTr="00BE04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622" w:type="dxa"/>
            <w:tcBorders>
              <w:top w:val="nil"/>
              <w:left w:val="nil"/>
              <w:bottom w:val="nil"/>
              <w:right w:val="nil"/>
            </w:tcBorders>
          </w:tcPr>
          <w:p w14:paraId="10F500E1" w14:textId="77777777" w:rsidR="009C38E1" w:rsidRPr="00DF2323" w:rsidRDefault="009C38E1" w:rsidP="00BE0479">
            <w:pPr>
              <w:spacing w:after="60"/>
              <w:rPr>
                <w:rFonts w:eastAsia="Times New Roman"/>
                <w:b/>
                <w:bCs/>
                <w:sz w:val="20"/>
                <w:szCs w:val="20"/>
                <w:lang w:eastAsia="en-US"/>
              </w:rPr>
            </w:pPr>
            <w:r w:rsidRPr="00DF2323">
              <w:rPr>
                <w:rFonts w:eastAsia="Times New Roman"/>
                <w:b/>
                <w:bCs/>
                <w:sz w:val="20"/>
                <w:szCs w:val="20"/>
                <w:lang w:eastAsia="en-US"/>
              </w:rPr>
              <w:t>3.7</w:t>
            </w:r>
          </w:p>
        </w:tc>
        <w:tc>
          <w:tcPr>
            <w:tcW w:w="1700" w:type="dxa"/>
            <w:tcBorders>
              <w:top w:val="nil"/>
              <w:left w:val="nil"/>
              <w:bottom w:val="nil"/>
              <w:right w:val="nil"/>
            </w:tcBorders>
          </w:tcPr>
          <w:p w14:paraId="222F7076"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Summary-overall risk evaluation</w:t>
            </w:r>
          </w:p>
        </w:tc>
        <w:tc>
          <w:tcPr>
            <w:tcW w:w="7175" w:type="dxa"/>
            <w:tcBorders>
              <w:top w:val="nil"/>
              <w:left w:val="nil"/>
              <w:bottom w:val="nil"/>
              <w:right w:val="nil"/>
            </w:tcBorders>
          </w:tcPr>
          <w:p w14:paraId="10FA259A"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Malaysia</w:t>
            </w:r>
          </w:p>
          <w:p w14:paraId="67814A67" w14:textId="77777777" w:rsidR="009C38E1" w:rsidRPr="00DF2323" w:rsidRDefault="009C38E1" w:rsidP="006111F6">
            <w:pPr>
              <w:spacing w:after="120"/>
              <w:rPr>
                <w:rFonts w:eastAsia="Times New Roman"/>
                <w:sz w:val="20"/>
                <w:szCs w:val="20"/>
                <w:lang w:eastAsia="en-US"/>
              </w:rPr>
            </w:pPr>
            <w:r w:rsidRPr="00DF2323">
              <w:rPr>
                <w:rFonts w:eastAsia="Times New Roman"/>
                <w:sz w:val="20"/>
                <w:szCs w:val="20"/>
                <w:lang w:eastAsia="en-US"/>
              </w:rPr>
              <w:t xml:space="preserve">Malaysia undertook a risk evaluation where they analysed international risk assessments and did bridging with local conditions of use of paraquat and actual exposure. Specifically, Paraquat has been classified by the Pesticides Board under Class Ib - very highly hazardous to humans instead of Class II (of WHO classification) because it was taken into consideration that under local conditions paraquat cannot be used safely due to hot and humid weather, which makes wearing full protective gears not always practical. This is supported by the evaluation of the paraquat study undertaken by the Malaysian Palm Oil Board, which identified unacceptably high OEL (Operator Exposure Level) under local conditions of use. Furthermore, the Ministry of Health of Malaysia has confirmed actual exposure to the pesticide according to the cases of poisoning referred to government clinics/hospitals where the poisoning data shows that the cause of paraquat poisoning is suicide, followed by accidental drinking and occupational poisoning. </w:t>
            </w:r>
          </w:p>
          <w:p w14:paraId="661039DE" w14:textId="77777777" w:rsidR="009C38E1" w:rsidRPr="00DF2323" w:rsidRDefault="009C38E1" w:rsidP="00BE0479">
            <w:pPr>
              <w:spacing w:before="240"/>
              <w:rPr>
                <w:rFonts w:eastAsia="Times New Roman"/>
                <w:b/>
                <w:bCs/>
                <w:sz w:val="20"/>
                <w:szCs w:val="20"/>
                <w:lang w:eastAsia="en-US"/>
              </w:rPr>
            </w:pPr>
            <w:r w:rsidRPr="00DF2323">
              <w:rPr>
                <w:rFonts w:eastAsia="Times New Roman"/>
                <w:b/>
                <w:bCs/>
                <w:sz w:val="20"/>
                <w:szCs w:val="20"/>
                <w:lang w:eastAsia="en-US"/>
              </w:rPr>
              <w:t>Mozambique</w:t>
            </w:r>
          </w:p>
          <w:p w14:paraId="1788DB6F" w14:textId="1C9C4D79" w:rsidR="009C38E1" w:rsidRPr="00DF2323" w:rsidRDefault="009C38E1" w:rsidP="001D281C">
            <w:pPr>
              <w:spacing w:after="120"/>
              <w:rPr>
                <w:sz w:val="20"/>
                <w:szCs w:val="20"/>
              </w:rPr>
            </w:pPr>
            <w:r w:rsidRPr="00DF2323">
              <w:rPr>
                <w:rFonts w:eastAsia="Times New Roman"/>
                <w:sz w:val="20"/>
                <w:szCs w:val="20"/>
                <w:lang w:eastAsia="en-US"/>
              </w:rPr>
              <w:t>As part of Mozambique’s national objective of reducing risks of the most dangerous pesticides including HHPs, Mozambique has conducted a risk evaluation of the human health effects of paraquat. Taking into consideration the results of the survey of pesticide use practices in selected cropping systems in Mozambique, (some of which are representative of potential paraquat use), which included the identification of inadequate availability and use of PPE, and the high acute toxicity of paraquat (WHO</w:t>
            </w:r>
            <w:r w:rsidR="001C1E84">
              <w:rPr>
                <w:rFonts w:eastAsia="Times New Roman"/>
                <w:sz w:val="20"/>
                <w:szCs w:val="20"/>
                <w:lang w:eastAsia="en-US"/>
              </w:rPr>
              <w:t> </w:t>
            </w:r>
            <w:r w:rsidRPr="00DF2323">
              <w:rPr>
                <w:rFonts w:eastAsia="Times New Roman"/>
                <w:sz w:val="20"/>
                <w:szCs w:val="20"/>
                <w:lang w:eastAsia="en-US"/>
              </w:rPr>
              <w:t>Class II) with a note on serious delayed effects if absorbed (note 7 -</w:t>
            </w:r>
            <w:r w:rsidRPr="00DF2323">
              <w:t xml:space="preserve"> </w:t>
            </w:r>
            <w:r w:rsidRPr="00DF2323">
              <w:rPr>
                <w:rFonts w:eastAsia="Times New Roman"/>
                <w:i/>
                <w:iCs/>
                <w:sz w:val="20"/>
                <w:szCs w:val="20"/>
                <w:lang w:eastAsia="en-US"/>
              </w:rPr>
              <w:t>Paraquat has serious delayed effects if absorbed. It is of relatively low hazard in normal use but may be fatal if the concentrated product is taken by mouth or spread on the skin</w:t>
            </w:r>
            <w:r w:rsidRPr="00DF2323">
              <w:rPr>
                <w:rFonts w:eastAsia="Times New Roman"/>
                <w:sz w:val="20"/>
                <w:szCs w:val="20"/>
                <w:lang w:eastAsia="en-US"/>
              </w:rPr>
              <w:t xml:space="preserve">); dermal hazard close to WHO Class Ib and very low AOEL), along with the results of occupational risk assessments, which showed that the applications of six pesticides (among those paraquat) at registered dose rates would result in exceedance of acceptable operator exposure levels in all cropping systems that were assessed, both with and without PPE. Mozambique concluded that the use of paraquat was likely to result in excessive exposure of farmers in Mozambique and </w:t>
            </w:r>
            <w:r w:rsidRPr="00DF2323">
              <w:rPr>
                <w:sz w:val="20"/>
                <w:szCs w:val="20"/>
              </w:rPr>
              <w:t>that g</w:t>
            </w:r>
            <w:r w:rsidRPr="00DF2323">
              <w:rPr>
                <w:rFonts w:eastAsia="Times New Roman"/>
                <w:sz w:val="20"/>
                <w:szCs w:val="20"/>
                <w:lang w:eastAsia="en-US"/>
              </w:rPr>
              <w:t>iven the large risk quotient, it was unlikely that locally feasible mitigation measures would reduce the risk of paraquat to acceptable level</w:t>
            </w:r>
            <w:r w:rsidRPr="00DF2323">
              <w:rPr>
                <w:sz w:val="20"/>
                <w:szCs w:val="20"/>
              </w:rPr>
              <w:t>.</w:t>
            </w:r>
          </w:p>
        </w:tc>
      </w:tr>
      <w:tr w:rsidR="009C38E1" w:rsidRPr="00DF2323" w14:paraId="08DC4FBD" w14:textId="77777777" w:rsidTr="00BE0479">
        <w:tblPrEx>
          <w:tblBorders>
            <w:top w:val="single" w:sz="6" w:space="0" w:color="C0C0C0"/>
            <w:left w:val="single" w:sz="6" w:space="0" w:color="C0C0C0"/>
            <w:bottom w:val="single" w:sz="6" w:space="0" w:color="C0C0C0"/>
            <w:right w:val="single" w:sz="6" w:space="0" w:color="C0C0C0"/>
          </w:tblBorders>
        </w:tblPrEx>
        <w:trPr>
          <w:jc w:val="right"/>
        </w:trPr>
        <w:tc>
          <w:tcPr>
            <w:tcW w:w="622" w:type="dxa"/>
            <w:tcBorders>
              <w:top w:val="nil"/>
              <w:left w:val="nil"/>
              <w:bottom w:val="nil"/>
              <w:right w:val="nil"/>
            </w:tcBorders>
          </w:tcPr>
          <w:p w14:paraId="38D0BB6E" w14:textId="77777777" w:rsidR="009C38E1" w:rsidRPr="00DF2323" w:rsidRDefault="009C38E1" w:rsidP="00BE0479">
            <w:pPr>
              <w:spacing w:before="40" w:after="60"/>
              <w:outlineLvl w:val="0"/>
              <w:rPr>
                <w:rFonts w:eastAsia="Times New Roman"/>
                <w:b/>
                <w:bCs/>
                <w:kern w:val="28"/>
                <w:sz w:val="16"/>
                <w:szCs w:val="29"/>
                <w:lang w:eastAsia="en-US"/>
              </w:rPr>
            </w:pPr>
          </w:p>
        </w:tc>
        <w:tc>
          <w:tcPr>
            <w:tcW w:w="8875" w:type="dxa"/>
            <w:gridSpan w:val="2"/>
            <w:tcBorders>
              <w:top w:val="nil"/>
              <w:left w:val="nil"/>
              <w:bottom w:val="nil"/>
              <w:right w:val="nil"/>
            </w:tcBorders>
          </w:tcPr>
          <w:p w14:paraId="3AB33A9C" w14:textId="77777777" w:rsidR="009C38E1" w:rsidRPr="00DF2323" w:rsidRDefault="009C38E1" w:rsidP="00BE0479">
            <w:pPr>
              <w:spacing w:before="40" w:after="60"/>
              <w:outlineLvl w:val="0"/>
              <w:rPr>
                <w:rFonts w:eastAsia="Times New Roman"/>
                <w:b/>
                <w:bCs/>
                <w:kern w:val="28"/>
                <w:sz w:val="16"/>
                <w:szCs w:val="29"/>
                <w:lang w:eastAsia="en-US"/>
              </w:rPr>
            </w:pPr>
          </w:p>
        </w:tc>
      </w:tr>
      <w:tr w:rsidR="009C38E1" w:rsidRPr="00DF2323" w14:paraId="600B8AE0" w14:textId="77777777" w:rsidTr="00BE0479">
        <w:tblPrEx>
          <w:tblBorders>
            <w:top w:val="single" w:sz="6" w:space="0" w:color="C0C0C0"/>
            <w:left w:val="single" w:sz="6" w:space="0" w:color="C0C0C0"/>
            <w:bottom w:val="single" w:sz="6" w:space="0" w:color="C0C0C0"/>
            <w:right w:val="single" w:sz="6" w:space="0" w:color="C0C0C0"/>
          </w:tblBorders>
        </w:tblPrEx>
        <w:trPr>
          <w:jc w:val="right"/>
        </w:trPr>
        <w:tc>
          <w:tcPr>
            <w:tcW w:w="622" w:type="dxa"/>
            <w:tcBorders>
              <w:top w:val="nil"/>
              <w:left w:val="nil"/>
              <w:bottom w:val="single" w:sz="4" w:space="0" w:color="auto"/>
              <w:right w:val="nil"/>
            </w:tcBorders>
          </w:tcPr>
          <w:p w14:paraId="06EBA9B4" w14:textId="77777777" w:rsidR="009C38E1" w:rsidRPr="00DF2323" w:rsidRDefault="009C38E1" w:rsidP="00BE0479">
            <w:pPr>
              <w:spacing w:before="40" w:after="60"/>
              <w:outlineLvl w:val="0"/>
              <w:rPr>
                <w:rFonts w:eastAsia="Times New Roman"/>
                <w:b/>
                <w:bCs/>
                <w:kern w:val="28"/>
                <w:szCs w:val="29"/>
                <w:lang w:eastAsia="en-US"/>
              </w:rPr>
            </w:pPr>
            <w:r w:rsidRPr="00DF2323">
              <w:rPr>
                <w:rFonts w:eastAsia="Times New Roman"/>
                <w:b/>
                <w:bCs/>
                <w:kern w:val="28"/>
                <w:szCs w:val="29"/>
                <w:lang w:eastAsia="en-US"/>
              </w:rPr>
              <w:t>4</w:t>
            </w:r>
          </w:p>
        </w:tc>
        <w:tc>
          <w:tcPr>
            <w:tcW w:w="8875" w:type="dxa"/>
            <w:gridSpan w:val="2"/>
            <w:tcBorders>
              <w:top w:val="nil"/>
              <w:left w:val="nil"/>
              <w:bottom w:val="single" w:sz="4" w:space="0" w:color="auto"/>
              <w:right w:val="nil"/>
            </w:tcBorders>
          </w:tcPr>
          <w:p w14:paraId="19DA2008" w14:textId="77777777" w:rsidR="009C38E1" w:rsidRPr="00DF2323" w:rsidRDefault="009C38E1" w:rsidP="00BE0479">
            <w:pPr>
              <w:spacing w:before="40" w:after="60"/>
              <w:outlineLvl w:val="0"/>
              <w:rPr>
                <w:rFonts w:eastAsia="Times New Roman"/>
                <w:bCs/>
                <w:i/>
                <w:kern w:val="28"/>
                <w:szCs w:val="29"/>
                <w:lang w:eastAsia="en-US"/>
              </w:rPr>
            </w:pPr>
            <w:r w:rsidRPr="00DF2323">
              <w:rPr>
                <w:rFonts w:eastAsia="Times New Roman"/>
                <w:b/>
                <w:bCs/>
                <w:kern w:val="28"/>
                <w:szCs w:val="29"/>
                <w:lang w:eastAsia="en-US"/>
              </w:rPr>
              <w:t xml:space="preserve">Environmental fate and effects </w:t>
            </w:r>
          </w:p>
        </w:tc>
      </w:tr>
      <w:tr w:rsidR="009C38E1" w:rsidRPr="00DF2323" w14:paraId="67C0ECD8" w14:textId="77777777" w:rsidTr="00BE0479">
        <w:trPr>
          <w:jc w:val="right"/>
        </w:trPr>
        <w:tc>
          <w:tcPr>
            <w:tcW w:w="622" w:type="dxa"/>
            <w:tcBorders>
              <w:top w:val="single" w:sz="4" w:space="0" w:color="auto"/>
            </w:tcBorders>
          </w:tcPr>
          <w:p w14:paraId="35DBA784"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4.1</w:t>
            </w:r>
          </w:p>
        </w:tc>
        <w:tc>
          <w:tcPr>
            <w:tcW w:w="1700" w:type="dxa"/>
            <w:tcBorders>
              <w:top w:val="single" w:sz="4" w:space="0" w:color="auto"/>
            </w:tcBorders>
          </w:tcPr>
          <w:p w14:paraId="46B63B42"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Fate</w:t>
            </w:r>
          </w:p>
        </w:tc>
        <w:tc>
          <w:tcPr>
            <w:tcW w:w="7175" w:type="dxa"/>
            <w:tcBorders>
              <w:top w:val="single" w:sz="4" w:space="0" w:color="auto"/>
            </w:tcBorders>
          </w:tcPr>
          <w:p w14:paraId="580C37AE" w14:textId="77777777" w:rsidR="009C38E1" w:rsidRPr="00DF2323" w:rsidRDefault="009C38E1" w:rsidP="00BE0479">
            <w:pPr>
              <w:rPr>
                <w:rFonts w:eastAsia="Times New Roman"/>
                <w:i/>
                <w:iCs/>
                <w:snapToGrid w:val="0"/>
                <w:sz w:val="20"/>
                <w:szCs w:val="20"/>
                <w:lang w:eastAsia="en-US"/>
              </w:rPr>
            </w:pPr>
          </w:p>
        </w:tc>
      </w:tr>
      <w:tr w:rsidR="009C38E1" w:rsidRPr="00DF2323" w14:paraId="258CC6DF" w14:textId="77777777" w:rsidTr="00BE0479">
        <w:trPr>
          <w:jc w:val="right"/>
        </w:trPr>
        <w:tc>
          <w:tcPr>
            <w:tcW w:w="622" w:type="dxa"/>
          </w:tcPr>
          <w:p w14:paraId="6F4B041D"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4.1.1</w:t>
            </w:r>
          </w:p>
        </w:tc>
        <w:tc>
          <w:tcPr>
            <w:tcW w:w="1700" w:type="dxa"/>
          </w:tcPr>
          <w:p w14:paraId="2BE9D116"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Soil</w:t>
            </w:r>
          </w:p>
        </w:tc>
        <w:tc>
          <w:tcPr>
            <w:tcW w:w="7175" w:type="dxa"/>
          </w:tcPr>
          <w:p w14:paraId="4406F8E8" w14:textId="77777777" w:rsidR="009C38E1" w:rsidRPr="00DF2323" w:rsidRDefault="009C38E1" w:rsidP="00BE0479">
            <w:pPr>
              <w:rPr>
                <w:rFonts w:eastAsia="Times New Roman"/>
                <w:snapToGrid w:val="0"/>
                <w:sz w:val="20"/>
                <w:szCs w:val="20"/>
                <w:lang w:eastAsia="en-US"/>
              </w:rPr>
            </w:pPr>
            <w:r w:rsidRPr="00DF2323">
              <w:rPr>
                <w:rFonts w:eastAsia="Times New Roman"/>
                <w:b/>
                <w:bCs/>
                <w:snapToGrid w:val="0"/>
                <w:sz w:val="20"/>
                <w:szCs w:val="20"/>
                <w:lang w:eastAsia="en-US"/>
              </w:rPr>
              <w:t>JMPR (2004a, b); EU (2003); Mozambique</w:t>
            </w:r>
          </w:p>
          <w:p w14:paraId="5A87B3CC" w14:textId="77777777" w:rsidR="009C38E1" w:rsidRPr="00DF2323" w:rsidRDefault="009C38E1" w:rsidP="001D281C">
            <w:pPr>
              <w:spacing w:after="120"/>
              <w:rPr>
                <w:sz w:val="20"/>
                <w:szCs w:val="20"/>
              </w:rPr>
            </w:pPr>
            <w:r w:rsidRPr="00DF2323">
              <w:rPr>
                <w:rFonts w:eastAsia="Times New Roman"/>
                <w:snapToGrid w:val="0"/>
                <w:sz w:val="20"/>
                <w:szCs w:val="20"/>
                <w:lang w:eastAsia="en-US"/>
              </w:rPr>
              <w:t>Paraquat is shown to be very immobile in soil studies, from which there is no evidence of desorption of paraquat back into the water phase.</w:t>
            </w:r>
            <w:r w:rsidRPr="00DF2323">
              <w:rPr>
                <w:sz w:val="20"/>
                <w:szCs w:val="20"/>
              </w:rPr>
              <w:t xml:space="preserve"> </w:t>
            </w:r>
          </w:p>
          <w:p w14:paraId="3D719B9B"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Reported Koc values: 8,400 to 40,000,000 (very strong adsorption in all the soils tested).</w:t>
            </w:r>
          </w:p>
          <w:p w14:paraId="114C6292"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Reported Kd values were 480 to 400,000. Adsorption of paraquat increased with clay content. No measurable correlation with soil organic matter content was found. Paraquat adsorption is predominantly related to clay content, which is so strong that it masks any relationship with the soil organic matter content.</w:t>
            </w:r>
          </w:p>
          <w:p w14:paraId="31A4BC7C" w14:textId="77777777" w:rsidR="009C38E1" w:rsidRPr="00DF2323" w:rsidRDefault="009C38E1" w:rsidP="001D281C">
            <w:pPr>
              <w:autoSpaceDE w:val="0"/>
              <w:autoSpaceDN w:val="0"/>
              <w:adjustRightInd w:val="0"/>
              <w:spacing w:after="120"/>
              <w:rPr>
                <w:rFonts w:eastAsia="Times New Roman"/>
                <w:snapToGrid w:val="0"/>
                <w:sz w:val="20"/>
                <w:szCs w:val="20"/>
                <w:lang w:eastAsia="en-US"/>
              </w:rPr>
            </w:pPr>
            <w:r w:rsidRPr="00DF2323">
              <w:rPr>
                <w:rFonts w:eastAsia="Times New Roman"/>
                <w:snapToGrid w:val="0"/>
                <w:sz w:val="20"/>
                <w:szCs w:val="20"/>
                <w:lang w:eastAsia="en-US"/>
              </w:rPr>
              <w:t xml:space="preserve">Paraquat was applied to slurries of loam, loamy sand, silty clay loam or coarse sand in 0.01 mol/l aqueous calcium chloride at rates higher than normal, to give 0.01 mg/l in the equilibrium solution after a 16-h equilibration. The calculated adsorption coefficients ranged from 480 in the coarse sand to 50 000 in the loam. At normal </w:t>
            </w:r>
            <w:r w:rsidRPr="00DF2323">
              <w:rPr>
                <w:rFonts w:eastAsia="Times New Roman"/>
                <w:snapToGrid w:val="0"/>
                <w:sz w:val="20"/>
                <w:szCs w:val="20"/>
                <w:lang w:eastAsia="en-US"/>
              </w:rPr>
              <w:lastRenderedPageBreak/>
              <w:t>application rates, the concentration of paraquat in the equilibrium solution could not be determined (&lt; 0.0075 mg/l). No significant desorption was observed.</w:t>
            </w:r>
          </w:p>
          <w:p w14:paraId="7D95A22F" w14:textId="77777777" w:rsidR="009C38E1" w:rsidRPr="00DF2323" w:rsidRDefault="009C38E1" w:rsidP="001D281C">
            <w:pPr>
              <w:autoSpaceDE w:val="0"/>
              <w:autoSpaceDN w:val="0"/>
              <w:adjustRightInd w:val="0"/>
              <w:spacing w:after="120"/>
              <w:rPr>
                <w:rFonts w:eastAsia="Times New Roman"/>
                <w:snapToGrid w:val="0"/>
                <w:sz w:val="20"/>
                <w:szCs w:val="20"/>
                <w:lang w:eastAsia="en-US"/>
              </w:rPr>
            </w:pPr>
            <w:r w:rsidRPr="00DF2323">
              <w:rPr>
                <w:rFonts w:eastAsia="Times New Roman"/>
                <w:snapToGrid w:val="0"/>
                <w:sz w:val="20"/>
                <w:szCs w:val="20"/>
                <w:lang w:eastAsia="en-US"/>
              </w:rPr>
              <w:t>A field survey of 242 agricultural soils in Denmark, Germany, Greece, Italy, The Netherlands and the United Kingdom showed that paraquat was strongly adsorbed to all the soil types studied. The adsorption coefficients (Kd) calculated at application rates much higher than normal ranged from 980 to 400 000, and those adjusted for the organic carbon content of soil (Koc) were 8400–40 000 000. Adsorption coefficients could not be calculated at normal application rates because the concentration in equilibrium solution was below the limit of determination (0.01 mg/l). On the McCall scale, paraquat was classified as ‘immobile’ in all these soils, without leaching.</w:t>
            </w:r>
          </w:p>
          <w:p w14:paraId="5C5CA36F"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In long-term field dissipation studies conducted on cropped plots in Australia, Malaysia, The Netherlands, Thailand, the United Kingdom and the USA, the location had no major effect on the field dissipation rate. Generally, paraquat residue levels had declined to about 50% 10–20 years after the start of the studies. This implies a DT50 of 10–20 years after application of single, large doses of paraquat to soil.</w:t>
            </w:r>
          </w:p>
          <w:p w14:paraId="53C0F99C" w14:textId="1F375430" w:rsidR="009C38E1" w:rsidRPr="00DF2323" w:rsidRDefault="009C38E1" w:rsidP="001D281C">
            <w:pPr>
              <w:autoSpaceDE w:val="0"/>
              <w:autoSpaceDN w:val="0"/>
              <w:adjustRightInd w:val="0"/>
              <w:spacing w:after="120"/>
              <w:rPr>
                <w:rFonts w:eastAsia="Times New Roman"/>
                <w:snapToGrid w:val="0"/>
                <w:sz w:val="20"/>
                <w:szCs w:val="20"/>
                <w:lang w:eastAsia="en-US"/>
              </w:rPr>
            </w:pPr>
            <w:r w:rsidRPr="00DF2323">
              <w:rPr>
                <w:rFonts w:eastAsia="Times New Roman"/>
                <w:snapToGrid w:val="0"/>
                <w:sz w:val="20"/>
                <w:szCs w:val="20"/>
                <w:lang w:eastAsia="en-US"/>
              </w:rPr>
              <w:t>Adsorption is correlated to clay content. The amount of paraquat deactivated by adsorption is determined by a wheat bioassay (SAC-WB). Most soils have a large excess of adsorption capacity relative to use rate. Exceeding SAC-WB values may be possible only in soils with very low SAC-WB values following</w:t>
            </w:r>
            <w:r w:rsidR="001D281C" w:rsidRPr="00DF2323">
              <w:rPr>
                <w:rFonts w:eastAsia="Times New Roman"/>
                <w:snapToGrid w:val="0"/>
                <w:sz w:val="20"/>
                <w:szCs w:val="20"/>
                <w:lang w:eastAsia="en-US"/>
              </w:rPr>
              <w:t xml:space="preserve"> </w:t>
            </w:r>
            <w:r w:rsidRPr="00DF2323">
              <w:rPr>
                <w:rFonts w:eastAsia="Times New Roman"/>
                <w:snapToGrid w:val="0"/>
                <w:sz w:val="20"/>
                <w:szCs w:val="20"/>
                <w:lang w:eastAsia="en-US"/>
              </w:rPr>
              <w:t>repeated application at high rates.</w:t>
            </w:r>
          </w:p>
          <w:p w14:paraId="5D123A29"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The notification and supporting documentation provided by Mozambique indicate that the Groundwater ubiquity score (</w:t>
            </w:r>
            <w:bookmarkStart w:id="9" w:name="_Hlk120865618"/>
            <w:r w:rsidRPr="00DF2323">
              <w:rPr>
                <w:rFonts w:eastAsia="Times New Roman"/>
                <w:snapToGrid w:val="0"/>
                <w:sz w:val="20"/>
                <w:szCs w:val="20"/>
                <w:lang w:eastAsia="en-US"/>
              </w:rPr>
              <w:t>GUS) index for paraquat is - 6.9</w:t>
            </w:r>
            <w:bookmarkEnd w:id="9"/>
            <w:r w:rsidRPr="00DF2323">
              <w:rPr>
                <w:rFonts w:eastAsia="Times New Roman"/>
                <w:snapToGrid w:val="0"/>
                <w:sz w:val="20"/>
                <w:szCs w:val="20"/>
                <w:lang w:eastAsia="en-US"/>
              </w:rPr>
              <w:t>, which indicates a very low leaching potential (Lahr et al., 2014).</w:t>
            </w:r>
          </w:p>
          <w:p w14:paraId="12F2D64E"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 xml:space="preserve">The strong adsorption of paraquat to soil precludes paraquat degradation in soil being studied effectively by standard guideline methods. The strong adsorption also greatly reduces the rate of formation of degradation products to amounts that would not be detectable using standard methods. Soil microbial degradation studies fulfil the scientific intent of demonstrating the intrinsic degradability of paraquat. </w:t>
            </w:r>
          </w:p>
          <w:p w14:paraId="6647C460" w14:textId="77777777" w:rsidR="009C38E1" w:rsidRPr="00DF2323" w:rsidRDefault="009C38E1" w:rsidP="001D281C">
            <w:pPr>
              <w:spacing w:after="120"/>
              <w:rPr>
                <w:rFonts w:eastAsia="Times New Roman"/>
                <w:snapToGrid w:val="0"/>
                <w:sz w:val="20"/>
                <w:szCs w:val="20"/>
                <w:lang w:eastAsia="en-US"/>
              </w:rPr>
            </w:pPr>
            <w:r w:rsidRPr="00DF2323">
              <w:rPr>
                <w:rFonts w:eastAsia="Times New Roman"/>
                <w:snapToGrid w:val="0"/>
                <w:sz w:val="20"/>
                <w:szCs w:val="20"/>
                <w:lang w:eastAsia="en-US"/>
              </w:rPr>
              <w:t xml:space="preserve">Microbiological degradation studies were conducted with microorganisms isolated from soil. The most effective soil organism for decomposing paraquat was a yeast species, </w:t>
            </w:r>
            <w:r w:rsidRPr="00DF2323">
              <w:rPr>
                <w:rFonts w:eastAsia="Times New Roman"/>
                <w:i/>
                <w:iCs/>
                <w:snapToGrid w:val="0"/>
                <w:sz w:val="20"/>
                <w:szCs w:val="20"/>
                <w:lang w:eastAsia="en-US"/>
              </w:rPr>
              <w:t>Lipomyces starkeyi</w:t>
            </w:r>
            <w:r w:rsidRPr="00DF2323">
              <w:rPr>
                <w:rFonts w:eastAsia="Times New Roman"/>
                <w:snapToGrid w:val="0"/>
                <w:sz w:val="20"/>
                <w:szCs w:val="20"/>
                <w:lang w:eastAsia="en-US"/>
              </w:rPr>
              <w:t xml:space="preserve">.  The degradation rate of paraquat in soil was determined by cultivating 10 mg/kg [U-14Cdipyridyl] paraquat with </w:t>
            </w:r>
            <w:r w:rsidRPr="00DF2323">
              <w:rPr>
                <w:rFonts w:eastAsia="Times New Roman"/>
                <w:i/>
                <w:iCs/>
                <w:snapToGrid w:val="0"/>
                <w:sz w:val="20"/>
                <w:szCs w:val="20"/>
                <w:lang w:eastAsia="en-US"/>
              </w:rPr>
              <w:t>Lipomyces</w:t>
            </w:r>
            <w:r w:rsidRPr="00DF2323">
              <w:rPr>
                <w:rFonts w:eastAsia="Times New Roman"/>
                <w:snapToGrid w:val="0"/>
                <w:sz w:val="20"/>
                <w:szCs w:val="20"/>
                <w:lang w:eastAsia="en-US"/>
              </w:rPr>
              <w:t xml:space="preserve"> and mixed cultures derived from two soils. The degradation of paraquat was rapid, with a DT</w:t>
            </w:r>
            <w:r w:rsidRPr="00DF2323">
              <w:rPr>
                <w:rFonts w:eastAsia="Times New Roman"/>
                <w:snapToGrid w:val="0"/>
                <w:sz w:val="20"/>
                <w:szCs w:val="20"/>
                <w:vertAlign w:val="subscript"/>
                <w:lang w:eastAsia="en-US"/>
              </w:rPr>
              <w:t xml:space="preserve">50 </w:t>
            </w:r>
            <w:r w:rsidRPr="00DF2323">
              <w:rPr>
                <w:rFonts w:eastAsia="Times New Roman"/>
                <w:snapToGrid w:val="0"/>
                <w:sz w:val="20"/>
                <w:szCs w:val="20"/>
                <w:lang w:eastAsia="en-US"/>
              </w:rPr>
              <w:t>between 0.02 and 1.3 days after a lag phase of about 2 days, accompanied by rapid mineralization to CO</w:t>
            </w:r>
            <w:r w:rsidRPr="00DF2323">
              <w:rPr>
                <w:rFonts w:eastAsia="Times New Roman"/>
                <w:snapToGrid w:val="0"/>
                <w:sz w:val="20"/>
                <w:szCs w:val="20"/>
                <w:vertAlign w:val="subscript"/>
                <w:lang w:eastAsia="en-US"/>
              </w:rPr>
              <w:t>2</w:t>
            </w:r>
            <w:r w:rsidRPr="00DF2323">
              <w:rPr>
                <w:rFonts w:eastAsia="Times New Roman"/>
                <w:snapToGrid w:val="0"/>
                <w:sz w:val="20"/>
                <w:szCs w:val="20"/>
                <w:lang w:eastAsia="en-US"/>
              </w:rPr>
              <w:t xml:space="preserve"> and the formation of several unidentified minor polar metabolites.</w:t>
            </w:r>
          </w:p>
          <w:p w14:paraId="09CD56EF" w14:textId="77777777" w:rsidR="009C38E1" w:rsidRPr="00DF2323" w:rsidRDefault="009C38E1" w:rsidP="001D281C">
            <w:pPr>
              <w:spacing w:after="120"/>
              <w:rPr>
                <w:rFonts w:eastAsia="Times New Roman"/>
                <w:b/>
                <w:bCs/>
                <w:snapToGrid w:val="0"/>
                <w:sz w:val="20"/>
                <w:szCs w:val="20"/>
                <w:lang w:eastAsia="en-US"/>
              </w:rPr>
            </w:pPr>
            <w:r w:rsidRPr="00DF2323">
              <w:rPr>
                <w:rFonts w:eastAsia="Times New Roman"/>
                <w:snapToGrid w:val="0"/>
                <w:sz w:val="20"/>
                <w:szCs w:val="20"/>
                <w:lang w:eastAsia="en-US"/>
              </w:rPr>
              <w:t>Photodegradation on the soil surface is not considered to be a major environmental degradation process for paraquat.</w:t>
            </w:r>
          </w:p>
        </w:tc>
      </w:tr>
      <w:tr w:rsidR="009C38E1" w:rsidRPr="00DF2323" w14:paraId="040A87E4" w14:textId="77777777" w:rsidTr="00BE0479">
        <w:trPr>
          <w:jc w:val="right"/>
        </w:trPr>
        <w:tc>
          <w:tcPr>
            <w:tcW w:w="622" w:type="dxa"/>
          </w:tcPr>
          <w:p w14:paraId="24B62DC2"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lastRenderedPageBreak/>
              <w:t>4.1.2</w:t>
            </w:r>
          </w:p>
        </w:tc>
        <w:tc>
          <w:tcPr>
            <w:tcW w:w="1700" w:type="dxa"/>
          </w:tcPr>
          <w:p w14:paraId="7C062FA8"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Water</w:t>
            </w:r>
          </w:p>
        </w:tc>
        <w:tc>
          <w:tcPr>
            <w:tcW w:w="7175" w:type="dxa"/>
          </w:tcPr>
          <w:p w14:paraId="145F4B7A" w14:textId="77777777" w:rsidR="009C38E1" w:rsidRPr="00DF2323" w:rsidRDefault="009C38E1" w:rsidP="001D281C">
            <w:pPr>
              <w:keepNext/>
              <w:spacing w:before="40"/>
              <w:outlineLvl w:val="8"/>
              <w:rPr>
                <w:rFonts w:eastAsia="Times New Roman"/>
                <w:snapToGrid w:val="0"/>
                <w:sz w:val="20"/>
                <w:szCs w:val="20"/>
                <w:lang w:eastAsia="en-US"/>
              </w:rPr>
            </w:pPr>
            <w:r w:rsidRPr="00DF2323">
              <w:rPr>
                <w:rFonts w:eastAsia="Times New Roman"/>
                <w:b/>
                <w:bCs/>
                <w:snapToGrid w:val="0"/>
                <w:sz w:val="20"/>
                <w:szCs w:val="20"/>
                <w:lang w:eastAsia="en-US"/>
              </w:rPr>
              <w:t>JMPR (2004a, b)</w:t>
            </w:r>
          </w:p>
          <w:p w14:paraId="26DF3C26" w14:textId="77777777" w:rsidR="009C38E1" w:rsidRPr="00DF2323" w:rsidRDefault="009C38E1" w:rsidP="001D281C">
            <w:pPr>
              <w:keepNext/>
              <w:spacing w:after="120"/>
              <w:outlineLvl w:val="8"/>
              <w:rPr>
                <w:rFonts w:eastAsia="Times New Roman"/>
                <w:snapToGrid w:val="0"/>
                <w:sz w:val="20"/>
                <w:szCs w:val="20"/>
                <w:lang w:eastAsia="en-US"/>
              </w:rPr>
            </w:pPr>
            <w:r w:rsidRPr="00DF2323">
              <w:rPr>
                <w:rFonts w:eastAsia="Times New Roman"/>
                <w:snapToGrid w:val="0"/>
                <w:sz w:val="20"/>
                <w:szCs w:val="20"/>
                <w:lang w:eastAsia="en-US"/>
              </w:rPr>
              <w:t>[U-14C-dipyridyl] Paraquat in deionized water was applied to the water surface of two continuously aerated sediment–water systems at a rate equivalent to 1.1 kg ai/ha. Paraquat was strongly adsorbed to the sediment in both systems, even immediately after treatment. After 100 days of incubation, 0.1–0.2% of the applied radioactivity was found in the aqueous phase, 92.9–94.9% in extracts from sediment fractions and 4.2–4.5% in unextracted sediment fractions. Most of the radiolabel recovered from the aqueous phase and sediment extract was attributed to paraquat, while no degradation products were detected. The DT</w:t>
            </w:r>
            <w:r w:rsidRPr="00DF2323">
              <w:rPr>
                <w:rFonts w:eastAsia="Times New Roman"/>
                <w:snapToGrid w:val="0"/>
                <w:sz w:val="20"/>
                <w:szCs w:val="20"/>
                <w:vertAlign w:val="subscript"/>
                <w:lang w:eastAsia="en-US"/>
              </w:rPr>
              <w:t>50</w:t>
            </w:r>
            <w:r w:rsidRPr="00DF2323">
              <w:rPr>
                <w:rFonts w:eastAsia="Times New Roman"/>
                <w:snapToGrid w:val="0"/>
                <w:sz w:val="20"/>
                <w:szCs w:val="20"/>
                <w:lang w:eastAsia="en-US"/>
              </w:rPr>
              <w:t xml:space="preserve"> or the DT</w:t>
            </w:r>
            <w:r w:rsidRPr="00DF2323">
              <w:rPr>
                <w:rFonts w:eastAsia="Times New Roman"/>
                <w:snapToGrid w:val="0"/>
                <w:sz w:val="20"/>
                <w:szCs w:val="20"/>
                <w:vertAlign w:val="subscript"/>
                <w:lang w:eastAsia="en-US"/>
              </w:rPr>
              <w:t>90</w:t>
            </w:r>
            <w:r w:rsidRPr="00DF2323">
              <w:rPr>
                <w:rFonts w:eastAsia="Times New Roman"/>
                <w:snapToGrid w:val="0"/>
                <w:sz w:val="20"/>
                <w:szCs w:val="20"/>
                <w:lang w:eastAsia="en-US"/>
              </w:rPr>
              <w:t xml:space="preserve"> could not be estimated as no significant degradation of paraquat was observed during the experimental period.</w:t>
            </w:r>
          </w:p>
          <w:p w14:paraId="3FFA653C" w14:textId="285BA148" w:rsidR="009C38E1" w:rsidRPr="00DF2323" w:rsidRDefault="009C38E1" w:rsidP="001D281C">
            <w:pPr>
              <w:keepNext/>
              <w:spacing w:after="120"/>
              <w:outlineLvl w:val="8"/>
              <w:rPr>
                <w:rFonts w:eastAsia="Times New Roman"/>
                <w:snapToGrid w:val="0"/>
                <w:sz w:val="20"/>
                <w:szCs w:val="20"/>
                <w:lang w:eastAsia="en-US"/>
              </w:rPr>
            </w:pPr>
            <w:r w:rsidRPr="00DF2323">
              <w:rPr>
                <w:rFonts w:eastAsia="Times New Roman"/>
                <w:snapToGrid w:val="0"/>
                <w:sz w:val="20"/>
                <w:szCs w:val="20"/>
                <w:lang w:eastAsia="en-US"/>
              </w:rPr>
              <w:t>Aqueous photolysis of paraquat was examined by maintaining ring-labelled paraquat in sterilized 0.01 mol/l phosphate buffer solution (28 mg/l) at 25 °C under light. After 36 days of irradiation simulating summer sunlight in Florida (USA), most of the recovered radioactivity was attributed to paraquat, with 0.13% as CO</w:t>
            </w:r>
            <w:r w:rsidRPr="00DF2323">
              <w:rPr>
                <w:rFonts w:eastAsia="Times New Roman"/>
                <w:snapToGrid w:val="0"/>
                <w:sz w:val="20"/>
                <w:szCs w:val="20"/>
                <w:vertAlign w:val="subscript"/>
                <w:lang w:eastAsia="en-US"/>
              </w:rPr>
              <w:t>2</w:t>
            </w:r>
            <w:r w:rsidRPr="00DF2323">
              <w:rPr>
                <w:rFonts w:eastAsia="Times New Roman"/>
                <w:snapToGrid w:val="0"/>
                <w:sz w:val="20"/>
                <w:szCs w:val="20"/>
                <w:lang w:eastAsia="en-US"/>
              </w:rPr>
              <w:t xml:space="preserve"> and no photodegradation products. When solutions of radiolabelled paraquat were exposed to unfiltered ultraviolet light, no paraquat remained after 3 days, with formation of CO</w:t>
            </w:r>
            <w:r w:rsidRPr="00DF2323">
              <w:rPr>
                <w:rFonts w:eastAsia="Times New Roman"/>
                <w:snapToGrid w:val="0"/>
                <w:sz w:val="20"/>
                <w:szCs w:val="20"/>
                <w:vertAlign w:val="subscript"/>
                <w:lang w:eastAsia="en-US"/>
              </w:rPr>
              <w:t>2</w:t>
            </w:r>
            <w:r w:rsidRPr="00DF2323">
              <w:rPr>
                <w:rFonts w:eastAsia="Times New Roman"/>
                <w:snapToGrid w:val="0"/>
                <w:sz w:val="20"/>
                <w:szCs w:val="20"/>
                <w:lang w:eastAsia="en-US"/>
              </w:rPr>
              <w:t>, methylamine and 4- carboxy-1-methylpyridinium ion; the last metabolite further degraded to CO</w:t>
            </w:r>
            <w:r w:rsidRPr="00DF2323">
              <w:rPr>
                <w:rFonts w:eastAsia="Times New Roman"/>
                <w:snapToGrid w:val="0"/>
                <w:sz w:val="20"/>
                <w:szCs w:val="20"/>
                <w:vertAlign w:val="subscript"/>
                <w:lang w:eastAsia="en-US"/>
              </w:rPr>
              <w:t>2</w:t>
            </w:r>
            <w:r w:rsidRPr="00DF2323">
              <w:rPr>
                <w:rFonts w:eastAsia="Times New Roman"/>
                <w:snapToGrid w:val="0"/>
                <w:sz w:val="20"/>
                <w:szCs w:val="20"/>
                <w:lang w:eastAsia="en-US"/>
              </w:rPr>
              <w:t xml:space="preserve"> and methylamine. These results indicate that, while paraquat appears </w:t>
            </w:r>
            <w:r w:rsidRPr="00DF2323">
              <w:rPr>
                <w:rFonts w:eastAsia="Times New Roman"/>
                <w:snapToGrid w:val="0"/>
                <w:sz w:val="20"/>
                <w:szCs w:val="20"/>
                <w:lang w:eastAsia="en-US"/>
              </w:rPr>
              <w:lastRenderedPageBreak/>
              <w:t>to be stable to photolysis at pH 7, it readily degrades into CO</w:t>
            </w:r>
            <w:r w:rsidRPr="00DF2323">
              <w:rPr>
                <w:rFonts w:eastAsia="Times New Roman"/>
                <w:snapToGrid w:val="0"/>
                <w:sz w:val="20"/>
                <w:szCs w:val="20"/>
                <w:vertAlign w:val="subscript"/>
                <w:lang w:eastAsia="en-US"/>
              </w:rPr>
              <w:t>2</w:t>
            </w:r>
            <w:r w:rsidRPr="00DF2323">
              <w:rPr>
                <w:rFonts w:eastAsia="Times New Roman"/>
                <w:snapToGrid w:val="0"/>
                <w:sz w:val="20"/>
                <w:szCs w:val="20"/>
                <w:lang w:eastAsia="en-US"/>
              </w:rPr>
              <w:t xml:space="preserve"> and methylamine when exposed to unfiltered ultraviolet light.</w:t>
            </w:r>
          </w:p>
        </w:tc>
      </w:tr>
      <w:tr w:rsidR="009C38E1" w:rsidRPr="00DF2323" w14:paraId="453F8AD8" w14:textId="77777777" w:rsidTr="00BE0479">
        <w:trPr>
          <w:jc w:val="right"/>
        </w:trPr>
        <w:tc>
          <w:tcPr>
            <w:tcW w:w="622" w:type="dxa"/>
          </w:tcPr>
          <w:p w14:paraId="230BE82F"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lastRenderedPageBreak/>
              <w:t>4.1.3</w:t>
            </w:r>
          </w:p>
        </w:tc>
        <w:tc>
          <w:tcPr>
            <w:tcW w:w="1700" w:type="dxa"/>
          </w:tcPr>
          <w:p w14:paraId="1AD708F3"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Air</w:t>
            </w:r>
          </w:p>
        </w:tc>
        <w:tc>
          <w:tcPr>
            <w:tcW w:w="7175" w:type="dxa"/>
          </w:tcPr>
          <w:p w14:paraId="157F0716" w14:textId="3E53F55B" w:rsidR="009C38E1" w:rsidRPr="00DF2323" w:rsidRDefault="009C38E1" w:rsidP="001D281C">
            <w:pPr>
              <w:keepNext/>
              <w:spacing w:after="120"/>
              <w:outlineLvl w:val="8"/>
              <w:rPr>
                <w:rFonts w:eastAsia="Times New Roman"/>
                <w:snapToGrid w:val="0"/>
                <w:sz w:val="20"/>
                <w:szCs w:val="20"/>
                <w:lang w:eastAsia="en-US"/>
              </w:rPr>
            </w:pPr>
            <w:r w:rsidRPr="00DF2323">
              <w:rPr>
                <w:rFonts w:eastAsia="Times New Roman"/>
                <w:snapToGrid w:val="0"/>
                <w:sz w:val="20"/>
                <w:szCs w:val="20"/>
                <w:lang w:eastAsia="en-US"/>
              </w:rPr>
              <w:t>Paraquat is not expected to volatilize due to its low vapor pressure &lt; 10</w:t>
            </w:r>
            <w:r w:rsidRPr="00DF2323">
              <w:rPr>
                <w:rFonts w:eastAsia="Times New Roman"/>
                <w:snapToGrid w:val="0"/>
                <w:sz w:val="20"/>
                <w:szCs w:val="20"/>
                <w:vertAlign w:val="superscript"/>
                <w:lang w:eastAsia="en-US"/>
              </w:rPr>
              <w:t>-8</w:t>
            </w:r>
            <w:r w:rsidRPr="00DF2323">
              <w:rPr>
                <w:rFonts w:eastAsia="Times New Roman"/>
                <w:snapToGrid w:val="0"/>
                <w:sz w:val="20"/>
                <w:szCs w:val="20"/>
                <w:lang w:eastAsia="en-US"/>
              </w:rPr>
              <w:t xml:space="preserve"> kPa at 25 °C</w:t>
            </w:r>
          </w:p>
        </w:tc>
      </w:tr>
      <w:tr w:rsidR="009C38E1" w:rsidRPr="00DF2323" w14:paraId="758F38A0" w14:textId="77777777" w:rsidTr="00BE0479">
        <w:trPr>
          <w:jc w:val="right"/>
        </w:trPr>
        <w:tc>
          <w:tcPr>
            <w:tcW w:w="622" w:type="dxa"/>
          </w:tcPr>
          <w:p w14:paraId="31BE4E9F"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4.1.4</w:t>
            </w:r>
          </w:p>
        </w:tc>
        <w:tc>
          <w:tcPr>
            <w:tcW w:w="1700" w:type="dxa"/>
          </w:tcPr>
          <w:p w14:paraId="6CDAEE8B"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Bioconcentration</w:t>
            </w:r>
          </w:p>
        </w:tc>
        <w:tc>
          <w:tcPr>
            <w:tcW w:w="7175" w:type="dxa"/>
          </w:tcPr>
          <w:p w14:paraId="25FE40F6" w14:textId="77777777" w:rsidR="009C38E1" w:rsidRPr="00DF2323" w:rsidRDefault="009C38E1" w:rsidP="00BE0479">
            <w:pPr>
              <w:rPr>
                <w:rFonts w:eastAsia="Times New Roman"/>
                <w:snapToGrid w:val="0"/>
                <w:sz w:val="20"/>
                <w:szCs w:val="20"/>
                <w:lang w:eastAsia="en-US"/>
              </w:rPr>
            </w:pPr>
            <w:r w:rsidRPr="00DF2323">
              <w:rPr>
                <w:rFonts w:eastAsia="Times New Roman"/>
                <w:b/>
                <w:bCs/>
                <w:snapToGrid w:val="0"/>
                <w:sz w:val="20"/>
                <w:szCs w:val="20"/>
                <w:lang w:eastAsia="en-US"/>
              </w:rPr>
              <w:t>EU (2003)</w:t>
            </w:r>
          </w:p>
          <w:p w14:paraId="22717481" w14:textId="0E3158AA" w:rsidR="009C38E1" w:rsidRPr="00DF2323" w:rsidRDefault="009C38E1" w:rsidP="00A65DEE">
            <w:pPr>
              <w:spacing w:after="120"/>
              <w:rPr>
                <w:rFonts w:eastAsia="Times New Roman"/>
                <w:snapToGrid w:val="0"/>
                <w:sz w:val="20"/>
                <w:szCs w:val="20"/>
                <w:lang w:eastAsia="en-US"/>
              </w:rPr>
            </w:pPr>
            <w:r w:rsidRPr="00DF2323">
              <w:rPr>
                <w:rFonts w:eastAsia="Times New Roman"/>
                <w:snapToGrid w:val="0"/>
                <w:sz w:val="20"/>
                <w:szCs w:val="20"/>
                <w:lang w:eastAsia="en-US"/>
              </w:rPr>
              <w:t>Paraquat is not subject to bioconcentration and has not been found to accumulate in food chains.</w:t>
            </w:r>
          </w:p>
        </w:tc>
      </w:tr>
      <w:tr w:rsidR="009C38E1" w:rsidRPr="00DF2323" w14:paraId="79B5629B" w14:textId="77777777" w:rsidTr="00BE0479">
        <w:trPr>
          <w:jc w:val="right"/>
        </w:trPr>
        <w:tc>
          <w:tcPr>
            <w:tcW w:w="622" w:type="dxa"/>
          </w:tcPr>
          <w:p w14:paraId="127C4212"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4.1.5</w:t>
            </w:r>
          </w:p>
        </w:tc>
        <w:tc>
          <w:tcPr>
            <w:tcW w:w="1700" w:type="dxa"/>
          </w:tcPr>
          <w:p w14:paraId="43FF6E67"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Persistence</w:t>
            </w:r>
          </w:p>
        </w:tc>
        <w:tc>
          <w:tcPr>
            <w:tcW w:w="7175" w:type="dxa"/>
          </w:tcPr>
          <w:p w14:paraId="393B324C" w14:textId="77777777" w:rsidR="009C38E1" w:rsidRPr="00DF2323" w:rsidRDefault="009C38E1" w:rsidP="00BE0479">
            <w:pPr>
              <w:rPr>
                <w:rFonts w:eastAsia="Times New Roman"/>
                <w:snapToGrid w:val="0"/>
                <w:sz w:val="20"/>
                <w:szCs w:val="20"/>
                <w:lang w:eastAsia="en-US"/>
              </w:rPr>
            </w:pPr>
            <w:r w:rsidRPr="00DF2323">
              <w:rPr>
                <w:rFonts w:eastAsia="Times New Roman"/>
                <w:b/>
                <w:bCs/>
                <w:snapToGrid w:val="0"/>
                <w:sz w:val="20"/>
                <w:szCs w:val="20"/>
                <w:lang w:eastAsia="en-US"/>
              </w:rPr>
              <w:t>JMPR (2004a, b) EU (2003)</w:t>
            </w:r>
          </w:p>
          <w:p w14:paraId="2F054F06" w14:textId="77777777" w:rsidR="009C38E1" w:rsidRPr="00DF2323" w:rsidRDefault="009C38E1" w:rsidP="00A65DEE">
            <w:pPr>
              <w:pStyle w:val="CommentText"/>
              <w:spacing w:after="120"/>
              <w:rPr>
                <w:rFonts w:eastAsia="Times New Roman"/>
                <w:snapToGrid w:val="0"/>
                <w:sz w:val="20"/>
                <w:szCs w:val="20"/>
                <w:lang w:val="en-GB" w:eastAsia="en-US"/>
              </w:rPr>
            </w:pPr>
            <w:r w:rsidRPr="00DF2323">
              <w:rPr>
                <w:sz w:val="20"/>
                <w:szCs w:val="20"/>
                <w:lang w:val="en-GB"/>
              </w:rPr>
              <w:t>Overall, paraquat should be considered very persistent in soil, noting most field soil DT50 values are &gt;10 years. Similarly, paraquat should be considered very persistent in aquatic systems, as it partitions rapidly to sediment where it does not degrade.</w:t>
            </w:r>
          </w:p>
        </w:tc>
      </w:tr>
      <w:tr w:rsidR="009C38E1" w:rsidRPr="00DF2323" w14:paraId="1C8C6503" w14:textId="77777777" w:rsidTr="00BE0479">
        <w:trPr>
          <w:trHeight w:val="353"/>
          <w:jc w:val="right"/>
        </w:trPr>
        <w:tc>
          <w:tcPr>
            <w:tcW w:w="622" w:type="dxa"/>
          </w:tcPr>
          <w:p w14:paraId="3E94D4D0"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w:t>
            </w:r>
          </w:p>
        </w:tc>
        <w:tc>
          <w:tcPr>
            <w:tcW w:w="1700" w:type="dxa"/>
          </w:tcPr>
          <w:p w14:paraId="6EB4F6D1"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Effects on non-target organisms</w:t>
            </w:r>
          </w:p>
        </w:tc>
        <w:tc>
          <w:tcPr>
            <w:tcW w:w="7175" w:type="dxa"/>
          </w:tcPr>
          <w:p w14:paraId="2F6DA62A" w14:textId="77777777" w:rsidR="009C38E1" w:rsidRPr="00DF2323" w:rsidRDefault="009C38E1" w:rsidP="00BE0479">
            <w:pPr>
              <w:rPr>
                <w:rFonts w:eastAsia="Times New Roman"/>
                <w:b/>
                <w:bCs/>
                <w:snapToGrid w:val="0"/>
                <w:sz w:val="20"/>
                <w:szCs w:val="20"/>
                <w:lang w:eastAsia="en-US"/>
              </w:rPr>
            </w:pPr>
          </w:p>
        </w:tc>
      </w:tr>
      <w:tr w:rsidR="009C38E1" w:rsidRPr="00DF2323" w14:paraId="7E127334" w14:textId="77777777" w:rsidTr="00BE0479">
        <w:trPr>
          <w:jc w:val="right"/>
        </w:trPr>
        <w:tc>
          <w:tcPr>
            <w:tcW w:w="622" w:type="dxa"/>
          </w:tcPr>
          <w:p w14:paraId="510BF011"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4.2.1</w:t>
            </w:r>
          </w:p>
        </w:tc>
        <w:tc>
          <w:tcPr>
            <w:tcW w:w="1700" w:type="dxa"/>
          </w:tcPr>
          <w:p w14:paraId="52059D0F"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Terrestrial vertebrates</w:t>
            </w:r>
          </w:p>
        </w:tc>
        <w:tc>
          <w:tcPr>
            <w:tcW w:w="7175" w:type="dxa"/>
          </w:tcPr>
          <w:p w14:paraId="3C671CF8" w14:textId="77777777" w:rsidR="009C38E1" w:rsidRPr="00DF2323" w:rsidRDefault="009C38E1" w:rsidP="00BE0479">
            <w:pPr>
              <w:rPr>
                <w:rFonts w:eastAsia="Times New Roman"/>
                <w:b/>
                <w:bCs/>
                <w:iCs/>
                <w:snapToGrid w:val="0"/>
                <w:sz w:val="20"/>
                <w:szCs w:val="22"/>
                <w:lang w:eastAsia="en-US"/>
              </w:rPr>
            </w:pPr>
            <w:r w:rsidRPr="00DF2323">
              <w:rPr>
                <w:rFonts w:eastAsia="Times New Roman"/>
                <w:b/>
                <w:bCs/>
                <w:iCs/>
                <w:snapToGrid w:val="0"/>
                <w:sz w:val="20"/>
                <w:szCs w:val="22"/>
                <w:lang w:eastAsia="en-US"/>
              </w:rPr>
              <w:t xml:space="preserve">EU (2003) </w:t>
            </w:r>
          </w:p>
          <w:p w14:paraId="5ACF2BBC" w14:textId="77777777" w:rsidR="009C38E1" w:rsidRPr="00DF2323" w:rsidRDefault="009C38E1" w:rsidP="00A65DEE">
            <w:pPr>
              <w:spacing w:after="120"/>
              <w:rPr>
                <w:rFonts w:eastAsia="Times New Roman"/>
                <w:iCs/>
                <w:snapToGrid w:val="0"/>
                <w:sz w:val="20"/>
                <w:szCs w:val="20"/>
                <w:lang w:eastAsia="en-US"/>
              </w:rPr>
            </w:pPr>
            <w:r w:rsidRPr="00DF2323">
              <w:rPr>
                <w:rFonts w:eastAsia="Times New Roman"/>
                <w:iCs/>
                <w:snapToGrid w:val="0"/>
                <w:sz w:val="20"/>
                <w:szCs w:val="20"/>
                <w:lang w:eastAsia="en-US"/>
              </w:rPr>
              <w:t>Acute toxicity to mammals: LD</w:t>
            </w:r>
            <w:r w:rsidRPr="00DF2323">
              <w:rPr>
                <w:rFonts w:eastAsia="Times New Roman"/>
                <w:iCs/>
                <w:snapToGrid w:val="0"/>
                <w:sz w:val="20"/>
                <w:szCs w:val="20"/>
                <w:vertAlign w:val="subscript"/>
                <w:lang w:eastAsia="en-US"/>
              </w:rPr>
              <w:t>50</w:t>
            </w:r>
            <w:r w:rsidRPr="00DF2323">
              <w:rPr>
                <w:rFonts w:eastAsia="Times New Roman"/>
                <w:iCs/>
                <w:snapToGrid w:val="0"/>
                <w:sz w:val="20"/>
                <w:szCs w:val="20"/>
                <w:lang w:eastAsia="en-US"/>
              </w:rPr>
              <w:t xml:space="preserve"> = 93.4 mg paraquat ion/kg bw.</w:t>
            </w:r>
          </w:p>
          <w:p w14:paraId="67CE78A6" w14:textId="77777777" w:rsidR="009C38E1" w:rsidRPr="00DF2323" w:rsidRDefault="009C38E1" w:rsidP="00A65DEE">
            <w:pPr>
              <w:spacing w:after="120"/>
              <w:rPr>
                <w:rFonts w:eastAsia="Times New Roman"/>
                <w:iCs/>
                <w:snapToGrid w:val="0"/>
                <w:sz w:val="20"/>
                <w:szCs w:val="20"/>
                <w:lang w:eastAsia="en-US"/>
              </w:rPr>
            </w:pPr>
            <w:r w:rsidRPr="00DF2323">
              <w:rPr>
                <w:rFonts w:eastAsia="Times New Roman"/>
                <w:iCs/>
                <w:snapToGrid w:val="0"/>
                <w:sz w:val="20"/>
                <w:szCs w:val="20"/>
                <w:lang w:eastAsia="en-US"/>
              </w:rPr>
              <w:t>Short term oral toxicity to mammals: NOEC 100 mg paraquat dichloride/kg (13-week rat study)</w:t>
            </w:r>
            <w:r w:rsidRPr="00DF2323">
              <w:rPr>
                <w:rFonts w:eastAsia="Times New Roman"/>
                <w:iCs/>
                <w:snapToGrid w:val="0"/>
                <w:sz w:val="20"/>
                <w:szCs w:val="20"/>
              </w:rPr>
              <w:t>. E</w:t>
            </w:r>
            <w:r w:rsidRPr="00DF2323">
              <w:rPr>
                <w:rFonts w:eastAsia="Times New Roman"/>
                <w:iCs/>
                <w:snapToGrid w:val="0"/>
                <w:sz w:val="20"/>
                <w:szCs w:val="20"/>
                <w:lang w:eastAsia="en-US"/>
              </w:rPr>
              <w:t>qual to 4.74 mg of paraquat ion/kg bw per day for males and 5.14 mg of paraquat ion/kg bw for females.</w:t>
            </w:r>
          </w:p>
          <w:p w14:paraId="09F47D29" w14:textId="77777777" w:rsidR="009C38E1" w:rsidRPr="00DF2323" w:rsidRDefault="009C38E1" w:rsidP="00A65DEE">
            <w:pPr>
              <w:spacing w:after="120"/>
              <w:rPr>
                <w:rFonts w:eastAsia="Times New Roman"/>
                <w:iCs/>
                <w:snapToGrid w:val="0"/>
                <w:sz w:val="20"/>
                <w:szCs w:val="20"/>
                <w:lang w:eastAsia="en-US"/>
              </w:rPr>
            </w:pPr>
            <w:r w:rsidRPr="00DF2323">
              <w:rPr>
                <w:rFonts w:eastAsia="Times New Roman"/>
                <w:iCs/>
                <w:snapToGrid w:val="0"/>
                <w:sz w:val="20"/>
                <w:szCs w:val="20"/>
                <w:lang w:eastAsia="en-US"/>
              </w:rPr>
              <w:t>Acute toxicity to birds: LD</w:t>
            </w:r>
            <w:r w:rsidRPr="00DF2323">
              <w:rPr>
                <w:rFonts w:eastAsia="Times New Roman"/>
                <w:iCs/>
                <w:snapToGrid w:val="0"/>
                <w:sz w:val="20"/>
                <w:szCs w:val="20"/>
                <w:vertAlign w:val="subscript"/>
                <w:lang w:eastAsia="en-US"/>
              </w:rPr>
              <w:t>50</w:t>
            </w:r>
            <w:r w:rsidRPr="00DF2323">
              <w:rPr>
                <w:rFonts w:eastAsia="Times New Roman"/>
                <w:iCs/>
                <w:snapToGrid w:val="0"/>
                <w:sz w:val="20"/>
                <w:szCs w:val="20"/>
                <w:lang w:eastAsia="en-US"/>
              </w:rPr>
              <w:t xml:space="preserve"> = 35 mg paraquat ion/kg bw</w:t>
            </w:r>
          </w:p>
          <w:p w14:paraId="03723696" w14:textId="77777777" w:rsidR="009C38E1" w:rsidRPr="00DF2323" w:rsidRDefault="009C38E1" w:rsidP="00A65DEE">
            <w:pPr>
              <w:spacing w:after="120"/>
              <w:rPr>
                <w:rFonts w:eastAsia="Times New Roman"/>
                <w:i/>
                <w:snapToGrid w:val="0"/>
                <w:sz w:val="20"/>
                <w:szCs w:val="20"/>
                <w:lang w:eastAsia="en-US"/>
              </w:rPr>
            </w:pPr>
            <w:r w:rsidRPr="00DF2323">
              <w:rPr>
                <w:rFonts w:eastAsia="Times New Roman"/>
                <w:iCs/>
                <w:snapToGrid w:val="0"/>
                <w:sz w:val="20"/>
                <w:szCs w:val="20"/>
                <w:lang w:eastAsia="en-US"/>
              </w:rPr>
              <w:t>Dietary toxicity to birds: LC</w:t>
            </w:r>
            <w:r w:rsidRPr="00DF2323">
              <w:rPr>
                <w:rFonts w:eastAsia="Times New Roman"/>
                <w:iCs/>
                <w:snapToGrid w:val="0"/>
                <w:sz w:val="20"/>
                <w:szCs w:val="20"/>
                <w:vertAlign w:val="subscript"/>
                <w:lang w:eastAsia="en-US"/>
              </w:rPr>
              <w:t>50</w:t>
            </w:r>
            <w:r w:rsidRPr="00DF2323">
              <w:rPr>
                <w:rFonts w:eastAsia="Times New Roman"/>
                <w:iCs/>
                <w:snapToGrid w:val="0"/>
                <w:sz w:val="20"/>
                <w:szCs w:val="20"/>
                <w:lang w:eastAsia="en-US"/>
              </w:rPr>
              <w:t xml:space="preserve"> = 698 mg paraquat ion /kg-diet (</w:t>
            </w:r>
            <w:r w:rsidRPr="00DF2323">
              <w:rPr>
                <w:rFonts w:eastAsia="Times New Roman"/>
                <w:i/>
                <w:snapToGrid w:val="0"/>
                <w:sz w:val="20"/>
                <w:szCs w:val="20"/>
                <w:lang w:eastAsia="en-US"/>
              </w:rPr>
              <w:t>Coturnix coturnix)</w:t>
            </w:r>
          </w:p>
          <w:p w14:paraId="4FA4BDCE" w14:textId="77777777" w:rsidR="009C38E1" w:rsidRPr="00DF2323" w:rsidRDefault="009C38E1" w:rsidP="00A65DEE">
            <w:pPr>
              <w:spacing w:after="120"/>
              <w:rPr>
                <w:rFonts w:eastAsia="Times New Roman"/>
                <w:iCs/>
                <w:snapToGrid w:val="0"/>
                <w:sz w:val="20"/>
                <w:szCs w:val="22"/>
                <w:lang w:eastAsia="en-US"/>
              </w:rPr>
            </w:pPr>
            <w:r w:rsidRPr="00DF2323">
              <w:rPr>
                <w:rFonts w:eastAsia="Times New Roman"/>
                <w:iCs/>
                <w:snapToGrid w:val="0"/>
                <w:sz w:val="20"/>
                <w:szCs w:val="20"/>
                <w:lang w:eastAsia="en-US"/>
              </w:rPr>
              <w:t>Reproductive toxicity to birds: NOEC = 30 mg paraquat ion/kg diet (</w:t>
            </w:r>
            <w:r w:rsidRPr="00DF2323">
              <w:rPr>
                <w:rFonts w:eastAsia="Times New Roman"/>
                <w:i/>
                <w:snapToGrid w:val="0"/>
                <w:sz w:val="20"/>
                <w:szCs w:val="20"/>
                <w:lang w:eastAsia="en-US"/>
              </w:rPr>
              <w:t>Anas platyrhynchos</w:t>
            </w:r>
            <w:r w:rsidRPr="00DF2323">
              <w:rPr>
                <w:rFonts w:eastAsia="Times New Roman"/>
                <w:iCs/>
                <w:snapToGrid w:val="0"/>
                <w:sz w:val="20"/>
                <w:szCs w:val="20"/>
                <w:lang w:eastAsia="en-US"/>
              </w:rPr>
              <w:t>).</w:t>
            </w:r>
          </w:p>
        </w:tc>
      </w:tr>
      <w:tr w:rsidR="009C38E1" w:rsidRPr="00DF2323" w14:paraId="2C8E40E5" w14:textId="77777777" w:rsidTr="00BE0479">
        <w:trPr>
          <w:jc w:val="right"/>
        </w:trPr>
        <w:tc>
          <w:tcPr>
            <w:tcW w:w="622" w:type="dxa"/>
          </w:tcPr>
          <w:p w14:paraId="24DA9D42"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4.2.2</w:t>
            </w:r>
          </w:p>
        </w:tc>
        <w:tc>
          <w:tcPr>
            <w:tcW w:w="1700" w:type="dxa"/>
          </w:tcPr>
          <w:p w14:paraId="71CFC11E"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Aquatic species</w:t>
            </w:r>
          </w:p>
        </w:tc>
        <w:tc>
          <w:tcPr>
            <w:tcW w:w="7175" w:type="dxa"/>
          </w:tcPr>
          <w:p w14:paraId="4A309B6D" w14:textId="77777777" w:rsidR="009C38E1" w:rsidRPr="00DF2323" w:rsidRDefault="009C38E1" w:rsidP="00BE0479">
            <w:pPr>
              <w:rPr>
                <w:rFonts w:eastAsia="Times New Roman"/>
                <w:b/>
                <w:bCs/>
                <w:iCs/>
                <w:snapToGrid w:val="0"/>
                <w:sz w:val="20"/>
                <w:szCs w:val="22"/>
                <w:lang w:eastAsia="en-US"/>
              </w:rPr>
            </w:pPr>
            <w:r w:rsidRPr="00DF2323">
              <w:rPr>
                <w:rFonts w:eastAsia="Times New Roman"/>
                <w:b/>
                <w:bCs/>
                <w:iCs/>
                <w:snapToGrid w:val="0"/>
                <w:sz w:val="20"/>
                <w:szCs w:val="22"/>
                <w:lang w:eastAsia="en-US"/>
              </w:rPr>
              <w:t>EU (2003)</w:t>
            </w:r>
          </w:p>
          <w:p w14:paraId="45C7846E"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Acute toxicity invertebrate: EC50 = 4.4 mg a.s./L (</w:t>
            </w:r>
            <w:r w:rsidRPr="00DF2323">
              <w:rPr>
                <w:rFonts w:eastAsia="Times New Roman"/>
                <w:i/>
                <w:snapToGrid w:val="0"/>
                <w:sz w:val="20"/>
                <w:szCs w:val="22"/>
                <w:lang w:eastAsia="en-US"/>
              </w:rPr>
              <w:t>Daphnia magna</w:t>
            </w:r>
            <w:r w:rsidRPr="00DF2323">
              <w:rPr>
                <w:rFonts w:eastAsia="Times New Roman"/>
                <w:iCs/>
                <w:snapToGrid w:val="0"/>
                <w:sz w:val="20"/>
                <w:szCs w:val="22"/>
                <w:lang w:eastAsia="en-US"/>
              </w:rPr>
              <w:t xml:space="preserve"> - 48 h study).</w:t>
            </w:r>
          </w:p>
          <w:p w14:paraId="63609A10"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Chronic toxicity invertebrate: 14 – 21day NOEC = 0.12 mg a.s./L.</w:t>
            </w:r>
          </w:p>
          <w:p w14:paraId="7454E5A7"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 xml:space="preserve">Chronic toxicity sediment dwelling organism: </w:t>
            </w:r>
            <w:r w:rsidRPr="00DF2323">
              <w:rPr>
                <w:rFonts w:eastAsia="Times New Roman"/>
                <w:i/>
                <w:snapToGrid w:val="0"/>
                <w:sz w:val="20"/>
                <w:szCs w:val="22"/>
                <w:lang w:eastAsia="en-US"/>
              </w:rPr>
              <w:t>Chironomus riparius</w:t>
            </w:r>
            <w:r w:rsidRPr="00DF2323">
              <w:rPr>
                <w:rFonts w:eastAsia="Times New Roman"/>
                <w:iCs/>
                <w:snapToGrid w:val="0"/>
                <w:sz w:val="20"/>
                <w:szCs w:val="22"/>
                <w:lang w:eastAsia="en-US"/>
              </w:rPr>
              <w:t xml:space="preserve">: 21-day </w:t>
            </w:r>
          </w:p>
          <w:p w14:paraId="77FB2B34"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NOEC in sediment = 100 mg a.s./kg; 21 day water phase only NOEC = 0.367 mg as/L.</w:t>
            </w:r>
          </w:p>
          <w:p w14:paraId="403DE642"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Acute toxicity fish: 96-hr LD50 = 18 mg a.s./L (</w:t>
            </w:r>
            <w:r w:rsidRPr="00DF2323">
              <w:rPr>
                <w:rFonts w:eastAsia="Times New Roman"/>
                <w:i/>
                <w:snapToGrid w:val="0"/>
                <w:sz w:val="20"/>
                <w:szCs w:val="22"/>
                <w:lang w:eastAsia="en-US"/>
              </w:rPr>
              <w:t>Oncorhynchus mykiss</w:t>
            </w:r>
            <w:r w:rsidRPr="00DF2323">
              <w:rPr>
                <w:rFonts w:eastAsia="Times New Roman"/>
                <w:iCs/>
                <w:snapToGrid w:val="0"/>
                <w:sz w:val="20"/>
                <w:szCs w:val="22"/>
                <w:lang w:eastAsia="en-US"/>
              </w:rPr>
              <w:t>)</w:t>
            </w:r>
          </w:p>
          <w:p w14:paraId="0FFB6191"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Acute toxicity algae: EC</w:t>
            </w:r>
            <w:r w:rsidRPr="00DF2323">
              <w:rPr>
                <w:rFonts w:eastAsia="Times New Roman"/>
                <w:iCs/>
                <w:snapToGrid w:val="0"/>
                <w:sz w:val="20"/>
                <w:szCs w:val="22"/>
                <w:vertAlign w:val="subscript"/>
                <w:lang w:eastAsia="en-US"/>
              </w:rPr>
              <w:t>50</w:t>
            </w:r>
            <w:r w:rsidRPr="00DF2323">
              <w:rPr>
                <w:rFonts w:eastAsia="Times New Roman"/>
                <w:iCs/>
                <w:snapToGrid w:val="0"/>
                <w:sz w:val="20"/>
                <w:szCs w:val="22"/>
                <w:lang w:eastAsia="en-US"/>
              </w:rPr>
              <w:t xml:space="preserve"> = 0.00023 mg a.s./L (</w:t>
            </w:r>
            <w:r w:rsidRPr="00DF2323">
              <w:rPr>
                <w:rFonts w:eastAsia="Times New Roman"/>
                <w:i/>
                <w:snapToGrid w:val="0"/>
                <w:sz w:val="20"/>
                <w:szCs w:val="22"/>
                <w:lang w:eastAsia="en-US"/>
              </w:rPr>
              <w:t xml:space="preserve">Navicula pelliculosa </w:t>
            </w:r>
            <w:r w:rsidRPr="00DF2323">
              <w:rPr>
                <w:rFonts w:eastAsia="Times New Roman"/>
                <w:iCs/>
                <w:snapToGrid w:val="0"/>
                <w:sz w:val="20"/>
                <w:szCs w:val="22"/>
                <w:lang w:eastAsia="en-US"/>
              </w:rPr>
              <w:t>96 h study)</w:t>
            </w:r>
          </w:p>
          <w:p w14:paraId="15A2804F" w14:textId="77777777" w:rsidR="009C38E1" w:rsidRPr="00DF2323" w:rsidRDefault="009C38E1" w:rsidP="00B70B2D">
            <w:pPr>
              <w:spacing w:after="120"/>
              <w:rPr>
                <w:rFonts w:eastAsia="Times New Roman"/>
                <w:iCs/>
                <w:snapToGrid w:val="0"/>
                <w:sz w:val="20"/>
                <w:szCs w:val="22"/>
                <w:lang w:eastAsia="en-US"/>
              </w:rPr>
            </w:pPr>
            <w:r w:rsidRPr="00DF2323">
              <w:rPr>
                <w:rFonts w:eastAsia="Times New Roman"/>
                <w:iCs/>
                <w:snapToGrid w:val="0"/>
                <w:sz w:val="20"/>
                <w:szCs w:val="22"/>
                <w:lang w:eastAsia="en-US"/>
              </w:rPr>
              <w:t>Acute toxicity aquatic plants: EC</w:t>
            </w:r>
            <w:r w:rsidRPr="00DF2323">
              <w:rPr>
                <w:rFonts w:eastAsia="Times New Roman"/>
                <w:iCs/>
                <w:snapToGrid w:val="0"/>
                <w:sz w:val="20"/>
                <w:szCs w:val="22"/>
                <w:vertAlign w:val="subscript"/>
                <w:lang w:eastAsia="en-US"/>
              </w:rPr>
              <w:t>50</w:t>
            </w:r>
            <w:r w:rsidRPr="00DF2323">
              <w:rPr>
                <w:rFonts w:eastAsia="Times New Roman"/>
                <w:iCs/>
                <w:snapToGrid w:val="0"/>
                <w:sz w:val="20"/>
                <w:szCs w:val="22"/>
                <w:lang w:eastAsia="en-US"/>
              </w:rPr>
              <w:t xml:space="preserve"> = 0.037 mg a.s./l for </w:t>
            </w:r>
            <w:r w:rsidRPr="00DF2323">
              <w:rPr>
                <w:rFonts w:eastAsia="Times New Roman"/>
                <w:i/>
                <w:snapToGrid w:val="0"/>
                <w:sz w:val="20"/>
                <w:szCs w:val="22"/>
                <w:lang w:eastAsia="en-US"/>
              </w:rPr>
              <w:t>Lemna gibba</w:t>
            </w:r>
            <w:r w:rsidRPr="00DF2323">
              <w:rPr>
                <w:rFonts w:eastAsia="Times New Roman"/>
                <w:iCs/>
                <w:snapToGrid w:val="0"/>
                <w:sz w:val="20"/>
                <w:szCs w:val="22"/>
                <w:lang w:eastAsia="en-US"/>
              </w:rPr>
              <w:t xml:space="preserve"> (14-day semistatic study)</w:t>
            </w:r>
          </w:p>
          <w:p w14:paraId="0BFAB8BF" w14:textId="77777777" w:rsidR="009C38E1" w:rsidRPr="00DF2323" w:rsidRDefault="009C38E1" w:rsidP="00B70B2D">
            <w:pPr>
              <w:spacing w:after="120"/>
              <w:rPr>
                <w:rFonts w:eastAsia="Times New Roman"/>
                <w:i/>
                <w:snapToGrid w:val="0"/>
                <w:sz w:val="20"/>
                <w:szCs w:val="22"/>
                <w:lang w:eastAsia="en-US"/>
              </w:rPr>
            </w:pPr>
            <w:r w:rsidRPr="00DF2323">
              <w:rPr>
                <w:rFonts w:eastAsia="Times New Roman"/>
                <w:iCs/>
                <w:snapToGrid w:val="0"/>
                <w:sz w:val="20"/>
                <w:szCs w:val="22"/>
                <w:lang w:eastAsia="en-US"/>
              </w:rPr>
              <w:t>Paraquat is a broad spectrum, non-selective contact herbicide, information on the mode of action is included in section 4.2.6.</w:t>
            </w:r>
          </w:p>
        </w:tc>
      </w:tr>
      <w:tr w:rsidR="009C38E1" w:rsidRPr="00DF2323" w14:paraId="768CE68E" w14:textId="77777777" w:rsidTr="00BE0479">
        <w:trPr>
          <w:jc w:val="right"/>
        </w:trPr>
        <w:tc>
          <w:tcPr>
            <w:tcW w:w="622" w:type="dxa"/>
          </w:tcPr>
          <w:p w14:paraId="685C4BEF"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4.2.3</w:t>
            </w:r>
          </w:p>
        </w:tc>
        <w:tc>
          <w:tcPr>
            <w:tcW w:w="1700" w:type="dxa"/>
          </w:tcPr>
          <w:p w14:paraId="37D9F940"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Honeybees and other arthropods</w:t>
            </w:r>
          </w:p>
        </w:tc>
        <w:tc>
          <w:tcPr>
            <w:tcW w:w="7175" w:type="dxa"/>
          </w:tcPr>
          <w:p w14:paraId="527B8E9C" w14:textId="1C44B377" w:rsidR="009C38E1" w:rsidRPr="00DF2323" w:rsidRDefault="009C38E1" w:rsidP="001A04E6">
            <w:pPr>
              <w:spacing w:after="120"/>
              <w:rPr>
                <w:rFonts w:eastAsia="Times New Roman"/>
                <w:b/>
                <w:bCs/>
                <w:iCs/>
                <w:snapToGrid w:val="0"/>
                <w:sz w:val="20"/>
                <w:szCs w:val="22"/>
                <w:lang w:eastAsia="en-US"/>
              </w:rPr>
            </w:pPr>
            <w:r w:rsidRPr="00DF2323">
              <w:rPr>
                <w:rFonts w:eastAsia="Times New Roman"/>
                <w:b/>
                <w:bCs/>
                <w:iCs/>
                <w:snapToGrid w:val="0"/>
                <w:sz w:val="20"/>
                <w:szCs w:val="22"/>
                <w:lang w:eastAsia="en-US"/>
              </w:rPr>
              <w:t>EU (2003)</w:t>
            </w:r>
          </w:p>
          <w:p w14:paraId="691AC618" w14:textId="77777777" w:rsidR="009C38E1" w:rsidRPr="00DF2323" w:rsidRDefault="009C38E1" w:rsidP="00BE0479">
            <w:pPr>
              <w:rPr>
                <w:rFonts w:eastAsia="Times New Roman"/>
                <w:iCs/>
                <w:snapToGrid w:val="0"/>
                <w:sz w:val="20"/>
                <w:szCs w:val="22"/>
                <w:u w:val="single"/>
                <w:lang w:eastAsia="en-US"/>
              </w:rPr>
            </w:pPr>
            <w:r w:rsidRPr="00DF2323">
              <w:rPr>
                <w:rFonts w:eastAsia="Times New Roman"/>
                <w:iCs/>
                <w:snapToGrid w:val="0"/>
                <w:sz w:val="20"/>
                <w:szCs w:val="22"/>
                <w:u w:val="single"/>
                <w:lang w:eastAsia="en-US"/>
              </w:rPr>
              <w:t>Honeybees:</w:t>
            </w:r>
          </w:p>
          <w:p w14:paraId="432E753D" w14:textId="77777777" w:rsidR="009C38E1" w:rsidRPr="00DF2323" w:rsidRDefault="009C38E1" w:rsidP="00BE0479">
            <w:pPr>
              <w:rPr>
                <w:rFonts w:eastAsia="Times New Roman"/>
                <w:iCs/>
                <w:snapToGrid w:val="0"/>
                <w:sz w:val="20"/>
                <w:szCs w:val="22"/>
                <w:lang w:eastAsia="en-US"/>
              </w:rPr>
            </w:pPr>
            <w:r w:rsidRPr="00DF2323">
              <w:rPr>
                <w:rFonts w:eastAsia="Times New Roman"/>
                <w:iCs/>
                <w:snapToGrid w:val="0"/>
                <w:sz w:val="20"/>
                <w:szCs w:val="22"/>
                <w:lang w:eastAsia="en-US"/>
              </w:rPr>
              <w:t xml:space="preserve">Acute oral toxicity: </w:t>
            </w:r>
          </w:p>
          <w:p w14:paraId="68547BED" w14:textId="77777777" w:rsidR="009C38E1" w:rsidRPr="00DF2323" w:rsidRDefault="009C38E1" w:rsidP="005A1CAE">
            <w:pPr>
              <w:spacing w:after="120"/>
              <w:rPr>
                <w:rFonts w:eastAsia="Times New Roman"/>
                <w:iCs/>
                <w:snapToGrid w:val="0"/>
                <w:sz w:val="20"/>
                <w:szCs w:val="22"/>
                <w:lang w:eastAsia="en-US"/>
              </w:rPr>
            </w:pPr>
            <w:r w:rsidRPr="00DF2323">
              <w:rPr>
                <w:rFonts w:eastAsia="Times New Roman"/>
                <w:iCs/>
                <w:snapToGrid w:val="0"/>
                <w:sz w:val="20"/>
                <w:szCs w:val="22"/>
                <w:lang w:eastAsia="en-US"/>
              </w:rPr>
              <w:t>LD</w:t>
            </w:r>
            <w:r w:rsidRPr="00DF2323">
              <w:rPr>
                <w:rFonts w:eastAsia="Times New Roman"/>
                <w:iCs/>
                <w:snapToGrid w:val="0"/>
                <w:sz w:val="20"/>
                <w:szCs w:val="22"/>
                <w:vertAlign w:val="subscript"/>
                <w:lang w:eastAsia="en-US"/>
              </w:rPr>
              <w:t>50</w:t>
            </w:r>
            <w:r w:rsidRPr="00DF2323">
              <w:rPr>
                <w:rFonts w:eastAsia="Times New Roman"/>
                <w:iCs/>
                <w:snapToGrid w:val="0"/>
                <w:sz w:val="20"/>
                <w:szCs w:val="22"/>
                <w:lang w:eastAsia="en-US"/>
              </w:rPr>
              <w:t xml:space="preserve"> = 9.06 μg a.s./bee - 120 h study </w:t>
            </w:r>
          </w:p>
          <w:p w14:paraId="39A84E5B" w14:textId="77777777" w:rsidR="009C38E1" w:rsidRPr="00DF2323" w:rsidRDefault="009C38E1" w:rsidP="00BE0479">
            <w:pPr>
              <w:rPr>
                <w:rFonts w:eastAsia="Times New Roman"/>
                <w:iCs/>
                <w:snapToGrid w:val="0"/>
                <w:sz w:val="20"/>
                <w:szCs w:val="22"/>
                <w:lang w:eastAsia="en-US"/>
              </w:rPr>
            </w:pPr>
            <w:r w:rsidRPr="00DF2323">
              <w:rPr>
                <w:rFonts w:eastAsia="Times New Roman"/>
                <w:iCs/>
                <w:snapToGrid w:val="0"/>
                <w:sz w:val="20"/>
                <w:szCs w:val="22"/>
                <w:lang w:eastAsia="en-US"/>
              </w:rPr>
              <w:t xml:space="preserve">Acute contact toxicity: </w:t>
            </w:r>
          </w:p>
          <w:p w14:paraId="08D2DE4A" w14:textId="77777777" w:rsidR="009C38E1" w:rsidRPr="00DF2323" w:rsidRDefault="009C38E1" w:rsidP="005A1CAE">
            <w:pPr>
              <w:spacing w:after="120"/>
              <w:rPr>
                <w:rFonts w:eastAsia="Times New Roman"/>
                <w:iCs/>
                <w:snapToGrid w:val="0"/>
                <w:sz w:val="20"/>
                <w:szCs w:val="22"/>
                <w:lang w:eastAsia="en-US"/>
              </w:rPr>
            </w:pPr>
            <w:r w:rsidRPr="00DF2323">
              <w:rPr>
                <w:rFonts w:eastAsia="Times New Roman"/>
                <w:iCs/>
                <w:snapToGrid w:val="0"/>
                <w:sz w:val="20"/>
                <w:szCs w:val="22"/>
                <w:lang w:eastAsia="en-US"/>
              </w:rPr>
              <w:t>LD</w:t>
            </w:r>
            <w:r w:rsidRPr="00DF2323">
              <w:rPr>
                <w:rFonts w:eastAsia="Times New Roman"/>
                <w:iCs/>
                <w:snapToGrid w:val="0"/>
                <w:sz w:val="20"/>
                <w:szCs w:val="22"/>
                <w:vertAlign w:val="subscript"/>
                <w:lang w:eastAsia="en-US"/>
              </w:rPr>
              <w:t>50</w:t>
            </w:r>
            <w:r w:rsidRPr="00DF2323">
              <w:rPr>
                <w:rFonts w:eastAsia="Times New Roman"/>
                <w:iCs/>
                <w:snapToGrid w:val="0"/>
                <w:sz w:val="20"/>
                <w:szCs w:val="22"/>
                <w:lang w:eastAsia="en-US"/>
              </w:rPr>
              <w:t xml:space="preserve"> = 9.26 μg a.s./bee - 120 h study </w:t>
            </w:r>
          </w:p>
          <w:p w14:paraId="3A78D0D7" w14:textId="77777777" w:rsidR="009C38E1" w:rsidRPr="00DF2323" w:rsidRDefault="009C38E1" w:rsidP="00BE0479">
            <w:pPr>
              <w:rPr>
                <w:rFonts w:eastAsia="Times New Roman"/>
                <w:iCs/>
                <w:snapToGrid w:val="0"/>
                <w:sz w:val="20"/>
                <w:szCs w:val="22"/>
                <w:u w:val="single"/>
                <w:lang w:eastAsia="en-US"/>
              </w:rPr>
            </w:pPr>
            <w:r w:rsidRPr="00DF2323">
              <w:rPr>
                <w:rFonts w:eastAsia="Times New Roman"/>
                <w:iCs/>
                <w:snapToGrid w:val="0"/>
                <w:sz w:val="20"/>
                <w:szCs w:val="22"/>
                <w:u w:val="single"/>
                <w:lang w:eastAsia="en-US"/>
              </w:rPr>
              <w:t>Other arthropods:</w:t>
            </w:r>
          </w:p>
          <w:p w14:paraId="47F0A8EA" w14:textId="77777777" w:rsidR="009C38E1" w:rsidRPr="00DF2323" w:rsidRDefault="009C38E1" w:rsidP="005A1CAE">
            <w:pPr>
              <w:spacing w:after="120"/>
              <w:rPr>
                <w:rFonts w:eastAsia="Times New Roman"/>
                <w:i/>
                <w:snapToGrid w:val="0"/>
                <w:sz w:val="20"/>
                <w:szCs w:val="22"/>
                <w:lang w:eastAsia="en-US"/>
              </w:rPr>
            </w:pPr>
            <w:r w:rsidRPr="00DF2323">
              <w:rPr>
                <w:rFonts w:eastAsia="Times New Roman"/>
                <w:iCs/>
                <w:snapToGrid w:val="0"/>
                <w:sz w:val="20"/>
                <w:szCs w:val="22"/>
                <w:lang w:eastAsia="en-US"/>
              </w:rPr>
              <w:t>Mortality: No effect on adults (1.0 g a.s./ha, SL formulation). Species tested:</w:t>
            </w:r>
            <w:r w:rsidRPr="00DF2323">
              <w:t xml:space="preserve"> </w:t>
            </w:r>
            <w:r w:rsidRPr="00DF2323">
              <w:rPr>
                <w:rFonts w:eastAsia="Times New Roman"/>
                <w:i/>
                <w:snapToGrid w:val="0"/>
                <w:sz w:val="20"/>
                <w:szCs w:val="22"/>
                <w:lang w:eastAsia="en-US"/>
              </w:rPr>
              <w:t>Pardosa sp., Aleochara bilineata, Pterostichus melanarius.</w:t>
            </w:r>
          </w:p>
        </w:tc>
      </w:tr>
      <w:tr w:rsidR="009C38E1" w:rsidRPr="00DF2323" w14:paraId="0F9D84B8" w14:textId="77777777" w:rsidTr="00BE0479">
        <w:trPr>
          <w:jc w:val="right"/>
        </w:trPr>
        <w:tc>
          <w:tcPr>
            <w:tcW w:w="622" w:type="dxa"/>
          </w:tcPr>
          <w:p w14:paraId="1675D5B7"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4.2.4</w:t>
            </w:r>
          </w:p>
        </w:tc>
        <w:tc>
          <w:tcPr>
            <w:tcW w:w="1700" w:type="dxa"/>
          </w:tcPr>
          <w:p w14:paraId="41949856"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Earthworms</w:t>
            </w:r>
          </w:p>
        </w:tc>
        <w:tc>
          <w:tcPr>
            <w:tcW w:w="7175" w:type="dxa"/>
          </w:tcPr>
          <w:p w14:paraId="7CA4E053" w14:textId="77777777" w:rsidR="009C38E1" w:rsidRPr="00DF2323" w:rsidRDefault="009C38E1" w:rsidP="00BE0479">
            <w:pPr>
              <w:rPr>
                <w:rFonts w:eastAsia="Times New Roman"/>
                <w:b/>
                <w:bCs/>
                <w:iCs/>
                <w:snapToGrid w:val="0"/>
                <w:sz w:val="20"/>
                <w:szCs w:val="22"/>
                <w:lang w:eastAsia="en-US"/>
              </w:rPr>
            </w:pPr>
            <w:r w:rsidRPr="00DF2323">
              <w:rPr>
                <w:rFonts w:eastAsia="Times New Roman"/>
                <w:b/>
                <w:bCs/>
                <w:iCs/>
                <w:snapToGrid w:val="0"/>
                <w:sz w:val="20"/>
                <w:szCs w:val="22"/>
                <w:lang w:eastAsia="en-US"/>
              </w:rPr>
              <w:t>EU (2003)</w:t>
            </w:r>
          </w:p>
          <w:p w14:paraId="5C3EBC1F" w14:textId="77777777" w:rsidR="009C38E1" w:rsidRPr="00DF2323" w:rsidRDefault="009C38E1" w:rsidP="00BE0479">
            <w:pPr>
              <w:rPr>
                <w:rFonts w:eastAsia="Times New Roman"/>
                <w:iCs/>
                <w:snapToGrid w:val="0"/>
                <w:sz w:val="20"/>
                <w:szCs w:val="22"/>
                <w:lang w:eastAsia="en-US"/>
              </w:rPr>
            </w:pPr>
            <w:r w:rsidRPr="00DF2323">
              <w:rPr>
                <w:rFonts w:eastAsia="Times New Roman"/>
                <w:iCs/>
                <w:snapToGrid w:val="0"/>
                <w:sz w:val="20"/>
                <w:szCs w:val="22"/>
                <w:lang w:eastAsia="en-US"/>
              </w:rPr>
              <w:t>Acute toxicity: LC</w:t>
            </w:r>
            <w:r w:rsidRPr="00DF2323">
              <w:rPr>
                <w:rFonts w:eastAsia="Times New Roman"/>
                <w:iCs/>
                <w:snapToGrid w:val="0"/>
                <w:sz w:val="20"/>
                <w:szCs w:val="22"/>
                <w:vertAlign w:val="subscript"/>
                <w:lang w:eastAsia="en-US"/>
              </w:rPr>
              <w:t xml:space="preserve">50 </w:t>
            </w:r>
            <w:r w:rsidRPr="00DF2323">
              <w:rPr>
                <w:rFonts w:eastAsia="Times New Roman"/>
                <w:iCs/>
                <w:snapToGrid w:val="0"/>
                <w:sz w:val="20"/>
                <w:szCs w:val="22"/>
                <w:lang w:eastAsia="en-US"/>
              </w:rPr>
              <w:t>&gt;1000 mg as/kg soil - 14 d study (</w:t>
            </w:r>
            <w:r w:rsidRPr="00DF2323">
              <w:rPr>
                <w:rFonts w:eastAsia="Times New Roman"/>
                <w:i/>
                <w:snapToGrid w:val="0"/>
                <w:sz w:val="20"/>
                <w:szCs w:val="22"/>
                <w:lang w:eastAsia="en-US"/>
              </w:rPr>
              <w:t>Eisenia fetida</w:t>
            </w:r>
            <w:r w:rsidRPr="00DF2323">
              <w:rPr>
                <w:rFonts w:eastAsia="Times New Roman"/>
                <w:iCs/>
                <w:snapToGrid w:val="0"/>
                <w:sz w:val="20"/>
                <w:szCs w:val="22"/>
                <w:lang w:eastAsia="en-US"/>
              </w:rPr>
              <w:t>).</w:t>
            </w:r>
          </w:p>
          <w:p w14:paraId="6DC3E7B9" w14:textId="77777777" w:rsidR="009C38E1" w:rsidRPr="00DF2323" w:rsidRDefault="009C38E1" w:rsidP="005A1CAE">
            <w:pPr>
              <w:autoSpaceDE w:val="0"/>
              <w:autoSpaceDN w:val="0"/>
              <w:adjustRightInd w:val="0"/>
              <w:spacing w:after="120"/>
              <w:rPr>
                <w:rFonts w:eastAsia="Times New Roman"/>
                <w:i/>
                <w:snapToGrid w:val="0"/>
                <w:sz w:val="20"/>
                <w:szCs w:val="22"/>
                <w:lang w:eastAsia="en-US"/>
              </w:rPr>
            </w:pPr>
            <w:r w:rsidRPr="00DF2323">
              <w:rPr>
                <w:rFonts w:eastAsia="Times New Roman"/>
                <w:iCs/>
                <w:snapToGrid w:val="0"/>
                <w:sz w:val="20"/>
                <w:szCs w:val="22"/>
                <w:lang w:eastAsia="en-US"/>
              </w:rPr>
              <w:t>Reproductive toxicity: No adverse effects were observed on earthworm populations in a field study following an application of up to 720 kg as/ha in one year.</w:t>
            </w:r>
          </w:p>
        </w:tc>
      </w:tr>
      <w:tr w:rsidR="009C38E1" w:rsidRPr="00DF2323" w14:paraId="5E7298A8" w14:textId="77777777" w:rsidTr="00BE0479">
        <w:trPr>
          <w:jc w:val="right"/>
        </w:trPr>
        <w:tc>
          <w:tcPr>
            <w:tcW w:w="622" w:type="dxa"/>
          </w:tcPr>
          <w:p w14:paraId="28F93886"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4.2.5</w:t>
            </w:r>
          </w:p>
        </w:tc>
        <w:tc>
          <w:tcPr>
            <w:tcW w:w="1700" w:type="dxa"/>
          </w:tcPr>
          <w:p w14:paraId="7BFA3090"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Soil microorganisms</w:t>
            </w:r>
          </w:p>
        </w:tc>
        <w:tc>
          <w:tcPr>
            <w:tcW w:w="7175" w:type="dxa"/>
          </w:tcPr>
          <w:p w14:paraId="4825F3E1" w14:textId="77777777" w:rsidR="009C38E1" w:rsidRPr="00DF2323" w:rsidRDefault="009C38E1" w:rsidP="00BE0479">
            <w:pPr>
              <w:rPr>
                <w:rFonts w:eastAsia="Times New Roman"/>
                <w:b/>
                <w:bCs/>
                <w:iCs/>
                <w:snapToGrid w:val="0"/>
                <w:sz w:val="20"/>
                <w:szCs w:val="22"/>
                <w:lang w:eastAsia="en-US"/>
              </w:rPr>
            </w:pPr>
            <w:r w:rsidRPr="00DF2323">
              <w:rPr>
                <w:rFonts w:eastAsia="Times New Roman"/>
                <w:b/>
                <w:bCs/>
                <w:iCs/>
                <w:snapToGrid w:val="0"/>
                <w:sz w:val="20"/>
                <w:szCs w:val="22"/>
                <w:lang w:eastAsia="en-US"/>
              </w:rPr>
              <w:t>EU (2003)</w:t>
            </w:r>
          </w:p>
          <w:p w14:paraId="7309EA68" w14:textId="77777777" w:rsidR="009C38E1" w:rsidRPr="00DF2323" w:rsidRDefault="009C38E1" w:rsidP="00693536">
            <w:pPr>
              <w:spacing w:after="120"/>
              <w:rPr>
                <w:rFonts w:eastAsia="Times New Roman"/>
                <w:i/>
                <w:snapToGrid w:val="0"/>
                <w:sz w:val="20"/>
                <w:szCs w:val="22"/>
                <w:lang w:eastAsia="en-US"/>
              </w:rPr>
            </w:pPr>
            <w:r w:rsidRPr="00DF2323">
              <w:rPr>
                <w:rFonts w:eastAsia="Times New Roman"/>
                <w:iCs/>
                <w:snapToGrid w:val="0"/>
                <w:sz w:val="20"/>
                <w:szCs w:val="22"/>
                <w:lang w:eastAsia="en-US"/>
              </w:rPr>
              <w:t>No adverse effects were observed after application up to 720 kg a.s./ha in one year.</w:t>
            </w:r>
          </w:p>
        </w:tc>
      </w:tr>
      <w:tr w:rsidR="009C38E1" w:rsidRPr="00DF2323" w14:paraId="3036197F" w14:textId="77777777" w:rsidTr="00BE0479">
        <w:trPr>
          <w:jc w:val="right"/>
        </w:trPr>
        <w:tc>
          <w:tcPr>
            <w:tcW w:w="622" w:type="dxa"/>
          </w:tcPr>
          <w:p w14:paraId="6D574F0D"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4.2.6</w:t>
            </w:r>
          </w:p>
        </w:tc>
        <w:tc>
          <w:tcPr>
            <w:tcW w:w="1700" w:type="dxa"/>
          </w:tcPr>
          <w:p w14:paraId="4980A6C0"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Terrestrial plants</w:t>
            </w:r>
          </w:p>
        </w:tc>
        <w:tc>
          <w:tcPr>
            <w:tcW w:w="7175" w:type="dxa"/>
          </w:tcPr>
          <w:p w14:paraId="6789E57F" w14:textId="77777777" w:rsidR="009C38E1" w:rsidRPr="00DF2323" w:rsidRDefault="009C38E1" w:rsidP="00693536">
            <w:pPr>
              <w:spacing w:after="120"/>
              <w:rPr>
                <w:rFonts w:eastAsia="Times New Roman"/>
                <w:i/>
                <w:snapToGrid w:val="0"/>
                <w:sz w:val="20"/>
                <w:szCs w:val="22"/>
                <w:lang w:eastAsia="en-US"/>
              </w:rPr>
            </w:pPr>
            <w:r w:rsidRPr="00DF2323">
              <w:rPr>
                <w:rFonts w:eastAsia="Times New Roman"/>
                <w:iCs/>
                <w:snapToGrid w:val="0"/>
                <w:sz w:val="20"/>
                <w:szCs w:val="22"/>
                <w:lang w:eastAsia="en-US"/>
              </w:rPr>
              <w:t xml:space="preserve">Paraquat is a broad spectrum, non-selective contact herbicide. It belongs to the bipyridylium family of herbicides. Paraquat is known to act on the photosynthetic </w:t>
            </w:r>
            <w:r w:rsidRPr="00DF2323">
              <w:rPr>
                <w:rFonts w:eastAsia="Times New Roman"/>
                <w:iCs/>
                <w:snapToGrid w:val="0"/>
                <w:sz w:val="20"/>
                <w:szCs w:val="22"/>
                <w:lang w:eastAsia="en-US"/>
              </w:rPr>
              <w:lastRenderedPageBreak/>
              <w:t xml:space="preserve">membrane system called photosystem I, which produces free electrons to drive photosynthesis because it destroys that mechanism. </w:t>
            </w:r>
          </w:p>
        </w:tc>
      </w:tr>
      <w:tr w:rsidR="009C38E1" w:rsidRPr="00DF2323" w14:paraId="010C2C21" w14:textId="77777777" w:rsidTr="00BE0479">
        <w:trPr>
          <w:jc w:val="right"/>
        </w:trPr>
        <w:tc>
          <w:tcPr>
            <w:tcW w:w="622" w:type="dxa"/>
            <w:tcBorders>
              <w:bottom w:val="single" w:sz="4" w:space="0" w:color="auto"/>
            </w:tcBorders>
          </w:tcPr>
          <w:p w14:paraId="267CE73E" w14:textId="77777777" w:rsidR="009C38E1" w:rsidRPr="00DF2323" w:rsidRDefault="009C38E1" w:rsidP="00693536">
            <w:pPr>
              <w:keepNext/>
              <w:keepLines/>
              <w:spacing w:before="40" w:after="60"/>
              <w:outlineLvl w:val="0"/>
              <w:rPr>
                <w:rFonts w:eastAsia="Times New Roman"/>
                <w:b/>
                <w:bCs/>
                <w:kern w:val="28"/>
                <w:szCs w:val="29"/>
                <w:lang w:eastAsia="en-US"/>
              </w:rPr>
            </w:pPr>
            <w:r w:rsidRPr="00DF2323">
              <w:rPr>
                <w:rFonts w:eastAsia="Times New Roman"/>
                <w:b/>
                <w:bCs/>
                <w:kern w:val="28"/>
                <w:szCs w:val="29"/>
                <w:lang w:eastAsia="en-US"/>
              </w:rPr>
              <w:lastRenderedPageBreak/>
              <w:t>5</w:t>
            </w:r>
          </w:p>
        </w:tc>
        <w:tc>
          <w:tcPr>
            <w:tcW w:w="8875" w:type="dxa"/>
            <w:gridSpan w:val="2"/>
            <w:tcBorders>
              <w:bottom w:val="single" w:sz="4" w:space="0" w:color="auto"/>
            </w:tcBorders>
          </w:tcPr>
          <w:p w14:paraId="20C001A7" w14:textId="77777777" w:rsidR="009C38E1" w:rsidRPr="00DF2323" w:rsidRDefault="009C38E1" w:rsidP="00693536">
            <w:pPr>
              <w:keepNext/>
              <w:keepLines/>
              <w:spacing w:before="40" w:after="60"/>
              <w:outlineLvl w:val="0"/>
              <w:rPr>
                <w:rFonts w:eastAsia="Times New Roman"/>
                <w:b/>
                <w:bCs/>
                <w:i/>
                <w:snapToGrid w:val="0"/>
                <w:kern w:val="28"/>
                <w:szCs w:val="29"/>
                <w:u w:val="single"/>
                <w:lang w:eastAsia="en-US"/>
              </w:rPr>
            </w:pPr>
            <w:r w:rsidRPr="00DF2323">
              <w:rPr>
                <w:rFonts w:eastAsia="Times New Roman"/>
                <w:b/>
                <w:bCs/>
                <w:kern w:val="28"/>
                <w:szCs w:val="29"/>
                <w:lang w:eastAsia="en-US"/>
              </w:rPr>
              <w:t xml:space="preserve">Environmental Exposure/Risk Evaluation </w:t>
            </w:r>
          </w:p>
        </w:tc>
      </w:tr>
      <w:tr w:rsidR="009C38E1" w:rsidRPr="00DF2323" w14:paraId="09467271" w14:textId="77777777" w:rsidTr="00BE0479">
        <w:trPr>
          <w:jc w:val="right"/>
        </w:trPr>
        <w:tc>
          <w:tcPr>
            <w:tcW w:w="622" w:type="dxa"/>
            <w:tcBorders>
              <w:top w:val="single" w:sz="4" w:space="0" w:color="auto"/>
            </w:tcBorders>
          </w:tcPr>
          <w:p w14:paraId="4B0593E7" w14:textId="77777777" w:rsidR="009C38E1" w:rsidRPr="00DF2323" w:rsidRDefault="009C38E1" w:rsidP="00693536">
            <w:pPr>
              <w:keepNext/>
              <w:keepLines/>
              <w:rPr>
                <w:rFonts w:eastAsia="Times New Roman"/>
                <w:b/>
                <w:sz w:val="20"/>
                <w:szCs w:val="20"/>
                <w:lang w:eastAsia="en-US"/>
              </w:rPr>
            </w:pPr>
            <w:r w:rsidRPr="00DF2323">
              <w:rPr>
                <w:rFonts w:eastAsia="Times New Roman"/>
                <w:b/>
                <w:sz w:val="20"/>
                <w:szCs w:val="20"/>
                <w:lang w:eastAsia="en-US"/>
              </w:rPr>
              <w:t>5.1</w:t>
            </w:r>
          </w:p>
        </w:tc>
        <w:tc>
          <w:tcPr>
            <w:tcW w:w="1700" w:type="dxa"/>
            <w:tcBorders>
              <w:top w:val="single" w:sz="4" w:space="0" w:color="auto"/>
            </w:tcBorders>
          </w:tcPr>
          <w:p w14:paraId="3007DB50" w14:textId="77777777" w:rsidR="009C38E1" w:rsidRPr="00DF2323" w:rsidRDefault="009C38E1" w:rsidP="00693536">
            <w:pPr>
              <w:keepNext/>
              <w:keepLines/>
              <w:spacing w:before="20" w:after="20"/>
              <w:outlineLvl w:val="2"/>
              <w:rPr>
                <w:rFonts w:eastAsia="Times New Roman"/>
                <w:b/>
                <w:bCs/>
                <w:sz w:val="20"/>
                <w:szCs w:val="20"/>
                <w:lang w:eastAsia="en-US"/>
              </w:rPr>
            </w:pPr>
            <w:r w:rsidRPr="00DF2323">
              <w:rPr>
                <w:rFonts w:eastAsia="Times New Roman"/>
                <w:b/>
                <w:bCs/>
                <w:sz w:val="20"/>
                <w:szCs w:val="20"/>
                <w:lang w:eastAsia="en-US"/>
              </w:rPr>
              <w:t>Terrestrial vertebrates</w:t>
            </w:r>
          </w:p>
        </w:tc>
        <w:tc>
          <w:tcPr>
            <w:tcW w:w="7175" w:type="dxa"/>
            <w:tcBorders>
              <w:top w:val="single" w:sz="4" w:space="0" w:color="auto"/>
            </w:tcBorders>
          </w:tcPr>
          <w:p w14:paraId="38755B90" w14:textId="77777777" w:rsidR="009C38E1" w:rsidRPr="00DF2323" w:rsidRDefault="009C38E1" w:rsidP="00BE0479">
            <w:pPr>
              <w:rPr>
                <w:rFonts w:eastAsia="Times New Roman"/>
                <w:i/>
                <w:snapToGrid w:val="0"/>
                <w:sz w:val="20"/>
                <w:szCs w:val="22"/>
                <w:lang w:eastAsia="en-US"/>
              </w:rPr>
            </w:pPr>
            <w:r w:rsidRPr="00DF2323">
              <w:rPr>
                <w:rFonts w:eastAsia="Times New Roman"/>
                <w:sz w:val="20"/>
                <w:szCs w:val="20"/>
                <w:lang w:eastAsia="en-US"/>
              </w:rPr>
              <w:t>None reported</w:t>
            </w:r>
          </w:p>
        </w:tc>
      </w:tr>
      <w:tr w:rsidR="009C38E1" w:rsidRPr="00DF2323" w14:paraId="3975E068" w14:textId="77777777" w:rsidTr="00BE0479">
        <w:trPr>
          <w:jc w:val="right"/>
        </w:trPr>
        <w:tc>
          <w:tcPr>
            <w:tcW w:w="622" w:type="dxa"/>
          </w:tcPr>
          <w:p w14:paraId="6EA10555"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5.2</w:t>
            </w:r>
          </w:p>
        </w:tc>
        <w:tc>
          <w:tcPr>
            <w:tcW w:w="1700" w:type="dxa"/>
          </w:tcPr>
          <w:p w14:paraId="32567522"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Aquatic species</w:t>
            </w:r>
          </w:p>
        </w:tc>
        <w:tc>
          <w:tcPr>
            <w:tcW w:w="7175" w:type="dxa"/>
          </w:tcPr>
          <w:p w14:paraId="39D85884" w14:textId="77777777" w:rsidR="009C38E1" w:rsidRPr="00DF2323" w:rsidRDefault="009C38E1" w:rsidP="00BE0479">
            <w:pPr>
              <w:rPr>
                <w:rFonts w:eastAsia="Times New Roman"/>
                <w:b/>
                <w:bCs/>
                <w:iCs/>
                <w:snapToGrid w:val="0"/>
                <w:sz w:val="18"/>
                <w:szCs w:val="18"/>
                <w:lang w:eastAsia="en-US"/>
              </w:rPr>
            </w:pPr>
            <w:r w:rsidRPr="00DF2323">
              <w:rPr>
                <w:rFonts w:eastAsia="Times New Roman"/>
                <w:b/>
                <w:bCs/>
                <w:iCs/>
                <w:snapToGrid w:val="0"/>
                <w:sz w:val="18"/>
                <w:szCs w:val="18"/>
                <w:lang w:eastAsia="en-US"/>
              </w:rPr>
              <w:t>Mozambique</w:t>
            </w:r>
          </w:p>
          <w:p w14:paraId="3BC89E83"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 xml:space="preserve">An environmental risk evaluation on the use of paraquat in Mozambique was not conducted as part of the project for “Reducing Risks of Highly Hazardous Pesticides (HHPs) in Mozambique. The study conducted by Lahr et al. (2014) in the context of this project analysed the Environmental toxic load to aquatic organisms (fish, Daphnia, and algae) and bees as environmental hazard indicators, as well as the groundwater leaching potential of paraquat. </w:t>
            </w:r>
          </w:p>
          <w:p w14:paraId="38A93B60"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The environmental toxic load (ETL) was used as an indicator to compare average toxic loads to the environment (1) between pesticides, (2) between years and (3) in the case of the aquatic toxicity also between different groups of aquatic species (fish, water fleas and algae).</w:t>
            </w:r>
          </w:p>
          <w:p w14:paraId="6D6F8AAC"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The ETL indicator represents the average amount of toxic pressure by active ingredients of pesticides applied on one hectare of agricultural land in one year.</w:t>
            </w:r>
          </w:p>
          <w:p w14:paraId="0A38DE2A" w14:textId="011254C6"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The ETL indicator was calculated separately for fish, Daphnia, algae. The ETL is based on the total imported volume of active ingredients per year (2002 to 2011), the toxicity (either L(E)C</w:t>
            </w:r>
            <w:r w:rsidRPr="00DF2323">
              <w:rPr>
                <w:rFonts w:eastAsia="Times New Roman"/>
                <w:iCs/>
                <w:snapToGrid w:val="0"/>
                <w:sz w:val="18"/>
                <w:szCs w:val="18"/>
                <w:vertAlign w:val="subscript"/>
                <w:lang w:eastAsia="en-US"/>
              </w:rPr>
              <w:t xml:space="preserve">50 </w:t>
            </w:r>
            <w:r w:rsidRPr="00DF2323">
              <w:rPr>
                <w:rFonts w:eastAsia="Times New Roman"/>
                <w:iCs/>
                <w:snapToGrid w:val="0"/>
                <w:sz w:val="18"/>
                <w:szCs w:val="18"/>
                <w:lang w:eastAsia="en-US"/>
              </w:rPr>
              <w:t>for algae, Daphnia or fish or the LD</w:t>
            </w:r>
            <w:r w:rsidRPr="00DF2323">
              <w:rPr>
                <w:rFonts w:eastAsia="Times New Roman"/>
                <w:iCs/>
                <w:snapToGrid w:val="0"/>
                <w:sz w:val="18"/>
                <w:szCs w:val="18"/>
                <w:vertAlign w:val="subscript"/>
                <w:lang w:eastAsia="en-US"/>
              </w:rPr>
              <w:t>50</w:t>
            </w:r>
            <w:r w:rsidRPr="00DF2323">
              <w:rPr>
                <w:rFonts w:eastAsia="Times New Roman"/>
                <w:iCs/>
                <w:snapToGrid w:val="0"/>
                <w:sz w:val="18"/>
                <w:szCs w:val="18"/>
                <w:lang w:eastAsia="en-US"/>
              </w:rPr>
              <w:t xml:space="preserve"> for bees), and the total agricultural area in Mozambique.</w:t>
            </w:r>
          </w:p>
          <w:p w14:paraId="42AF9C31" w14:textId="77777777" w:rsidR="009C38E1" w:rsidRPr="00DF2323" w:rsidRDefault="009C38E1" w:rsidP="00BE0479">
            <w:pPr>
              <w:rPr>
                <w:sz w:val="18"/>
                <w:szCs w:val="18"/>
              </w:rPr>
            </w:pPr>
            <w:r w:rsidRPr="00DF2323">
              <w:rPr>
                <w:sz w:val="18"/>
                <w:szCs w:val="18"/>
              </w:rPr>
              <w:object w:dxaOrig="3570" w:dyaOrig="2325" w14:anchorId="07DB6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64.5pt" o:ole="">
                  <v:imagedata r:id="rId55" o:title=""/>
                </v:shape>
                <o:OLEObject Type="Embed" ProgID="PBrush" ShapeID="_x0000_i1025" DrawAspect="Content" ObjectID="_1753527312" r:id="rId56"/>
              </w:object>
            </w:r>
          </w:p>
          <w:p w14:paraId="6607E0B6" w14:textId="77777777" w:rsidR="009C38E1" w:rsidRPr="00DF2323" w:rsidRDefault="009C38E1" w:rsidP="00BE0479">
            <w:pPr>
              <w:rPr>
                <w:rFonts w:eastAsia="Times New Roman"/>
                <w:iCs/>
                <w:snapToGrid w:val="0"/>
                <w:sz w:val="18"/>
                <w:szCs w:val="18"/>
                <w:lang w:eastAsia="en-US"/>
              </w:rPr>
            </w:pPr>
            <w:r w:rsidRPr="00DF2323">
              <w:rPr>
                <w:rFonts w:eastAsia="Times New Roman"/>
                <w:iCs/>
                <w:snapToGrid w:val="0"/>
                <w:sz w:val="18"/>
                <w:szCs w:val="18"/>
                <w:lang w:eastAsia="en-US"/>
              </w:rPr>
              <w:t>ETL</w:t>
            </w:r>
            <w:r w:rsidRPr="00DF2323">
              <w:rPr>
                <w:rFonts w:eastAsia="Times New Roman"/>
                <w:iCs/>
                <w:snapToGrid w:val="0"/>
                <w:sz w:val="18"/>
                <w:szCs w:val="18"/>
                <w:vertAlign w:val="subscript"/>
                <w:lang w:eastAsia="en-US"/>
              </w:rPr>
              <w:t xml:space="preserve">yr </w:t>
            </w:r>
            <w:r w:rsidRPr="00DF2323">
              <w:rPr>
                <w:rFonts w:eastAsia="Times New Roman"/>
                <w:iCs/>
                <w:snapToGrid w:val="0"/>
                <w:sz w:val="18"/>
                <w:szCs w:val="18"/>
                <w:lang w:eastAsia="en-US"/>
              </w:rPr>
              <w:t>: Environmental Toxic Load indicator value for one year</w:t>
            </w:r>
          </w:p>
          <w:p w14:paraId="574488F2" w14:textId="77777777" w:rsidR="009C38E1" w:rsidRPr="00DF2323" w:rsidRDefault="009C38E1" w:rsidP="00BE0479">
            <w:pPr>
              <w:rPr>
                <w:rFonts w:eastAsia="Times New Roman"/>
                <w:iCs/>
                <w:snapToGrid w:val="0"/>
                <w:sz w:val="18"/>
                <w:szCs w:val="18"/>
                <w:lang w:eastAsia="en-US"/>
              </w:rPr>
            </w:pPr>
            <w:r w:rsidRPr="00DF2323">
              <w:rPr>
                <w:rFonts w:eastAsia="Times New Roman"/>
                <w:iCs/>
                <w:snapToGrid w:val="0"/>
                <w:sz w:val="18"/>
                <w:szCs w:val="18"/>
                <w:lang w:eastAsia="en-US"/>
              </w:rPr>
              <w:t>V</w:t>
            </w:r>
            <w:r w:rsidRPr="00DF2323">
              <w:rPr>
                <w:rFonts w:eastAsia="Times New Roman"/>
                <w:iCs/>
                <w:snapToGrid w:val="0"/>
                <w:sz w:val="18"/>
                <w:szCs w:val="18"/>
                <w:vertAlign w:val="subscript"/>
                <w:lang w:eastAsia="en-US"/>
              </w:rPr>
              <w:t xml:space="preserve">ai, yr </w:t>
            </w:r>
            <w:r w:rsidRPr="00DF2323">
              <w:rPr>
                <w:rFonts w:eastAsia="Times New Roman"/>
                <w:iCs/>
                <w:snapToGrid w:val="0"/>
                <w:sz w:val="18"/>
                <w:szCs w:val="18"/>
                <w:lang w:eastAsia="en-US"/>
              </w:rPr>
              <w:t>: volume of an active ingredient imported in a particular year (kg)</w:t>
            </w:r>
          </w:p>
          <w:p w14:paraId="7B469C27" w14:textId="77777777" w:rsidR="009C38E1" w:rsidRPr="00DF2323" w:rsidRDefault="009C38E1" w:rsidP="00BE0479">
            <w:pPr>
              <w:rPr>
                <w:rFonts w:eastAsia="Times New Roman"/>
                <w:iCs/>
                <w:snapToGrid w:val="0"/>
                <w:sz w:val="18"/>
                <w:szCs w:val="18"/>
                <w:lang w:eastAsia="en-US"/>
              </w:rPr>
            </w:pPr>
            <w:r w:rsidRPr="00DF2323">
              <w:rPr>
                <w:rFonts w:eastAsia="Times New Roman"/>
                <w:iCs/>
                <w:snapToGrid w:val="0"/>
                <w:sz w:val="18"/>
                <w:szCs w:val="18"/>
                <w:lang w:eastAsia="en-US"/>
              </w:rPr>
              <w:t>T</w:t>
            </w:r>
            <w:r w:rsidRPr="00DF2323">
              <w:rPr>
                <w:rFonts w:eastAsia="Times New Roman"/>
                <w:iCs/>
                <w:snapToGrid w:val="0"/>
                <w:sz w:val="18"/>
                <w:szCs w:val="18"/>
                <w:vertAlign w:val="subscript"/>
                <w:lang w:eastAsia="en-US"/>
              </w:rPr>
              <w:t>ai</w:t>
            </w:r>
            <w:r w:rsidRPr="00DF2323">
              <w:rPr>
                <w:rFonts w:eastAsia="Times New Roman"/>
                <w:iCs/>
                <w:snapToGrid w:val="0"/>
                <w:sz w:val="18"/>
                <w:szCs w:val="18"/>
                <w:lang w:eastAsia="en-US"/>
              </w:rPr>
              <w:t xml:space="preserve"> toxicity of the active ingredient; i.e. L(E)C50 of either fish, Daphnia or algae (mg/L), or the LD</w:t>
            </w:r>
            <w:r w:rsidRPr="00DF2323">
              <w:rPr>
                <w:rFonts w:eastAsia="Times New Roman"/>
                <w:iCs/>
                <w:snapToGrid w:val="0"/>
                <w:sz w:val="18"/>
                <w:szCs w:val="18"/>
                <w:vertAlign w:val="subscript"/>
                <w:lang w:eastAsia="en-US"/>
              </w:rPr>
              <w:t>50</w:t>
            </w:r>
            <w:r w:rsidRPr="00DF2323">
              <w:rPr>
                <w:rFonts w:eastAsia="Times New Roman"/>
                <w:iCs/>
                <w:snapToGrid w:val="0"/>
                <w:sz w:val="18"/>
                <w:szCs w:val="18"/>
                <w:lang w:eastAsia="en-US"/>
              </w:rPr>
              <w:t xml:space="preserve"> of bees (μg/bee)</w:t>
            </w:r>
          </w:p>
          <w:p w14:paraId="5EE1881D"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A</w:t>
            </w:r>
            <w:r w:rsidRPr="00DF2323">
              <w:rPr>
                <w:rFonts w:eastAsia="Times New Roman"/>
                <w:iCs/>
                <w:snapToGrid w:val="0"/>
                <w:sz w:val="18"/>
                <w:szCs w:val="18"/>
                <w:vertAlign w:val="subscript"/>
                <w:lang w:eastAsia="en-US"/>
              </w:rPr>
              <w:t>yr</w:t>
            </w:r>
            <w:r w:rsidRPr="00DF2323">
              <w:rPr>
                <w:rFonts w:eastAsia="Times New Roman"/>
                <w:iCs/>
                <w:snapToGrid w:val="0"/>
                <w:sz w:val="18"/>
                <w:szCs w:val="18"/>
                <w:lang w:eastAsia="en-US"/>
              </w:rPr>
              <w:t xml:space="preserve"> total agricultural area in Mozambique in a particular year (ha)</w:t>
            </w:r>
          </w:p>
          <w:p w14:paraId="7B442CDD"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The ETL cannot be used to assess the actual risk (i.e., the probability of an adverse effect on organisms) as a consequence of pesticide treatments because there is no exposure assessment involved in its calculation. For instance, there is no prediction of an environmental concentration (PEC) in water that can be compared with a ‘no effect concentration’ for water organisms (PEC/NEC analysis). There are no thresholds of the ETL that signifies an absolute risk.</w:t>
            </w:r>
          </w:p>
          <w:p w14:paraId="44C9F9FC"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The ETL can therefore only be used to evaluate the impact of changes in relative environmental hazards between pesticides and between years.</w:t>
            </w:r>
          </w:p>
          <w:p w14:paraId="657B6581" w14:textId="77777777"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 xml:space="preserve">Pesticides were classified as of “primary concern” when the active substance constitute &gt;50% of the total annual ETL value in 2 years or more and as “secondary concern” when the active substance constitutes &gt; 10% of the total annual ETL value in 1 year or more. </w:t>
            </w:r>
          </w:p>
          <w:p w14:paraId="6176668F" w14:textId="487644A8" w:rsidR="009C38E1" w:rsidRPr="00DF2323" w:rsidRDefault="009C38E1" w:rsidP="00693536">
            <w:pPr>
              <w:spacing w:after="120"/>
              <w:rPr>
                <w:rFonts w:eastAsia="Times New Roman"/>
                <w:iCs/>
                <w:snapToGrid w:val="0"/>
                <w:sz w:val="18"/>
                <w:szCs w:val="18"/>
                <w:lang w:eastAsia="en-US"/>
              </w:rPr>
            </w:pPr>
            <w:r w:rsidRPr="00DF2323">
              <w:rPr>
                <w:rFonts w:eastAsia="Times New Roman"/>
                <w:iCs/>
                <w:snapToGrid w:val="0"/>
                <w:sz w:val="18"/>
                <w:szCs w:val="18"/>
                <w:lang w:eastAsia="en-US"/>
              </w:rPr>
              <w:t>Paraquat was identified as pesticide of “secondary concern” based on the relative hazard to algae using the ETL as a hazard indicator.</w:t>
            </w:r>
          </w:p>
          <w:tbl>
            <w:tblPr>
              <w:tblW w:w="3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1567"/>
              <w:gridCol w:w="1633"/>
            </w:tblGrid>
            <w:tr w:rsidR="009C38E1" w:rsidRPr="00DF2323" w14:paraId="1454DD11" w14:textId="77777777" w:rsidTr="004E00D2">
              <w:trPr>
                <w:trHeight w:val="300"/>
              </w:trPr>
              <w:tc>
                <w:tcPr>
                  <w:tcW w:w="1308" w:type="dxa"/>
                  <w:shd w:val="clear" w:color="auto" w:fill="auto"/>
                  <w:noWrap/>
                  <w:vAlign w:val="bottom"/>
                  <w:hideMark/>
                </w:tcPr>
                <w:p w14:paraId="16496933" w14:textId="77777777" w:rsidR="009C38E1" w:rsidRPr="00DF2323" w:rsidRDefault="009C38E1" w:rsidP="00BE0479">
                  <w:pPr>
                    <w:rPr>
                      <w:rFonts w:eastAsia="Times New Roman"/>
                      <w:iCs/>
                      <w:snapToGrid w:val="0"/>
                      <w:sz w:val="18"/>
                      <w:szCs w:val="18"/>
                      <w:lang w:eastAsia="en-US"/>
                    </w:rPr>
                  </w:pPr>
                  <w:r w:rsidRPr="00DF2323">
                    <w:rPr>
                      <w:rFonts w:eastAsia="Times New Roman"/>
                      <w:iCs/>
                      <w:snapToGrid w:val="0"/>
                      <w:sz w:val="18"/>
                      <w:szCs w:val="18"/>
                      <w:lang w:eastAsia="en-US"/>
                    </w:rPr>
                    <w:t>Year</w:t>
                  </w:r>
                </w:p>
              </w:tc>
              <w:tc>
                <w:tcPr>
                  <w:tcW w:w="1567" w:type="dxa"/>
                  <w:shd w:val="clear" w:color="auto" w:fill="auto"/>
                  <w:noWrap/>
                  <w:vAlign w:val="bottom"/>
                  <w:hideMark/>
                </w:tcPr>
                <w:p w14:paraId="19557690" w14:textId="77777777" w:rsidR="009C38E1" w:rsidRPr="00DF2323" w:rsidRDefault="009C38E1" w:rsidP="00F737C6">
                  <w:pPr>
                    <w:jc w:val="right"/>
                    <w:rPr>
                      <w:rFonts w:eastAsia="Times New Roman"/>
                      <w:iCs/>
                      <w:snapToGrid w:val="0"/>
                      <w:sz w:val="18"/>
                      <w:szCs w:val="18"/>
                      <w:lang w:eastAsia="en-US"/>
                    </w:rPr>
                  </w:pPr>
                  <w:r w:rsidRPr="00DF2323">
                    <w:rPr>
                      <w:rFonts w:eastAsia="Times New Roman"/>
                      <w:iCs/>
                      <w:snapToGrid w:val="0"/>
                      <w:sz w:val="18"/>
                      <w:szCs w:val="18"/>
                      <w:lang w:eastAsia="en-US"/>
                    </w:rPr>
                    <w:t>kg imported</w:t>
                  </w:r>
                </w:p>
              </w:tc>
              <w:tc>
                <w:tcPr>
                  <w:tcW w:w="1633" w:type="dxa"/>
                  <w:shd w:val="clear" w:color="auto" w:fill="auto"/>
                  <w:noWrap/>
                  <w:vAlign w:val="bottom"/>
                  <w:hideMark/>
                </w:tcPr>
                <w:p w14:paraId="7EB22C27" w14:textId="77777777" w:rsidR="009C38E1" w:rsidRPr="00DF2323" w:rsidRDefault="009C38E1" w:rsidP="00F737C6">
                  <w:pPr>
                    <w:jc w:val="right"/>
                    <w:rPr>
                      <w:rFonts w:eastAsia="Times New Roman"/>
                      <w:iCs/>
                      <w:snapToGrid w:val="0"/>
                      <w:sz w:val="18"/>
                      <w:szCs w:val="18"/>
                      <w:lang w:eastAsia="en-US"/>
                    </w:rPr>
                  </w:pPr>
                  <w:r w:rsidRPr="00DF2323">
                    <w:rPr>
                      <w:rFonts w:eastAsia="Times New Roman"/>
                      <w:iCs/>
                      <w:snapToGrid w:val="0"/>
                      <w:sz w:val="18"/>
                      <w:szCs w:val="18"/>
                      <w:lang w:eastAsia="en-US"/>
                    </w:rPr>
                    <w:t>% of the annual ETL for algae</w:t>
                  </w:r>
                </w:p>
              </w:tc>
            </w:tr>
            <w:tr w:rsidR="009C38E1" w:rsidRPr="00DF2323" w14:paraId="0295D044" w14:textId="77777777" w:rsidTr="004E00D2">
              <w:trPr>
                <w:trHeight w:val="300"/>
              </w:trPr>
              <w:tc>
                <w:tcPr>
                  <w:tcW w:w="1308" w:type="dxa"/>
                  <w:shd w:val="clear" w:color="auto" w:fill="auto"/>
                  <w:noWrap/>
                  <w:hideMark/>
                </w:tcPr>
                <w:p w14:paraId="16B18342"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2002</w:t>
                  </w:r>
                </w:p>
              </w:tc>
              <w:tc>
                <w:tcPr>
                  <w:tcW w:w="1567" w:type="dxa"/>
                  <w:shd w:val="clear" w:color="auto" w:fill="auto"/>
                  <w:noWrap/>
                  <w:hideMark/>
                </w:tcPr>
                <w:p w14:paraId="330549A7"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1745</w:t>
                  </w:r>
                </w:p>
              </w:tc>
              <w:tc>
                <w:tcPr>
                  <w:tcW w:w="1633" w:type="dxa"/>
                  <w:shd w:val="clear" w:color="auto" w:fill="auto"/>
                  <w:noWrap/>
                  <w:hideMark/>
                </w:tcPr>
                <w:p w14:paraId="6CE75ADD"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98.5</w:t>
                  </w:r>
                </w:p>
              </w:tc>
            </w:tr>
            <w:tr w:rsidR="009C38E1" w:rsidRPr="00DF2323" w14:paraId="7935C1EF" w14:textId="77777777" w:rsidTr="004E00D2">
              <w:trPr>
                <w:trHeight w:val="300"/>
              </w:trPr>
              <w:tc>
                <w:tcPr>
                  <w:tcW w:w="1308" w:type="dxa"/>
                  <w:shd w:val="clear" w:color="auto" w:fill="auto"/>
                  <w:noWrap/>
                  <w:hideMark/>
                </w:tcPr>
                <w:p w14:paraId="48637D78"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2003</w:t>
                  </w:r>
                </w:p>
              </w:tc>
              <w:tc>
                <w:tcPr>
                  <w:tcW w:w="1567" w:type="dxa"/>
                  <w:shd w:val="clear" w:color="auto" w:fill="auto"/>
                  <w:noWrap/>
                  <w:hideMark/>
                </w:tcPr>
                <w:p w14:paraId="2BD14A5A"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4721</w:t>
                  </w:r>
                </w:p>
              </w:tc>
              <w:tc>
                <w:tcPr>
                  <w:tcW w:w="1633" w:type="dxa"/>
                  <w:shd w:val="clear" w:color="auto" w:fill="auto"/>
                  <w:noWrap/>
                  <w:hideMark/>
                </w:tcPr>
                <w:p w14:paraId="171E1C70"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21.4</w:t>
                  </w:r>
                </w:p>
              </w:tc>
            </w:tr>
            <w:tr w:rsidR="009C38E1" w:rsidRPr="00DF2323" w14:paraId="7AB9B9B3" w14:textId="77777777" w:rsidTr="004E00D2">
              <w:trPr>
                <w:trHeight w:val="300"/>
              </w:trPr>
              <w:tc>
                <w:tcPr>
                  <w:tcW w:w="1308" w:type="dxa"/>
                  <w:shd w:val="clear" w:color="auto" w:fill="auto"/>
                  <w:noWrap/>
                  <w:hideMark/>
                </w:tcPr>
                <w:p w14:paraId="1E5DF872"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2004</w:t>
                  </w:r>
                </w:p>
              </w:tc>
              <w:tc>
                <w:tcPr>
                  <w:tcW w:w="1567" w:type="dxa"/>
                  <w:shd w:val="clear" w:color="auto" w:fill="auto"/>
                  <w:noWrap/>
                  <w:hideMark/>
                </w:tcPr>
                <w:p w14:paraId="1610E264"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7418</w:t>
                  </w:r>
                </w:p>
              </w:tc>
              <w:tc>
                <w:tcPr>
                  <w:tcW w:w="1633" w:type="dxa"/>
                  <w:shd w:val="clear" w:color="auto" w:fill="auto"/>
                  <w:noWrap/>
                  <w:hideMark/>
                </w:tcPr>
                <w:p w14:paraId="20C9D9EA"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16.3</w:t>
                  </w:r>
                </w:p>
              </w:tc>
            </w:tr>
            <w:tr w:rsidR="009C38E1" w:rsidRPr="00DF2323" w14:paraId="2E45419A" w14:textId="77777777" w:rsidTr="004E00D2">
              <w:trPr>
                <w:trHeight w:val="300"/>
              </w:trPr>
              <w:tc>
                <w:tcPr>
                  <w:tcW w:w="1308" w:type="dxa"/>
                  <w:shd w:val="clear" w:color="auto" w:fill="auto"/>
                  <w:noWrap/>
                  <w:hideMark/>
                </w:tcPr>
                <w:p w14:paraId="4216041C"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2005</w:t>
                  </w:r>
                </w:p>
              </w:tc>
              <w:tc>
                <w:tcPr>
                  <w:tcW w:w="1567" w:type="dxa"/>
                  <w:shd w:val="clear" w:color="auto" w:fill="auto"/>
                  <w:noWrap/>
                  <w:hideMark/>
                </w:tcPr>
                <w:p w14:paraId="61A87837"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5377</w:t>
                  </w:r>
                </w:p>
              </w:tc>
              <w:tc>
                <w:tcPr>
                  <w:tcW w:w="1633" w:type="dxa"/>
                  <w:shd w:val="clear" w:color="auto" w:fill="auto"/>
                  <w:noWrap/>
                  <w:hideMark/>
                </w:tcPr>
                <w:p w14:paraId="1718D237"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8.1</w:t>
                  </w:r>
                </w:p>
              </w:tc>
            </w:tr>
            <w:tr w:rsidR="009C38E1" w:rsidRPr="00DF2323" w14:paraId="026AE87B" w14:textId="77777777" w:rsidTr="004E00D2">
              <w:trPr>
                <w:trHeight w:val="300"/>
              </w:trPr>
              <w:tc>
                <w:tcPr>
                  <w:tcW w:w="1308" w:type="dxa"/>
                  <w:shd w:val="clear" w:color="auto" w:fill="auto"/>
                  <w:noWrap/>
                  <w:hideMark/>
                </w:tcPr>
                <w:p w14:paraId="31F27E92"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2006</w:t>
                  </w:r>
                </w:p>
              </w:tc>
              <w:tc>
                <w:tcPr>
                  <w:tcW w:w="1567" w:type="dxa"/>
                  <w:shd w:val="clear" w:color="auto" w:fill="auto"/>
                  <w:noWrap/>
                  <w:hideMark/>
                </w:tcPr>
                <w:p w14:paraId="3EEE87C6"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6604</w:t>
                  </w:r>
                </w:p>
              </w:tc>
              <w:tc>
                <w:tcPr>
                  <w:tcW w:w="1633" w:type="dxa"/>
                  <w:shd w:val="clear" w:color="auto" w:fill="auto"/>
                  <w:noWrap/>
                  <w:hideMark/>
                </w:tcPr>
                <w:p w14:paraId="5FDB7D83"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12.8</w:t>
                  </w:r>
                </w:p>
              </w:tc>
            </w:tr>
            <w:tr w:rsidR="009C38E1" w:rsidRPr="00DF2323" w14:paraId="19A0F4CE" w14:textId="77777777" w:rsidTr="004E00D2">
              <w:trPr>
                <w:trHeight w:val="300"/>
              </w:trPr>
              <w:tc>
                <w:tcPr>
                  <w:tcW w:w="1308" w:type="dxa"/>
                  <w:shd w:val="clear" w:color="auto" w:fill="auto"/>
                  <w:noWrap/>
                  <w:hideMark/>
                </w:tcPr>
                <w:p w14:paraId="5A655AA6"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2007</w:t>
                  </w:r>
                </w:p>
              </w:tc>
              <w:tc>
                <w:tcPr>
                  <w:tcW w:w="1567" w:type="dxa"/>
                  <w:shd w:val="clear" w:color="auto" w:fill="auto"/>
                  <w:noWrap/>
                  <w:hideMark/>
                </w:tcPr>
                <w:p w14:paraId="7D537356"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4272</w:t>
                  </w:r>
                </w:p>
              </w:tc>
              <w:tc>
                <w:tcPr>
                  <w:tcW w:w="1633" w:type="dxa"/>
                  <w:shd w:val="clear" w:color="auto" w:fill="auto"/>
                  <w:noWrap/>
                  <w:hideMark/>
                </w:tcPr>
                <w:p w14:paraId="057CA3B4"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11.7</w:t>
                  </w:r>
                </w:p>
              </w:tc>
            </w:tr>
            <w:tr w:rsidR="009C38E1" w:rsidRPr="00DF2323" w14:paraId="5D1ACA7B" w14:textId="77777777" w:rsidTr="004E00D2">
              <w:trPr>
                <w:trHeight w:val="300"/>
              </w:trPr>
              <w:tc>
                <w:tcPr>
                  <w:tcW w:w="1308" w:type="dxa"/>
                  <w:shd w:val="clear" w:color="auto" w:fill="auto"/>
                  <w:noWrap/>
                  <w:hideMark/>
                </w:tcPr>
                <w:p w14:paraId="4EDC3018"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2008</w:t>
                  </w:r>
                </w:p>
              </w:tc>
              <w:tc>
                <w:tcPr>
                  <w:tcW w:w="1567" w:type="dxa"/>
                  <w:shd w:val="clear" w:color="auto" w:fill="auto"/>
                  <w:noWrap/>
                  <w:hideMark/>
                </w:tcPr>
                <w:p w14:paraId="702DD777"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4600</w:t>
                  </w:r>
                </w:p>
              </w:tc>
              <w:tc>
                <w:tcPr>
                  <w:tcW w:w="1633" w:type="dxa"/>
                  <w:shd w:val="clear" w:color="auto" w:fill="auto"/>
                  <w:noWrap/>
                  <w:hideMark/>
                </w:tcPr>
                <w:p w14:paraId="29AFECC3"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6.3</w:t>
                  </w:r>
                </w:p>
              </w:tc>
            </w:tr>
            <w:tr w:rsidR="009C38E1" w:rsidRPr="00DF2323" w14:paraId="75EFF016" w14:textId="77777777" w:rsidTr="004E00D2">
              <w:trPr>
                <w:trHeight w:val="300"/>
              </w:trPr>
              <w:tc>
                <w:tcPr>
                  <w:tcW w:w="1308" w:type="dxa"/>
                  <w:shd w:val="clear" w:color="auto" w:fill="auto"/>
                  <w:noWrap/>
                  <w:hideMark/>
                </w:tcPr>
                <w:p w14:paraId="67D6C21F"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2009</w:t>
                  </w:r>
                </w:p>
              </w:tc>
              <w:tc>
                <w:tcPr>
                  <w:tcW w:w="1567" w:type="dxa"/>
                  <w:shd w:val="clear" w:color="auto" w:fill="auto"/>
                  <w:noWrap/>
                  <w:hideMark/>
                </w:tcPr>
                <w:p w14:paraId="34E21F9D"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8448</w:t>
                  </w:r>
                </w:p>
              </w:tc>
              <w:tc>
                <w:tcPr>
                  <w:tcW w:w="1633" w:type="dxa"/>
                  <w:shd w:val="clear" w:color="auto" w:fill="auto"/>
                  <w:noWrap/>
                  <w:hideMark/>
                </w:tcPr>
                <w:p w14:paraId="61E3A9A4"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11</w:t>
                  </w:r>
                </w:p>
              </w:tc>
            </w:tr>
            <w:tr w:rsidR="009C38E1" w:rsidRPr="00DF2323" w14:paraId="0F021EF6" w14:textId="77777777" w:rsidTr="004E00D2">
              <w:trPr>
                <w:trHeight w:val="300"/>
              </w:trPr>
              <w:tc>
                <w:tcPr>
                  <w:tcW w:w="1308" w:type="dxa"/>
                  <w:shd w:val="clear" w:color="auto" w:fill="auto"/>
                  <w:noWrap/>
                  <w:hideMark/>
                </w:tcPr>
                <w:p w14:paraId="10DA7155"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2010</w:t>
                  </w:r>
                </w:p>
              </w:tc>
              <w:tc>
                <w:tcPr>
                  <w:tcW w:w="1567" w:type="dxa"/>
                  <w:shd w:val="clear" w:color="auto" w:fill="auto"/>
                  <w:noWrap/>
                  <w:hideMark/>
                </w:tcPr>
                <w:p w14:paraId="273A8EBD"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4540</w:t>
                  </w:r>
                </w:p>
              </w:tc>
              <w:tc>
                <w:tcPr>
                  <w:tcW w:w="1633" w:type="dxa"/>
                  <w:shd w:val="clear" w:color="auto" w:fill="auto"/>
                  <w:noWrap/>
                  <w:hideMark/>
                </w:tcPr>
                <w:p w14:paraId="0C82BFBB"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5.4</w:t>
                  </w:r>
                </w:p>
              </w:tc>
            </w:tr>
            <w:tr w:rsidR="009C38E1" w:rsidRPr="00DF2323" w14:paraId="357859F8" w14:textId="77777777" w:rsidTr="004E00D2">
              <w:trPr>
                <w:trHeight w:val="300"/>
              </w:trPr>
              <w:tc>
                <w:tcPr>
                  <w:tcW w:w="1308" w:type="dxa"/>
                  <w:shd w:val="clear" w:color="auto" w:fill="auto"/>
                  <w:noWrap/>
                  <w:hideMark/>
                </w:tcPr>
                <w:p w14:paraId="5F6A756B" w14:textId="77777777" w:rsidR="009C38E1" w:rsidRPr="00DF2323" w:rsidRDefault="009C38E1" w:rsidP="00F737C6">
                  <w:pPr>
                    <w:rPr>
                      <w:rFonts w:eastAsia="Times New Roman"/>
                      <w:iCs/>
                      <w:snapToGrid w:val="0"/>
                      <w:sz w:val="18"/>
                      <w:szCs w:val="18"/>
                      <w:lang w:eastAsia="en-US"/>
                    </w:rPr>
                  </w:pPr>
                  <w:r w:rsidRPr="00DF2323">
                    <w:rPr>
                      <w:rFonts w:eastAsia="Times New Roman"/>
                      <w:iCs/>
                      <w:snapToGrid w:val="0"/>
                      <w:sz w:val="18"/>
                      <w:szCs w:val="18"/>
                      <w:lang w:eastAsia="en-US"/>
                    </w:rPr>
                    <w:t>2011</w:t>
                  </w:r>
                </w:p>
              </w:tc>
              <w:tc>
                <w:tcPr>
                  <w:tcW w:w="1567" w:type="dxa"/>
                  <w:shd w:val="clear" w:color="auto" w:fill="auto"/>
                  <w:noWrap/>
                  <w:hideMark/>
                </w:tcPr>
                <w:p w14:paraId="1227709A"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7020</w:t>
                  </w:r>
                </w:p>
              </w:tc>
              <w:tc>
                <w:tcPr>
                  <w:tcW w:w="1633" w:type="dxa"/>
                  <w:shd w:val="clear" w:color="auto" w:fill="auto"/>
                  <w:noWrap/>
                  <w:hideMark/>
                </w:tcPr>
                <w:p w14:paraId="0E17788C" w14:textId="77777777" w:rsidR="009C38E1" w:rsidRPr="00DF2323" w:rsidRDefault="009C38E1" w:rsidP="00BE0479">
                  <w:pPr>
                    <w:jc w:val="right"/>
                    <w:rPr>
                      <w:rFonts w:eastAsia="Times New Roman"/>
                      <w:iCs/>
                      <w:snapToGrid w:val="0"/>
                      <w:sz w:val="18"/>
                      <w:szCs w:val="18"/>
                      <w:lang w:eastAsia="en-US"/>
                    </w:rPr>
                  </w:pPr>
                  <w:r w:rsidRPr="00DF2323">
                    <w:rPr>
                      <w:rFonts w:eastAsia="Times New Roman"/>
                      <w:iCs/>
                      <w:snapToGrid w:val="0"/>
                      <w:sz w:val="18"/>
                      <w:szCs w:val="18"/>
                      <w:lang w:eastAsia="en-US"/>
                    </w:rPr>
                    <w:t>10.7</w:t>
                  </w:r>
                </w:p>
              </w:tc>
            </w:tr>
          </w:tbl>
          <w:p w14:paraId="216BA3C1" w14:textId="77777777" w:rsidR="009C38E1" w:rsidRPr="00DF2323" w:rsidRDefault="009C38E1" w:rsidP="00BE0479">
            <w:pPr>
              <w:rPr>
                <w:rFonts w:eastAsia="Times New Roman"/>
                <w:i/>
                <w:snapToGrid w:val="0"/>
                <w:sz w:val="18"/>
                <w:szCs w:val="18"/>
                <w:lang w:eastAsia="en-US"/>
              </w:rPr>
            </w:pPr>
          </w:p>
        </w:tc>
      </w:tr>
      <w:tr w:rsidR="009C38E1" w:rsidRPr="00DF2323" w14:paraId="57039F69" w14:textId="77777777" w:rsidTr="00BE0479">
        <w:trPr>
          <w:jc w:val="right"/>
        </w:trPr>
        <w:tc>
          <w:tcPr>
            <w:tcW w:w="622" w:type="dxa"/>
          </w:tcPr>
          <w:p w14:paraId="7A2EBF95" w14:textId="77777777" w:rsidR="009C38E1" w:rsidRPr="00DF2323" w:rsidRDefault="009C38E1" w:rsidP="001A04E6">
            <w:pPr>
              <w:keepNext/>
              <w:keepLines/>
              <w:rPr>
                <w:rFonts w:eastAsia="Times New Roman"/>
                <w:b/>
                <w:sz w:val="20"/>
                <w:szCs w:val="20"/>
                <w:lang w:eastAsia="en-US"/>
              </w:rPr>
            </w:pPr>
            <w:r w:rsidRPr="00DF2323">
              <w:rPr>
                <w:rFonts w:eastAsia="Times New Roman"/>
                <w:b/>
                <w:sz w:val="20"/>
                <w:szCs w:val="20"/>
                <w:lang w:eastAsia="en-US"/>
              </w:rPr>
              <w:lastRenderedPageBreak/>
              <w:t>5.3</w:t>
            </w:r>
          </w:p>
        </w:tc>
        <w:tc>
          <w:tcPr>
            <w:tcW w:w="1700" w:type="dxa"/>
          </w:tcPr>
          <w:p w14:paraId="6E78B41B" w14:textId="77777777" w:rsidR="009C38E1" w:rsidRPr="00DF2323" w:rsidRDefault="009C38E1" w:rsidP="001A04E6">
            <w:pPr>
              <w:keepNext/>
              <w:keepLines/>
              <w:spacing w:before="20" w:after="20"/>
              <w:outlineLvl w:val="2"/>
              <w:rPr>
                <w:rFonts w:eastAsia="Times New Roman"/>
                <w:b/>
                <w:bCs/>
                <w:sz w:val="20"/>
                <w:szCs w:val="20"/>
                <w:lang w:eastAsia="en-US"/>
              </w:rPr>
            </w:pPr>
            <w:r w:rsidRPr="00DF2323">
              <w:rPr>
                <w:rFonts w:eastAsia="Times New Roman"/>
                <w:b/>
                <w:bCs/>
                <w:sz w:val="20"/>
                <w:szCs w:val="20"/>
                <w:lang w:eastAsia="en-US"/>
              </w:rPr>
              <w:t>Honey bees</w:t>
            </w:r>
          </w:p>
        </w:tc>
        <w:tc>
          <w:tcPr>
            <w:tcW w:w="7175" w:type="dxa"/>
          </w:tcPr>
          <w:p w14:paraId="27A26F1D" w14:textId="77777777" w:rsidR="009C38E1" w:rsidRPr="00DF2323" w:rsidRDefault="009C38E1" w:rsidP="001A04E6">
            <w:pPr>
              <w:keepNext/>
              <w:keepLines/>
              <w:spacing w:after="120"/>
              <w:rPr>
                <w:rFonts w:eastAsia="Times New Roman"/>
                <w:b/>
                <w:bCs/>
                <w:iCs/>
                <w:snapToGrid w:val="0"/>
                <w:sz w:val="20"/>
                <w:szCs w:val="20"/>
                <w:lang w:eastAsia="en-US"/>
              </w:rPr>
            </w:pPr>
            <w:r w:rsidRPr="00DF2323">
              <w:rPr>
                <w:rFonts w:eastAsia="Times New Roman"/>
                <w:b/>
                <w:bCs/>
                <w:iCs/>
                <w:snapToGrid w:val="0"/>
                <w:sz w:val="20"/>
                <w:szCs w:val="20"/>
                <w:lang w:eastAsia="en-US"/>
              </w:rPr>
              <w:t>Mozambique</w:t>
            </w:r>
          </w:p>
          <w:p w14:paraId="1D8D7664" w14:textId="77777777" w:rsidR="009C38E1" w:rsidRPr="00DF2323" w:rsidRDefault="009C38E1" w:rsidP="001A04E6">
            <w:pPr>
              <w:keepNext/>
              <w:keepLines/>
              <w:rPr>
                <w:rFonts w:eastAsia="Times New Roman"/>
                <w:i/>
                <w:snapToGrid w:val="0"/>
                <w:sz w:val="20"/>
                <w:szCs w:val="22"/>
                <w:lang w:eastAsia="en-US"/>
              </w:rPr>
            </w:pPr>
            <w:r w:rsidRPr="00DF2323">
              <w:rPr>
                <w:rFonts w:eastAsia="Times New Roman"/>
                <w:iCs/>
                <w:snapToGrid w:val="0"/>
                <w:sz w:val="20"/>
                <w:szCs w:val="20"/>
                <w:lang w:eastAsia="en-US"/>
              </w:rPr>
              <w:t>The ETL indicator of paraquat was also calculated for bees. On the basis of the ETL, paraquat was not considered of concern for bees.</w:t>
            </w:r>
          </w:p>
        </w:tc>
      </w:tr>
      <w:tr w:rsidR="009C38E1" w:rsidRPr="00DF2323" w14:paraId="1EAEA998" w14:textId="77777777" w:rsidTr="00BE0479">
        <w:trPr>
          <w:jc w:val="right"/>
        </w:trPr>
        <w:tc>
          <w:tcPr>
            <w:tcW w:w="622" w:type="dxa"/>
          </w:tcPr>
          <w:p w14:paraId="41076B1E"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5.4</w:t>
            </w:r>
          </w:p>
        </w:tc>
        <w:tc>
          <w:tcPr>
            <w:tcW w:w="1700" w:type="dxa"/>
          </w:tcPr>
          <w:p w14:paraId="54A52DEC"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Earthworms</w:t>
            </w:r>
          </w:p>
        </w:tc>
        <w:tc>
          <w:tcPr>
            <w:tcW w:w="7175" w:type="dxa"/>
          </w:tcPr>
          <w:p w14:paraId="5FDF9046" w14:textId="77777777" w:rsidR="009C38E1" w:rsidRPr="00DF2323" w:rsidRDefault="009C38E1" w:rsidP="00BE0479">
            <w:pPr>
              <w:rPr>
                <w:rFonts w:eastAsia="Times New Roman"/>
                <w:i/>
                <w:snapToGrid w:val="0"/>
                <w:sz w:val="20"/>
                <w:szCs w:val="22"/>
                <w:lang w:eastAsia="en-US"/>
              </w:rPr>
            </w:pPr>
            <w:r w:rsidRPr="00DF2323">
              <w:rPr>
                <w:rFonts w:eastAsia="Times New Roman"/>
                <w:sz w:val="20"/>
                <w:szCs w:val="20"/>
                <w:lang w:eastAsia="en-US"/>
              </w:rPr>
              <w:t>None reported</w:t>
            </w:r>
          </w:p>
        </w:tc>
      </w:tr>
      <w:tr w:rsidR="009C38E1" w:rsidRPr="00DF2323" w14:paraId="42D1B578" w14:textId="77777777" w:rsidTr="00BE0479">
        <w:trPr>
          <w:jc w:val="right"/>
        </w:trPr>
        <w:tc>
          <w:tcPr>
            <w:tcW w:w="622" w:type="dxa"/>
          </w:tcPr>
          <w:p w14:paraId="2DACEFBB"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5.5</w:t>
            </w:r>
          </w:p>
        </w:tc>
        <w:tc>
          <w:tcPr>
            <w:tcW w:w="1700" w:type="dxa"/>
          </w:tcPr>
          <w:p w14:paraId="5E75A5A9"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Soil microorganisms</w:t>
            </w:r>
          </w:p>
        </w:tc>
        <w:tc>
          <w:tcPr>
            <w:tcW w:w="7175" w:type="dxa"/>
          </w:tcPr>
          <w:p w14:paraId="62611E3B" w14:textId="77777777" w:rsidR="009C38E1" w:rsidRPr="00DF2323" w:rsidRDefault="009C38E1" w:rsidP="00BE0479">
            <w:pPr>
              <w:rPr>
                <w:rFonts w:eastAsia="Times New Roman"/>
                <w:i/>
                <w:snapToGrid w:val="0"/>
                <w:sz w:val="20"/>
                <w:szCs w:val="22"/>
                <w:lang w:eastAsia="en-US"/>
              </w:rPr>
            </w:pPr>
            <w:r w:rsidRPr="00DF2323">
              <w:rPr>
                <w:rFonts w:eastAsia="Times New Roman"/>
                <w:sz w:val="20"/>
                <w:szCs w:val="20"/>
                <w:lang w:eastAsia="en-US"/>
              </w:rPr>
              <w:t>None reported</w:t>
            </w:r>
          </w:p>
        </w:tc>
      </w:tr>
      <w:tr w:rsidR="009C38E1" w:rsidRPr="00DF2323" w14:paraId="387E3467" w14:textId="77777777" w:rsidTr="00BE0479">
        <w:trPr>
          <w:jc w:val="right"/>
        </w:trPr>
        <w:tc>
          <w:tcPr>
            <w:tcW w:w="622" w:type="dxa"/>
          </w:tcPr>
          <w:p w14:paraId="022B95FD" w14:textId="77777777" w:rsidR="009C38E1" w:rsidRPr="00DF2323" w:rsidRDefault="009C38E1" w:rsidP="00BE0479">
            <w:pPr>
              <w:keepLines/>
              <w:rPr>
                <w:rFonts w:eastAsia="Times New Roman"/>
                <w:b/>
                <w:sz w:val="20"/>
                <w:szCs w:val="20"/>
                <w:lang w:eastAsia="en-US"/>
              </w:rPr>
            </w:pPr>
            <w:r w:rsidRPr="00DF2323">
              <w:rPr>
                <w:rFonts w:eastAsia="Times New Roman"/>
                <w:b/>
                <w:sz w:val="20"/>
                <w:szCs w:val="20"/>
                <w:lang w:eastAsia="en-US"/>
              </w:rPr>
              <w:t>5.6</w:t>
            </w:r>
          </w:p>
        </w:tc>
        <w:tc>
          <w:tcPr>
            <w:tcW w:w="1700" w:type="dxa"/>
          </w:tcPr>
          <w:p w14:paraId="5D25B2C5"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Summary – overall risk evaluation</w:t>
            </w:r>
          </w:p>
        </w:tc>
        <w:tc>
          <w:tcPr>
            <w:tcW w:w="7175" w:type="dxa"/>
          </w:tcPr>
          <w:p w14:paraId="0A4821B0" w14:textId="77777777" w:rsidR="009C38E1" w:rsidRPr="00DF2323" w:rsidRDefault="009C38E1" w:rsidP="00BE0479">
            <w:pPr>
              <w:spacing w:after="120"/>
              <w:rPr>
                <w:rFonts w:eastAsia="Times New Roman"/>
                <w:b/>
                <w:bCs/>
                <w:iCs/>
                <w:snapToGrid w:val="0"/>
                <w:sz w:val="20"/>
                <w:szCs w:val="20"/>
                <w:lang w:eastAsia="en-US"/>
              </w:rPr>
            </w:pPr>
            <w:r w:rsidRPr="00DF2323">
              <w:rPr>
                <w:rFonts w:eastAsia="Times New Roman"/>
                <w:b/>
                <w:bCs/>
                <w:iCs/>
                <w:snapToGrid w:val="0"/>
                <w:sz w:val="20"/>
                <w:szCs w:val="20"/>
                <w:lang w:eastAsia="en-US"/>
              </w:rPr>
              <w:t>Mozambique</w:t>
            </w:r>
          </w:p>
          <w:p w14:paraId="0C41198F" w14:textId="77777777" w:rsidR="009C38E1" w:rsidRPr="00DF2323" w:rsidRDefault="009C38E1" w:rsidP="00BE0479">
            <w:pPr>
              <w:rPr>
                <w:rFonts w:eastAsia="Times New Roman"/>
                <w:i/>
                <w:snapToGrid w:val="0"/>
                <w:sz w:val="20"/>
                <w:szCs w:val="22"/>
                <w:lang w:eastAsia="en-US"/>
              </w:rPr>
            </w:pPr>
            <w:r w:rsidRPr="00DF2323">
              <w:rPr>
                <w:rFonts w:eastAsia="Times New Roman"/>
                <w:iCs/>
                <w:snapToGrid w:val="0"/>
                <w:sz w:val="20"/>
                <w:szCs w:val="20"/>
                <w:lang w:eastAsia="en-US"/>
              </w:rPr>
              <w:t>An environmental risk evaluation on the use of paraquat in Mozambique was not conducted as part of the project for “Reducing Risks of Highly Hazardous Pesticides (HHPs) in Mozambique”. Paraquat was identified as pesticide of “secondary concern” based on the relative hazard to algae using the ETL as a hazard indicator. The ETL cannot be used to assess the actual risk (i.e., the probability of an adverse effect on organisms) as a consequence of pesticide treatments because there is no exposure assessment involved in its calculation.</w:t>
            </w:r>
          </w:p>
        </w:tc>
      </w:tr>
    </w:tbl>
    <w:p w14:paraId="5CAD28C3"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9C38E1" w:rsidRPr="00DF2323" w14:paraId="29F3FE42" w14:textId="77777777" w:rsidTr="00BE0479">
        <w:trPr>
          <w:cantSplit/>
          <w:jc w:val="right"/>
        </w:trPr>
        <w:tc>
          <w:tcPr>
            <w:tcW w:w="9504" w:type="dxa"/>
            <w:shd w:val="pct12" w:color="000000" w:fill="FFFFFF"/>
          </w:tcPr>
          <w:p w14:paraId="7A019668" w14:textId="77777777" w:rsidR="009C38E1" w:rsidRPr="00DF2323" w:rsidRDefault="009C38E1" w:rsidP="00BE0479">
            <w:pPr>
              <w:spacing w:before="40" w:after="60"/>
              <w:outlineLvl w:val="0"/>
              <w:rPr>
                <w:rFonts w:eastAsia="Times New Roman"/>
                <w:b/>
                <w:bCs/>
                <w:kern w:val="28"/>
                <w:szCs w:val="29"/>
                <w:lang w:eastAsia="en-US"/>
              </w:rPr>
            </w:pPr>
            <w:r w:rsidRPr="00DF2323">
              <w:rPr>
                <w:rFonts w:eastAsia="Times New Roman"/>
                <w:b/>
                <w:bCs/>
                <w:kern w:val="28"/>
                <w:szCs w:val="29"/>
                <w:lang w:eastAsia="en-US"/>
              </w:rPr>
              <w:lastRenderedPageBreak/>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t xml:space="preserve">Annex 2 to the decision guidance document – Details on final regulatory actions reported </w:t>
            </w:r>
          </w:p>
        </w:tc>
      </w:tr>
    </w:tbl>
    <w:p w14:paraId="106DE1CD"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p w14:paraId="627C354F"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1"/>
      </w:tblGrid>
      <w:tr w:rsidR="009C38E1" w:rsidRPr="00DF2323" w14:paraId="333B5AA1" w14:textId="77777777" w:rsidTr="00BE0479">
        <w:trPr>
          <w:jc w:val="right"/>
        </w:trPr>
        <w:tc>
          <w:tcPr>
            <w:tcW w:w="9498" w:type="dxa"/>
          </w:tcPr>
          <w:p w14:paraId="52160E9C" w14:textId="77777777" w:rsidR="009C38E1" w:rsidRPr="00DF2323" w:rsidRDefault="009C38E1" w:rsidP="00BE0479">
            <w:pPr>
              <w:outlineLvl w:val="1"/>
              <w:rPr>
                <w:rFonts w:eastAsia="Times New Roman"/>
                <w:b/>
                <w:bCs/>
                <w:szCs w:val="28"/>
                <w:lang w:eastAsia="en-US"/>
              </w:rPr>
            </w:pPr>
            <w:r w:rsidRPr="00DF2323">
              <w:rPr>
                <w:rFonts w:eastAsia="Times New Roman"/>
                <w:b/>
                <w:bCs/>
                <w:szCs w:val="28"/>
                <w:lang w:eastAsia="en-US"/>
              </w:rPr>
              <w:t>Country Name: Malaysia</w:t>
            </w:r>
          </w:p>
        </w:tc>
      </w:tr>
    </w:tbl>
    <w:p w14:paraId="071091CE"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tbl>
      <w:tblPr>
        <w:tblW w:w="5000" w:type="pct"/>
        <w:jc w:val="right"/>
        <w:tblLayout w:type="fixed"/>
        <w:tblLook w:val="0000" w:firstRow="0" w:lastRow="0" w:firstColumn="0" w:lastColumn="0" w:noHBand="0" w:noVBand="0"/>
      </w:tblPr>
      <w:tblGrid>
        <w:gridCol w:w="534"/>
        <w:gridCol w:w="1841"/>
        <w:gridCol w:w="7122"/>
      </w:tblGrid>
      <w:tr w:rsidR="009C38E1" w:rsidRPr="00DF2323" w14:paraId="045CFAA8" w14:textId="77777777" w:rsidTr="00BE0479">
        <w:trPr>
          <w:jc w:val="right"/>
        </w:trPr>
        <w:tc>
          <w:tcPr>
            <w:tcW w:w="534" w:type="dxa"/>
          </w:tcPr>
          <w:p w14:paraId="21B651F9" w14:textId="77777777" w:rsidR="009C38E1" w:rsidRPr="00DF2323" w:rsidRDefault="009C38E1" w:rsidP="00BE0479">
            <w:pPr>
              <w:widowControl w:val="0"/>
              <w:rPr>
                <w:rFonts w:eastAsia="Times New Roman"/>
                <w:b/>
                <w:bCs/>
                <w:snapToGrid w:val="0"/>
                <w:sz w:val="20"/>
                <w:szCs w:val="20"/>
                <w:lang w:eastAsia="en-US"/>
              </w:rPr>
            </w:pPr>
            <w:r w:rsidRPr="00DF2323">
              <w:rPr>
                <w:rFonts w:eastAsia="Times New Roman"/>
                <w:b/>
                <w:bCs/>
                <w:snapToGrid w:val="0"/>
                <w:sz w:val="20"/>
                <w:szCs w:val="20"/>
                <w:lang w:eastAsia="en-US"/>
              </w:rPr>
              <w:t>1</w:t>
            </w:r>
          </w:p>
        </w:tc>
        <w:tc>
          <w:tcPr>
            <w:tcW w:w="1842" w:type="dxa"/>
          </w:tcPr>
          <w:p w14:paraId="6A737188" w14:textId="77777777" w:rsidR="009C38E1" w:rsidRPr="00DF2323" w:rsidRDefault="009C38E1" w:rsidP="00BE0479">
            <w:pPr>
              <w:spacing w:before="20" w:after="20"/>
              <w:outlineLvl w:val="2"/>
              <w:rPr>
                <w:rFonts w:eastAsia="Times New Roman"/>
                <w:b/>
                <w:bCs/>
                <w:sz w:val="20"/>
                <w:szCs w:val="20"/>
                <w:lang w:eastAsia="en-US"/>
              </w:rPr>
            </w:pPr>
            <w:r w:rsidRPr="00DF2323">
              <w:rPr>
                <w:rFonts w:eastAsia="Times New Roman"/>
                <w:b/>
                <w:bCs/>
                <w:sz w:val="20"/>
                <w:szCs w:val="20"/>
                <w:lang w:eastAsia="en-US"/>
              </w:rPr>
              <w:t>Effective date(s) of entry into force of actions</w:t>
            </w:r>
          </w:p>
        </w:tc>
        <w:tc>
          <w:tcPr>
            <w:tcW w:w="7127" w:type="dxa"/>
          </w:tcPr>
          <w:p w14:paraId="69D75176"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1 January 2020</w:t>
            </w:r>
          </w:p>
        </w:tc>
      </w:tr>
      <w:tr w:rsidR="009C38E1" w:rsidRPr="00DF2323" w14:paraId="55AF20B1" w14:textId="77777777" w:rsidTr="00BE0479">
        <w:trPr>
          <w:jc w:val="right"/>
        </w:trPr>
        <w:tc>
          <w:tcPr>
            <w:tcW w:w="534" w:type="dxa"/>
          </w:tcPr>
          <w:p w14:paraId="7E08A9E3" w14:textId="77777777" w:rsidR="009C38E1" w:rsidRPr="00DF2323" w:rsidRDefault="009C38E1" w:rsidP="00BE0479">
            <w:pPr>
              <w:widowControl w:val="0"/>
              <w:rPr>
                <w:rFonts w:eastAsia="Times New Roman"/>
                <w:b/>
                <w:bCs/>
                <w:snapToGrid w:val="0"/>
                <w:sz w:val="20"/>
                <w:szCs w:val="20"/>
                <w:lang w:eastAsia="en-US"/>
              </w:rPr>
            </w:pPr>
          </w:p>
        </w:tc>
        <w:tc>
          <w:tcPr>
            <w:tcW w:w="1842" w:type="dxa"/>
          </w:tcPr>
          <w:p w14:paraId="2D6A65C6"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Reference to the regulatory document</w:t>
            </w:r>
          </w:p>
        </w:tc>
        <w:tc>
          <w:tcPr>
            <w:tcW w:w="7127" w:type="dxa"/>
          </w:tcPr>
          <w:p w14:paraId="65CF1D9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US"/>
              </w:rPr>
              <w:t>Official circular JP/KRP/207/12/656/2 Vol.6 (54) published on 16 May 2014</w:t>
            </w:r>
          </w:p>
        </w:tc>
      </w:tr>
      <w:tr w:rsidR="009C38E1" w:rsidRPr="00DF2323" w14:paraId="10C38069" w14:textId="77777777" w:rsidTr="00BE0479">
        <w:trPr>
          <w:jc w:val="right"/>
        </w:trPr>
        <w:tc>
          <w:tcPr>
            <w:tcW w:w="534" w:type="dxa"/>
          </w:tcPr>
          <w:p w14:paraId="3A86034A"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2</w:t>
            </w:r>
          </w:p>
        </w:tc>
        <w:tc>
          <w:tcPr>
            <w:tcW w:w="1842" w:type="dxa"/>
          </w:tcPr>
          <w:p w14:paraId="4238F152"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Succinct details of the final regulatory action(s)</w:t>
            </w:r>
          </w:p>
        </w:tc>
        <w:tc>
          <w:tcPr>
            <w:tcW w:w="7127" w:type="dxa"/>
          </w:tcPr>
          <w:p w14:paraId="1D8E9C8D" w14:textId="77777777" w:rsidR="009C38E1" w:rsidRPr="00DF2323" w:rsidRDefault="009C38E1" w:rsidP="004E00D2">
            <w:pPr>
              <w:spacing w:before="20" w:after="120"/>
              <w:rPr>
                <w:rFonts w:eastAsia="Times New Roman"/>
                <w:sz w:val="20"/>
                <w:szCs w:val="20"/>
                <w:lang w:eastAsia="en-US"/>
              </w:rPr>
            </w:pPr>
            <w:r w:rsidRPr="00DF2323">
              <w:rPr>
                <w:rFonts w:eastAsia="Times New Roman"/>
                <w:sz w:val="20"/>
                <w:szCs w:val="20"/>
                <w:lang w:eastAsia="en-US"/>
              </w:rPr>
              <w:t>The notified regulatory action relates to paraquat (CAS No. 4685-14-7), paraquat dichloride (CAS No. 1910-42-5), paraquat bistribromide (CAS No. 27041-84-5), paraquat bis(methysulfate) (CAS No. 2074-50-2) in the pesticide category.</w:t>
            </w:r>
          </w:p>
          <w:p w14:paraId="5EAC3D96" w14:textId="62F63BAA" w:rsidR="009C38E1" w:rsidRPr="00DF2323" w:rsidRDefault="009C38E1" w:rsidP="004E00D2">
            <w:pPr>
              <w:spacing w:before="20" w:after="120"/>
              <w:rPr>
                <w:rFonts w:eastAsia="Times New Roman"/>
                <w:sz w:val="20"/>
                <w:szCs w:val="20"/>
                <w:lang w:eastAsia="en-US"/>
              </w:rPr>
            </w:pPr>
            <w:r w:rsidRPr="00DF2323">
              <w:rPr>
                <w:rFonts w:eastAsia="Times New Roman"/>
                <w:sz w:val="20"/>
                <w:szCs w:val="20"/>
                <w:lang w:eastAsia="en-US"/>
              </w:rPr>
              <w:t>The regulatory action is notified as a ban. The ban was introduced by the official circular JP/KRP/207/12/656/2 Vol.6 (54) on 16 May 2014 and entered into force on 1</w:t>
            </w:r>
            <w:r w:rsidR="00F01C8C">
              <w:rPr>
                <w:rFonts w:eastAsia="Times New Roman"/>
                <w:sz w:val="20"/>
                <w:szCs w:val="20"/>
                <w:lang w:eastAsia="en-US"/>
              </w:rPr>
              <w:t> </w:t>
            </w:r>
            <w:r w:rsidRPr="00DF2323">
              <w:rPr>
                <w:rFonts w:eastAsia="Times New Roman"/>
                <w:sz w:val="20"/>
                <w:szCs w:val="20"/>
                <w:lang w:eastAsia="en-US"/>
              </w:rPr>
              <w:t xml:space="preserve">January 2020 which prohibited all applications of paraquat as a pesticide product as well as its import and export. </w:t>
            </w:r>
          </w:p>
        </w:tc>
      </w:tr>
      <w:tr w:rsidR="009C38E1" w:rsidRPr="00DF2323" w14:paraId="426A6638" w14:textId="77777777" w:rsidTr="00BE0479">
        <w:trPr>
          <w:jc w:val="right"/>
        </w:trPr>
        <w:tc>
          <w:tcPr>
            <w:tcW w:w="534" w:type="dxa"/>
          </w:tcPr>
          <w:p w14:paraId="3721E941"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3</w:t>
            </w:r>
          </w:p>
        </w:tc>
        <w:tc>
          <w:tcPr>
            <w:tcW w:w="1842" w:type="dxa"/>
          </w:tcPr>
          <w:p w14:paraId="2AFE236E"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Reasons for action</w:t>
            </w:r>
          </w:p>
        </w:tc>
        <w:tc>
          <w:tcPr>
            <w:tcW w:w="7127" w:type="dxa"/>
          </w:tcPr>
          <w:p w14:paraId="72A1EB01" w14:textId="77777777" w:rsidR="009C38E1" w:rsidRPr="00DF2323" w:rsidRDefault="009C38E1" w:rsidP="004E00D2">
            <w:pPr>
              <w:spacing w:before="20" w:after="120"/>
              <w:outlineLvl w:val="2"/>
              <w:rPr>
                <w:rFonts w:eastAsia="Times New Roman"/>
                <w:sz w:val="20"/>
                <w:szCs w:val="20"/>
                <w:lang w:eastAsia="en-US"/>
              </w:rPr>
            </w:pPr>
            <w:r w:rsidRPr="00DF2323">
              <w:rPr>
                <w:rFonts w:eastAsia="Times New Roman"/>
                <w:sz w:val="20"/>
                <w:szCs w:val="20"/>
                <w:lang w:eastAsia="en-US"/>
              </w:rPr>
              <w:t xml:space="preserve">The ban of paraquat was introduced due to its highly toxic nature which has caused many poisonings and deaths of consumers. </w:t>
            </w:r>
          </w:p>
          <w:p w14:paraId="48C18078" w14:textId="77777777" w:rsidR="009C38E1" w:rsidRPr="00DF2323" w:rsidRDefault="009C38E1" w:rsidP="004E00D2">
            <w:pPr>
              <w:spacing w:before="20" w:after="120"/>
              <w:outlineLvl w:val="2"/>
              <w:rPr>
                <w:rFonts w:eastAsia="Times New Roman"/>
                <w:sz w:val="20"/>
                <w:szCs w:val="20"/>
                <w:lang w:eastAsia="en-US"/>
              </w:rPr>
            </w:pPr>
            <w:r w:rsidRPr="00DF2323">
              <w:rPr>
                <w:rFonts w:eastAsia="Times New Roman"/>
                <w:sz w:val="20"/>
                <w:szCs w:val="20"/>
                <w:lang w:eastAsia="en-US"/>
              </w:rPr>
              <w:t xml:space="preserve">The banning of paraquat is consistent with the principle of precautionary measures, as paraquat has been shown cannot be applied and used safely without complete PPE to prevent exposure under the hot and humid conditions, which is not always feasible in country like Malaysia. </w:t>
            </w:r>
          </w:p>
        </w:tc>
      </w:tr>
      <w:tr w:rsidR="009C38E1" w:rsidRPr="00DF2323" w14:paraId="3BA029F9" w14:textId="77777777" w:rsidTr="00BE0479">
        <w:trPr>
          <w:jc w:val="right"/>
        </w:trPr>
        <w:tc>
          <w:tcPr>
            <w:tcW w:w="534" w:type="dxa"/>
          </w:tcPr>
          <w:p w14:paraId="06E03808"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4</w:t>
            </w:r>
          </w:p>
        </w:tc>
        <w:tc>
          <w:tcPr>
            <w:tcW w:w="1842" w:type="dxa"/>
          </w:tcPr>
          <w:p w14:paraId="62D23B88"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 xml:space="preserve">Basis for inclusion into Annex </w:t>
            </w:r>
            <w:smartTag w:uri="urn:schemas-microsoft-com:office:smarttags" w:element="stockticker">
              <w:r w:rsidRPr="00DF2323">
                <w:rPr>
                  <w:rFonts w:eastAsia="Times New Roman"/>
                  <w:b/>
                  <w:bCs/>
                  <w:sz w:val="20"/>
                  <w:szCs w:val="20"/>
                  <w:lang w:eastAsia="en-US"/>
                </w:rPr>
                <w:t>III</w:t>
              </w:r>
            </w:smartTag>
          </w:p>
        </w:tc>
        <w:tc>
          <w:tcPr>
            <w:tcW w:w="7127" w:type="dxa"/>
          </w:tcPr>
          <w:p w14:paraId="3642CC30" w14:textId="77777777" w:rsidR="009C38E1" w:rsidRPr="00DF2323" w:rsidRDefault="009C38E1" w:rsidP="004E00D2">
            <w:pPr>
              <w:spacing w:before="20" w:after="120"/>
              <w:rPr>
                <w:rFonts w:eastAsia="Times New Roman"/>
                <w:sz w:val="20"/>
                <w:szCs w:val="20"/>
                <w:lang w:eastAsia="en-US"/>
              </w:rPr>
            </w:pPr>
            <w:r w:rsidRPr="00DF2323">
              <w:rPr>
                <w:rFonts w:eastAsia="Times New Roman"/>
                <w:sz w:val="20"/>
                <w:szCs w:val="20"/>
                <w:lang w:eastAsia="en-US"/>
              </w:rPr>
              <w:t>The final regulatory action was based on a risk evaluation taking into account the prevailing conditions in Malaysia.</w:t>
            </w:r>
          </w:p>
        </w:tc>
      </w:tr>
      <w:tr w:rsidR="009C38E1" w:rsidRPr="00DF2323" w14:paraId="133BE519" w14:textId="77777777" w:rsidTr="00BE0479">
        <w:trPr>
          <w:jc w:val="right"/>
        </w:trPr>
        <w:tc>
          <w:tcPr>
            <w:tcW w:w="534" w:type="dxa"/>
          </w:tcPr>
          <w:p w14:paraId="0A771BD0"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4.1</w:t>
            </w:r>
          </w:p>
        </w:tc>
        <w:tc>
          <w:tcPr>
            <w:tcW w:w="1842" w:type="dxa"/>
          </w:tcPr>
          <w:p w14:paraId="1672B2B0"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Risk evaluation</w:t>
            </w:r>
          </w:p>
        </w:tc>
        <w:tc>
          <w:tcPr>
            <w:tcW w:w="7127" w:type="dxa"/>
          </w:tcPr>
          <w:p w14:paraId="493DBF49" w14:textId="7DA63E56"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 xml:space="preserve">The notification states that the final regulatory action was based on a risk evaluation to protect human health. The evaluation has referenced the tasks allotted to the Pesticides Board to undertake the review of paraquat because of concerns over its potential risk to occupational health and safety and the environment. The scope of review considered risk assessment to human and environment and also </w:t>
            </w:r>
            <w:r w:rsidR="00F01C8C">
              <w:rPr>
                <w:rFonts w:eastAsia="Times New Roman"/>
                <w:sz w:val="20"/>
                <w:szCs w:val="20"/>
                <w:lang w:eastAsia="en-US"/>
              </w:rPr>
              <w:br/>
            </w:r>
            <w:r w:rsidRPr="00DF2323">
              <w:rPr>
                <w:rFonts w:eastAsia="Times New Roman"/>
                <w:sz w:val="20"/>
                <w:szCs w:val="20"/>
                <w:lang w:eastAsia="en-US"/>
              </w:rPr>
              <w:t xml:space="preserve">socio-economic impacts. During the review period conducted from 2002 to 2013, the Ministry of Agriculture and Agro-based Industry through the Department of Agriculture and the Pesticides Board reviewed and scrutinized many research information documents and publications related to paraquat from within and outside the country. </w:t>
            </w:r>
          </w:p>
          <w:p w14:paraId="151BDE5F"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The following were the topics covered in the paraquat registration review:</w:t>
            </w:r>
          </w:p>
          <w:p w14:paraId="692E93BD"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Facts about paraquat;</w:t>
            </w:r>
          </w:p>
          <w:p w14:paraId="3AE6A076"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Status of paraquat registration in Malaysia;</w:t>
            </w:r>
          </w:p>
          <w:p w14:paraId="3CA6B0CD"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International status;</w:t>
            </w:r>
          </w:p>
          <w:p w14:paraId="61D96B75"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Assessment of paraquat poisoning cases in Malaysia;</w:t>
            </w:r>
          </w:p>
          <w:p w14:paraId="6CFC502D"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Evaluation of cases of poisoning and suicide caused by paraquat at the international level;</w:t>
            </w:r>
          </w:p>
          <w:p w14:paraId="269CC509"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Status of paraquat under the Rotterdam Convention;</w:t>
            </w:r>
          </w:p>
          <w:p w14:paraId="673FB951"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Evaluation of alternative pesticides to paraquat;</w:t>
            </w:r>
          </w:p>
          <w:p w14:paraId="12B54A78"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Verification of the effectiveness of paraquat and alternative pesticides and demonstration;</w:t>
            </w:r>
          </w:p>
          <w:p w14:paraId="4FF6A29A"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Impact assessment on the agriculture sector;</w:t>
            </w:r>
          </w:p>
          <w:p w14:paraId="43C8D2F3"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Evaluation of the study by CABI/RSPO;</w:t>
            </w:r>
          </w:p>
          <w:p w14:paraId="0A51886D" w14:textId="77777777" w:rsidR="009C38E1" w:rsidRPr="00DF2323" w:rsidRDefault="009C38E1" w:rsidP="00C96AB6">
            <w:pPr>
              <w:numPr>
                <w:ilvl w:val="0"/>
                <w:numId w:val="28"/>
              </w:numPr>
              <w:spacing w:before="20" w:after="120"/>
              <w:rPr>
                <w:rFonts w:eastAsia="Times New Roman"/>
                <w:sz w:val="20"/>
                <w:szCs w:val="20"/>
                <w:lang w:eastAsia="en-US"/>
              </w:rPr>
            </w:pPr>
            <w:r w:rsidRPr="00DF2323">
              <w:rPr>
                <w:rFonts w:eastAsia="Times New Roman"/>
                <w:sz w:val="20"/>
                <w:szCs w:val="20"/>
                <w:lang w:eastAsia="en-US"/>
              </w:rPr>
              <w:t>Evaluation of paraquat study by Malaysian Palm Oil Board (MPOB);</w:t>
            </w:r>
          </w:p>
          <w:p w14:paraId="74EB7065" w14:textId="77777777" w:rsidR="009C38E1" w:rsidRPr="00DF2323" w:rsidRDefault="009C38E1" w:rsidP="00C96AB6">
            <w:pPr>
              <w:numPr>
                <w:ilvl w:val="0"/>
                <w:numId w:val="28"/>
              </w:numPr>
              <w:spacing w:before="20" w:after="120"/>
              <w:ind w:left="714" w:hanging="357"/>
              <w:rPr>
                <w:rFonts w:eastAsia="Times New Roman"/>
                <w:sz w:val="20"/>
                <w:szCs w:val="20"/>
                <w:lang w:eastAsia="en-US"/>
              </w:rPr>
            </w:pPr>
            <w:r w:rsidRPr="00DF2323">
              <w:rPr>
                <w:rFonts w:eastAsia="Times New Roman"/>
                <w:sz w:val="20"/>
                <w:szCs w:val="20"/>
                <w:lang w:eastAsia="en-US"/>
              </w:rPr>
              <w:t>Evaluation of the opinions of all stakeholders on paraquat.</w:t>
            </w:r>
          </w:p>
          <w:p w14:paraId="50DEA2DA"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 xml:space="preserve">In the supporting documentation, international risk evaluations are presented, including an FAO Specification and Evaluation for Agricultural Pesticides; the </w:t>
            </w:r>
            <w:r w:rsidRPr="00DF2323">
              <w:rPr>
                <w:rFonts w:eastAsia="Times New Roman"/>
                <w:sz w:val="20"/>
                <w:szCs w:val="20"/>
                <w:lang w:eastAsia="en-US"/>
              </w:rPr>
              <w:lastRenderedPageBreak/>
              <w:t xml:space="preserve">European Commission’s Review report for the active substance paraquat, which includes that knapsack and handheld use should be limited to trained/certified personnel where appropriate training and certification schemes are in operation; IPCS INCHEM which included that a face shield should be worn even when handling and using a diluted formulation; and US EPA R.E.D. Facts, which states that PPE requirements include chemical resistant apron, face shield and gloves variously for mixers, loaders and sprayers.  </w:t>
            </w:r>
          </w:p>
          <w:p w14:paraId="75891BC7"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The Pesticides Board classified paraquat under Class Ib, instead of Class II (of WHO classification) after taking into consideration that under local conditions paraquat cannot be used safely due to hot and humid weather making wearing full protective equipment not always practical. In addition, pesticide poisoning cases reported yearly indicate that paraquat is the number one pesticide associated with poisoning incidences either due to suicide, accidental or occupational poisoning. Supporting documentation further shows information related to cases of poisoning caused by chemicals including pesticides in Malaysia. The information is based on information from the Ministry of Health through cases of poisoning referred to government clinics/hospitals only. This means the actual cases of poisoning reported are far greater than this if cases referred to private clinics/hospitals and unreported cases are taken into account. The pesticide involved in the most poisoning cases is paraquat, which is 45% (1,082 cases of poisoning) involving at least 272 deaths. Analysis of poisoning data shows that the cause of paraquat poisoning is suicide, accidental drinking and occupational poisoning.</w:t>
            </w:r>
          </w:p>
          <w:p w14:paraId="7875993A" w14:textId="77777777" w:rsidR="009C38E1" w:rsidRPr="00DF2323" w:rsidRDefault="009C38E1" w:rsidP="00C96AB6">
            <w:pPr>
              <w:spacing w:after="120"/>
              <w:rPr>
                <w:rFonts w:eastAsia="Times New Roman"/>
                <w:sz w:val="20"/>
                <w:szCs w:val="20"/>
                <w:lang w:eastAsia="en-US"/>
              </w:rPr>
            </w:pPr>
            <w:r w:rsidRPr="00DF2323">
              <w:rPr>
                <w:rFonts w:eastAsia="Times New Roman"/>
                <w:sz w:val="20"/>
                <w:szCs w:val="20"/>
                <w:lang w:eastAsia="en-US"/>
              </w:rPr>
              <w:t xml:space="preserve">At the international level, Syngenta published a report (Syngenta, 2004) in response to the request of the German authorities to review the situation with regards to accidents, suicides and ecotoxicological impact. The report included that poisoning due to exposure through the skin is quite frequently reported and is mostly due to not wearing appropriate protective clothing and unsafe working methods such as poor spraying practice. Among the effects reported are skin and eye irritation, nail damage and upper respiratory tract irritation, but the symptoms are generally minor and quickly reversible in the vast majority of cases. The study also recommended that several measures be taken to prevent poisoning from occurring, such as specific preventive measures and training to users, and Malaysia notes that these may need strict implementation and enforcement.  </w:t>
            </w:r>
          </w:p>
          <w:p w14:paraId="367D6948"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The Malaysian Palm Oil Board (MPOB) in collaboration with University Sains Malaysia (USM), University Putra Malaysia (UPM) and several other parties conducted a study on the implication of paraquat banning in Malaysia. The Pesticides Board’s secretariat comments on the study include that “In the OEL (Operator Exposure Level) study, the findings support the argument that the risk of paraquat exposure to consumers under local conditions is unacceptably high and it was recommended that the use of complete Personal Protective Equipment (PPE) (long sleeves, long pants, face masks, gloves, boots and hats) when handling paraquat products. However, the use of complete PPE is not always practical under hot and humid like Malaysia.” The Pesticides Board’s secretariat added that there are some users who experience signs of paraquat poisoning especially when not using PPE. There was detection of paraquat at low levels in urine and blood analysis studies in samples taken from several operators who frequently sprayed paraquat.</w:t>
            </w:r>
          </w:p>
          <w:p w14:paraId="272EFBE5"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Based on the outcome of the above report and wide consultation, the Pesticides Board concluded that continued registration of paraquat in the country would contribute to the high incident of pesticide poisonings as paraquat has been constantly reported to be the number one pesticide associated with poisonings; that paraquat cannot be applied and used safely without complete PPE to prevent exposure under the hot and humid conditions, which is not always feasible in a country like Malaysia; paraquat is a very highly hazardous to humans and is in the Class Ib (Highly hazardous) and it has no antidote for treating cases of poisoning; paraquat has been identified by the Roundtable on Sustainable Palm Oil (RSPO) as one of the pesticides that cannot be used in oil palm cultivation as it is not consistence with sustainable palm oil cultivation and production. Final analysis shows that risk of paraquat outweighs the benefit.</w:t>
            </w:r>
          </w:p>
          <w:p w14:paraId="2F1BCC40"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 xml:space="preserve">According to the supporting documentation Malaysia developed a risk evaluation where they analysed international risk assessment and bridging with local conditions </w:t>
            </w:r>
            <w:r w:rsidRPr="00DF2323">
              <w:rPr>
                <w:rFonts w:eastAsia="Times New Roman"/>
                <w:sz w:val="20"/>
                <w:szCs w:val="20"/>
                <w:lang w:eastAsia="en-US"/>
              </w:rPr>
              <w:lastRenderedPageBreak/>
              <w:t>of use of paraquat and actual exposure. Specifically, Paraquat has been classified by the Pesticides Board under Class Ib very highly hazardous to humans instead of Class II (of WHO classification) because after taken into consideration that under local conditions paraquat cannot be used safely due to hot and humid weather making wearing full protective gears not always practical. The findings on the Operator Exposure Level (OEL) study included in the evaluation by Malaysian Palm Oil Board (MPOB) supports the argument that the risk of paraquat exposure to consumers under local conditions is unacceptably high and it was recommended that the use of complete Personal Protective Equipment (PPE) (long sleeves, long pants, face masks, gloves, boots and hats) when handling paraquat products.</w:t>
            </w:r>
            <w:r w:rsidRPr="00DF2323">
              <w:t xml:space="preserve"> </w:t>
            </w:r>
            <w:r w:rsidRPr="00DF2323">
              <w:rPr>
                <w:rFonts w:eastAsia="Times New Roman"/>
                <w:sz w:val="20"/>
                <w:szCs w:val="20"/>
                <w:lang w:eastAsia="en-US"/>
              </w:rPr>
              <w:t xml:space="preserve">However, the use of complete PPE is not always practical under hot and humid like Malaysia. Furthermore, the Ministry of Health of Malaysia has confirmed actual exposure of the pesticide according to the cases of poisoning referred to government clinics/hospitals where the poisoning data shows that the cause of paraquat poisoning is suicide (suicidal) and followed by accidental drinking and occupational poisoning.  </w:t>
            </w:r>
          </w:p>
          <w:p w14:paraId="7AF1399B"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Summarising the above, the final regulatory action was based on a health hazard evaluation of paraquat, the prevailing conditions of use of pesticides in Malaysia (intended uses, application doses, methods, protective measures, agricultural practices, etc.), and a risk assessment with a particular focus on occupational risks.</w:t>
            </w:r>
          </w:p>
        </w:tc>
      </w:tr>
      <w:tr w:rsidR="009C38E1" w:rsidRPr="00DF2323" w14:paraId="52315D19" w14:textId="77777777" w:rsidTr="00BE0479">
        <w:trPr>
          <w:jc w:val="right"/>
        </w:trPr>
        <w:tc>
          <w:tcPr>
            <w:tcW w:w="534" w:type="dxa"/>
          </w:tcPr>
          <w:p w14:paraId="7BD0B83C" w14:textId="77777777" w:rsidR="009C38E1" w:rsidRPr="00DF2323" w:rsidRDefault="009C38E1" w:rsidP="00BE0479">
            <w:pPr>
              <w:rPr>
                <w:rFonts w:eastAsia="Times New Roman"/>
                <w:b/>
                <w:bCs/>
                <w:snapToGrid w:val="0"/>
                <w:sz w:val="20"/>
                <w:szCs w:val="20"/>
                <w:lang w:eastAsia="en-US"/>
              </w:rPr>
            </w:pPr>
            <w:r w:rsidRPr="00DF2323">
              <w:rPr>
                <w:rFonts w:eastAsia="Times New Roman"/>
                <w:b/>
                <w:bCs/>
                <w:snapToGrid w:val="0"/>
                <w:sz w:val="20"/>
                <w:szCs w:val="20"/>
                <w:lang w:eastAsia="en-US"/>
              </w:rPr>
              <w:lastRenderedPageBreak/>
              <w:t>4.2</w:t>
            </w:r>
          </w:p>
        </w:tc>
        <w:tc>
          <w:tcPr>
            <w:tcW w:w="1842" w:type="dxa"/>
          </w:tcPr>
          <w:p w14:paraId="1138D2EE"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Criteria used</w:t>
            </w:r>
          </w:p>
        </w:tc>
        <w:tc>
          <w:tcPr>
            <w:tcW w:w="7127" w:type="dxa"/>
          </w:tcPr>
          <w:p w14:paraId="4C00B520" w14:textId="77777777" w:rsidR="009C38E1" w:rsidRPr="00DF2323" w:rsidRDefault="009C38E1" w:rsidP="00C96AB6">
            <w:pPr>
              <w:spacing w:after="120"/>
              <w:rPr>
                <w:rFonts w:eastAsia="Times New Roman"/>
                <w:iCs/>
                <w:sz w:val="20"/>
                <w:szCs w:val="20"/>
                <w:lang w:eastAsia="en-US"/>
              </w:rPr>
            </w:pPr>
            <w:r w:rsidRPr="00DF2323">
              <w:rPr>
                <w:rFonts w:eastAsia="Times New Roman"/>
                <w:iCs/>
                <w:sz w:val="20"/>
                <w:szCs w:val="20"/>
                <w:lang w:eastAsia="en-US"/>
              </w:rPr>
              <w:t>Risks to human health</w:t>
            </w:r>
          </w:p>
        </w:tc>
      </w:tr>
      <w:tr w:rsidR="009C38E1" w:rsidRPr="00DF2323" w14:paraId="10B9ADBB" w14:textId="77777777" w:rsidTr="00BE0479">
        <w:trPr>
          <w:jc w:val="right"/>
        </w:trPr>
        <w:tc>
          <w:tcPr>
            <w:tcW w:w="534" w:type="dxa"/>
          </w:tcPr>
          <w:p w14:paraId="4ACD6511" w14:textId="77777777" w:rsidR="009C38E1" w:rsidRPr="00DF2323" w:rsidRDefault="009C38E1" w:rsidP="00BE0479">
            <w:pPr>
              <w:widowControl w:val="0"/>
              <w:rPr>
                <w:rFonts w:eastAsia="Times New Roman"/>
                <w:b/>
                <w:bCs/>
                <w:snapToGrid w:val="0"/>
                <w:sz w:val="20"/>
                <w:szCs w:val="20"/>
                <w:lang w:eastAsia="en-US"/>
              </w:rPr>
            </w:pPr>
          </w:p>
        </w:tc>
        <w:tc>
          <w:tcPr>
            <w:tcW w:w="1842" w:type="dxa"/>
          </w:tcPr>
          <w:p w14:paraId="44AB26F9" w14:textId="77777777" w:rsidR="009C38E1" w:rsidRPr="00DF2323" w:rsidRDefault="009C38E1" w:rsidP="00BE0479">
            <w:pPr>
              <w:rPr>
                <w:rFonts w:eastAsia="Times New Roman"/>
                <w:b/>
                <w:sz w:val="20"/>
                <w:szCs w:val="20"/>
                <w:lang w:eastAsia="en-US"/>
              </w:rPr>
            </w:pPr>
            <w:r w:rsidRPr="00DF2323">
              <w:rPr>
                <w:rFonts w:eastAsia="Times New Roman"/>
                <w:b/>
                <w:sz w:val="20"/>
                <w:szCs w:val="20"/>
                <w:lang w:eastAsia="en-US"/>
              </w:rPr>
              <w:t>Relevance to other States and Region</w:t>
            </w:r>
          </w:p>
        </w:tc>
        <w:tc>
          <w:tcPr>
            <w:tcW w:w="7127" w:type="dxa"/>
          </w:tcPr>
          <w:p w14:paraId="75030A93" w14:textId="77777777" w:rsidR="009C38E1" w:rsidRPr="00DF2323" w:rsidRDefault="009C38E1" w:rsidP="00C96AB6">
            <w:pPr>
              <w:spacing w:before="20" w:after="120"/>
              <w:rPr>
                <w:rFonts w:eastAsia="Times New Roman"/>
                <w:sz w:val="20"/>
                <w:szCs w:val="20"/>
                <w:lang w:eastAsia="en-US"/>
              </w:rPr>
            </w:pPr>
            <w:r w:rsidRPr="00DF2323">
              <w:rPr>
                <w:rFonts w:eastAsia="Times New Roman"/>
                <w:sz w:val="20"/>
                <w:szCs w:val="20"/>
                <w:lang w:eastAsia="en-US"/>
              </w:rPr>
              <w:t>Once banned, no importation and exportation activities allowed</w:t>
            </w:r>
          </w:p>
        </w:tc>
      </w:tr>
      <w:tr w:rsidR="009C38E1" w:rsidRPr="00DF2323" w14:paraId="772C08F0" w14:textId="77777777" w:rsidTr="00BE0479">
        <w:trPr>
          <w:jc w:val="right"/>
        </w:trPr>
        <w:tc>
          <w:tcPr>
            <w:tcW w:w="534" w:type="dxa"/>
          </w:tcPr>
          <w:p w14:paraId="3E4A8A05" w14:textId="77777777" w:rsidR="009C38E1" w:rsidRPr="00DF2323" w:rsidRDefault="009C38E1" w:rsidP="00BE0479">
            <w:pPr>
              <w:widowControl w:val="0"/>
              <w:rPr>
                <w:rFonts w:eastAsia="Times New Roman"/>
                <w:b/>
                <w:bCs/>
                <w:snapToGrid w:val="0"/>
                <w:sz w:val="20"/>
                <w:szCs w:val="20"/>
                <w:lang w:eastAsia="en-US"/>
              </w:rPr>
            </w:pPr>
            <w:r w:rsidRPr="00DF2323">
              <w:rPr>
                <w:rFonts w:eastAsia="Times New Roman"/>
                <w:b/>
                <w:bCs/>
                <w:snapToGrid w:val="0"/>
                <w:sz w:val="20"/>
                <w:szCs w:val="20"/>
                <w:lang w:eastAsia="en-US"/>
              </w:rPr>
              <w:t>5</w:t>
            </w:r>
          </w:p>
        </w:tc>
        <w:tc>
          <w:tcPr>
            <w:tcW w:w="1842" w:type="dxa"/>
          </w:tcPr>
          <w:p w14:paraId="4C9DA64D"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Alternatives</w:t>
            </w:r>
          </w:p>
        </w:tc>
        <w:tc>
          <w:tcPr>
            <w:tcW w:w="7127" w:type="dxa"/>
          </w:tcPr>
          <w:p w14:paraId="5701B28F" w14:textId="77777777" w:rsidR="009C38E1" w:rsidRPr="00DF2323" w:rsidRDefault="009C38E1" w:rsidP="00C96AB6">
            <w:pPr>
              <w:spacing w:after="120"/>
              <w:rPr>
                <w:rFonts w:eastAsia="Times New Roman"/>
                <w:sz w:val="20"/>
                <w:szCs w:val="20"/>
                <w:lang w:eastAsia="en-US"/>
              </w:rPr>
            </w:pPr>
            <w:r w:rsidRPr="00DF2323">
              <w:rPr>
                <w:rFonts w:eastAsia="Times New Roman"/>
                <w:sz w:val="20"/>
                <w:szCs w:val="20"/>
                <w:lang w:eastAsia="en-US"/>
              </w:rPr>
              <w:t>See section 3.3.</w:t>
            </w:r>
          </w:p>
        </w:tc>
      </w:tr>
      <w:tr w:rsidR="009C38E1" w:rsidRPr="00DF2323" w14:paraId="162A3965" w14:textId="77777777" w:rsidTr="00BE0479">
        <w:trPr>
          <w:jc w:val="right"/>
        </w:trPr>
        <w:tc>
          <w:tcPr>
            <w:tcW w:w="534" w:type="dxa"/>
          </w:tcPr>
          <w:p w14:paraId="6F5FDC17" w14:textId="77777777" w:rsidR="009C38E1" w:rsidRPr="00DF2323" w:rsidRDefault="009C38E1" w:rsidP="00BE0479">
            <w:pPr>
              <w:widowControl w:val="0"/>
              <w:rPr>
                <w:rFonts w:eastAsia="Times New Roman"/>
                <w:b/>
                <w:bCs/>
                <w:snapToGrid w:val="0"/>
                <w:sz w:val="20"/>
                <w:szCs w:val="20"/>
                <w:lang w:eastAsia="en-US"/>
              </w:rPr>
            </w:pPr>
            <w:r w:rsidRPr="00DF2323">
              <w:rPr>
                <w:rFonts w:eastAsia="Times New Roman"/>
                <w:b/>
                <w:bCs/>
                <w:snapToGrid w:val="0"/>
                <w:sz w:val="20"/>
                <w:szCs w:val="20"/>
                <w:lang w:eastAsia="en-US"/>
              </w:rPr>
              <w:t>6</w:t>
            </w:r>
          </w:p>
        </w:tc>
        <w:tc>
          <w:tcPr>
            <w:tcW w:w="1842" w:type="dxa"/>
          </w:tcPr>
          <w:p w14:paraId="4B8B56C4" w14:textId="77777777" w:rsidR="009C38E1" w:rsidRPr="00DF2323" w:rsidRDefault="009C38E1" w:rsidP="00BE0479">
            <w:pPr>
              <w:rPr>
                <w:rFonts w:eastAsia="Times New Roman"/>
                <w:b/>
                <w:bCs/>
                <w:sz w:val="20"/>
                <w:szCs w:val="20"/>
                <w:lang w:eastAsia="en-US"/>
              </w:rPr>
            </w:pPr>
            <w:r w:rsidRPr="00DF2323">
              <w:rPr>
                <w:rFonts w:eastAsia="Times New Roman"/>
                <w:b/>
                <w:bCs/>
                <w:sz w:val="20"/>
                <w:szCs w:val="20"/>
                <w:lang w:eastAsia="en-US"/>
              </w:rPr>
              <w:t>Waste management</w:t>
            </w:r>
          </w:p>
        </w:tc>
        <w:tc>
          <w:tcPr>
            <w:tcW w:w="7127" w:type="dxa"/>
          </w:tcPr>
          <w:p w14:paraId="3B8C7325" w14:textId="77777777" w:rsidR="009C38E1" w:rsidRPr="00DF2323" w:rsidRDefault="009C38E1" w:rsidP="00C96AB6">
            <w:pPr>
              <w:widowControl w:val="0"/>
              <w:spacing w:before="20" w:after="120"/>
              <w:rPr>
                <w:rFonts w:eastAsia="Times New Roman"/>
                <w:sz w:val="20"/>
                <w:szCs w:val="20"/>
                <w:lang w:eastAsia="en-US"/>
              </w:rPr>
            </w:pPr>
            <w:r w:rsidRPr="00DF2323">
              <w:rPr>
                <w:rFonts w:eastAsia="Times New Roman"/>
                <w:sz w:val="20"/>
                <w:szCs w:val="20"/>
                <w:lang w:eastAsia="en-US"/>
              </w:rPr>
              <w:t>None reported</w:t>
            </w:r>
          </w:p>
        </w:tc>
      </w:tr>
      <w:tr w:rsidR="009C38E1" w:rsidRPr="00DF2323" w14:paraId="2586A70E" w14:textId="77777777" w:rsidTr="00BE0479">
        <w:trPr>
          <w:jc w:val="right"/>
        </w:trPr>
        <w:tc>
          <w:tcPr>
            <w:tcW w:w="534" w:type="dxa"/>
          </w:tcPr>
          <w:p w14:paraId="6CE8A132" w14:textId="77777777" w:rsidR="009C38E1" w:rsidRPr="00DF2323" w:rsidRDefault="009C38E1" w:rsidP="00BE0479">
            <w:pPr>
              <w:widowControl w:val="0"/>
              <w:rPr>
                <w:rFonts w:eastAsia="Times New Roman"/>
                <w:b/>
                <w:bCs/>
                <w:snapToGrid w:val="0"/>
                <w:sz w:val="20"/>
                <w:szCs w:val="20"/>
                <w:lang w:eastAsia="en-US"/>
              </w:rPr>
            </w:pPr>
            <w:r w:rsidRPr="00DF2323">
              <w:rPr>
                <w:rFonts w:eastAsia="Times New Roman"/>
                <w:b/>
                <w:bCs/>
                <w:snapToGrid w:val="0"/>
                <w:sz w:val="20"/>
                <w:szCs w:val="20"/>
                <w:lang w:eastAsia="en-US"/>
              </w:rPr>
              <w:t>7</w:t>
            </w:r>
          </w:p>
        </w:tc>
        <w:tc>
          <w:tcPr>
            <w:tcW w:w="1842" w:type="dxa"/>
          </w:tcPr>
          <w:p w14:paraId="337CDC46" w14:textId="77777777" w:rsidR="009C38E1" w:rsidRPr="00DF2323" w:rsidRDefault="009C38E1" w:rsidP="00BE0479">
            <w:pPr>
              <w:ind w:left="288" w:hanging="288"/>
              <w:rPr>
                <w:rFonts w:eastAsia="Times New Roman"/>
                <w:b/>
                <w:snapToGrid w:val="0"/>
                <w:sz w:val="20"/>
                <w:szCs w:val="20"/>
                <w:lang w:eastAsia="en-US"/>
              </w:rPr>
            </w:pPr>
            <w:r w:rsidRPr="00DF2323">
              <w:rPr>
                <w:rFonts w:eastAsia="Times New Roman"/>
                <w:b/>
                <w:sz w:val="20"/>
                <w:szCs w:val="20"/>
                <w:lang w:eastAsia="en-US"/>
              </w:rPr>
              <w:t>Other</w:t>
            </w:r>
          </w:p>
        </w:tc>
        <w:tc>
          <w:tcPr>
            <w:tcW w:w="7127" w:type="dxa"/>
          </w:tcPr>
          <w:p w14:paraId="581B2C7D" w14:textId="77777777" w:rsidR="009C38E1" w:rsidRPr="00DF2323" w:rsidRDefault="009C38E1" w:rsidP="00C96AB6">
            <w:pPr>
              <w:widowControl w:val="0"/>
              <w:spacing w:after="120"/>
              <w:rPr>
                <w:rFonts w:eastAsia="Times New Roman"/>
                <w:sz w:val="20"/>
                <w:szCs w:val="20"/>
                <w:lang w:eastAsia="en-US"/>
              </w:rPr>
            </w:pPr>
            <w:r w:rsidRPr="00DF2323">
              <w:rPr>
                <w:rFonts w:eastAsia="Times New Roman"/>
                <w:sz w:val="20"/>
                <w:szCs w:val="20"/>
                <w:lang w:eastAsia="en-US"/>
              </w:rPr>
              <w:t>None reported</w:t>
            </w:r>
          </w:p>
        </w:tc>
      </w:tr>
    </w:tbl>
    <w:p w14:paraId="39C3904A"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1"/>
      </w:tblGrid>
      <w:tr w:rsidR="009C38E1" w:rsidRPr="00DF2323" w14:paraId="2AC73CDB" w14:textId="77777777" w:rsidTr="00BE0479">
        <w:trPr>
          <w:jc w:val="right"/>
        </w:trPr>
        <w:tc>
          <w:tcPr>
            <w:tcW w:w="9498" w:type="dxa"/>
          </w:tcPr>
          <w:p w14:paraId="1E83364F" w14:textId="77777777" w:rsidR="009C38E1" w:rsidRPr="00DF2323" w:rsidRDefault="009C38E1" w:rsidP="00BE0479">
            <w:pPr>
              <w:keepNext/>
              <w:outlineLvl w:val="1"/>
              <w:rPr>
                <w:rFonts w:eastAsia="Times New Roman"/>
                <w:b/>
                <w:bCs/>
                <w:szCs w:val="28"/>
                <w:lang w:eastAsia="en-US"/>
              </w:rPr>
            </w:pPr>
            <w:r w:rsidRPr="00DF2323">
              <w:rPr>
                <w:rFonts w:eastAsia="Times New Roman"/>
                <w:b/>
                <w:bCs/>
                <w:szCs w:val="28"/>
                <w:lang w:eastAsia="en-US"/>
              </w:rPr>
              <w:lastRenderedPageBreak/>
              <w:t>Country Name: Mozambique</w:t>
            </w:r>
          </w:p>
        </w:tc>
      </w:tr>
    </w:tbl>
    <w:p w14:paraId="38767454" w14:textId="77777777" w:rsidR="009C38E1" w:rsidRPr="00DF2323" w:rsidRDefault="009C38E1" w:rsidP="009C38E1">
      <w:pPr>
        <w:tabs>
          <w:tab w:val="left" w:pos="-720"/>
          <w:tab w:val="left" w:pos="0"/>
          <w:tab w:val="left" w:pos="720"/>
        </w:tabs>
        <w:suppressAutoHyphens/>
        <w:rPr>
          <w:rFonts w:eastAsia="Times New Roman"/>
          <w:sz w:val="10"/>
          <w:szCs w:val="10"/>
          <w:lang w:eastAsia="en-US"/>
        </w:rPr>
      </w:pPr>
    </w:p>
    <w:tbl>
      <w:tblPr>
        <w:tblW w:w="5000" w:type="pct"/>
        <w:jc w:val="right"/>
        <w:tblLayout w:type="fixed"/>
        <w:tblLook w:val="0000" w:firstRow="0" w:lastRow="0" w:firstColumn="0" w:lastColumn="0" w:noHBand="0" w:noVBand="0"/>
      </w:tblPr>
      <w:tblGrid>
        <w:gridCol w:w="534"/>
        <w:gridCol w:w="1841"/>
        <w:gridCol w:w="7122"/>
      </w:tblGrid>
      <w:tr w:rsidR="009C38E1" w:rsidRPr="00DF2323" w14:paraId="031354D9" w14:textId="77777777" w:rsidTr="00BE0479">
        <w:trPr>
          <w:jc w:val="right"/>
        </w:trPr>
        <w:tc>
          <w:tcPr>
            <w:tcW w:w="534" w:type="dxa"/>
          </w:tcPr>
          <w:p w14:paraId="33597B08"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1</w:t>
            </w:r>
          </w:p>
        </w:tc>
        <w:tc>
          <w:tcPr>
            <w:tcW w:w="1842" w:type="dxa"/>
          </w:tcPr>
          <w:p w14:paraId="0AD1A472"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Effective date(s) of entry into force of actions</w:t>
            </w:r>
          </w:p>
        </w:tc>
        <w:tc>
          <w:tcPr>
            <w:tcW w:w="7127" w:type="dxa"/>
          </w:tcPr>
          <w:p w14:paraId="279E6848" w14:textId="77777777" w:rsidR="009C38E1" w:rsidRPr="00DF2323" w:rsidRDefault="009C38E1" w:rsidP="00115106">
            <w:pPr>
              <w:spacing w:before="20" w:after="120"/>
              <w:ind w:left="34"/>
              <w:rPr>
                <w:rFonts w:eastAsia="Times New Roman"/>
                <w:sz w:val="20"/>
                <w:szCs w:val="20"/>
                <w:lang w:eastAsia="en-US"/>
              </w:rPr>
            </w:pPr>
            <w:r w:rsidRPr="00DF2323">
              <w:rPr>
                <w:rFonts w:eastAsia="Times New Roman"/>
                <w:sz w:val="20"/>
                <w:szCs w:val="20"/>
                <w:lang w:eastAsia="en-US"/>
              </w:rPr>
              <w:t>31 December 2014</w:t>
            </w:r>
          </w:p>
        </w:tc>
      </w:tr>
      <w:tr w:rsidR="009C38E1" w:rsidRPr="00DF2323" w14:paraId="5E519628" w14:textId="77777777" w:rsidTr="00BE0479">
        <w:trPr>
          <w:jc w:val="right"/>
        </w:trPr>
        <w:tc>
          <w:tcPr>
            <w:tcW w:w="534" w:type="dxa"/>
          </w:tcPr>
          <w:p w14:paraId="17AAAF46" w14:textId="77777777" w:rsidR="009C38E1" w:rsidRPr="00DF2323" w:rsidRDefault="009C38E1" w:rsidP="00BE0479">
            <w:pPr>
              <w:widowControl w:val="0"/>
              <w:spacing w:before="20" w:after="20"/>
              <w:rPr>
                <w:rFonts w:eastAsia="Times New Roman"/>
                <w:b/>
                <w:bCs/>
                <w:snapToGrid w:val="0"/>
                <w:sz w:val="20"/>
                <w:szCs w:val="20"/>
                <w:lang w:eastAsia="en-US"/>
              </w:rPr>
            </w:pPr>
          </w:p>
        </w:tc>
        <w:tc>
          <w:tcPr>
            <w:tcW w:w="1842" w:type="dxa"/>
          </w:tcPr>
          <w:p w14:paraId="0A12CAE1"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Reference to the regulatory document</w:t>
            </w:r>
          </w:p>
        </w:tc>
        <w:tc>
          <w:tcPr>
            <w:tcW w:w="7127" w:type="dxa"/>
          </w:tcPr>
          <w:p w14:paraId="0DFDD7EF"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Deliberação Nº 001/DNSA/2014 by the National Directorate of Agriculture and Agrarian Services (The Pesticide Register Authority).</w:t>
            </w:r>
          </w:p>
        </w:tc>
      </w:tr>
      <w:tr w:rsidR="009C38E1" w:rsidRPr="00DF2323" w14:paraId="178B947E" w14:textId="77777777" w:rsidTr="00BE0479">
        <w:trPr>
          <w:jc w:val="right"/>
        </w:trPr>
        <w:tc>
          <w:tcPr>
            <w:tcW w:w="534" w:type="dxa"/>
          </w:tcPr>
          <w:p w14:paraId="7AFA6E6B"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2</w:t>
            </w:r>
          </w:p>
        </w:tc>
        <w:tc>
          <w:tcPr>
            <w:tcW w:w="1842" w:type="dxa"/>
          </w:tcPr>
          <w:p w14:paraId="746B02AB"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Succinct details of the final regulatory action(s)</w:t>
            </w:r>
          </w:p>
        </w:tc>
        <w:tc>
          <w:tcPr>
            <w:tcW w:w="7127" w:type="dxa"/>
          </w:tcPr>
          <w:p w14:paraId="48524771" w14:textId="77777777" w:rsidR="009C38E1" w:rsidRPr="00DF2323" w:rsidRDefault="009C38E1" w:rsidP="00115106">
            <w:pPr>
              <w:spacing w:before="20" w:after="120"/>
              <w:rPr>
                <w:rFonts w:eastAsia="Times New Roman"/>
                <w:i/>
                <w:sz w:val="20"/>
                <w:szCs w:val="20"/>
                <w:lang w:eastAsia="en-US"/>
              </w:rPr>
            </w:pPr>
            <w:r w:rsidRPr="00DF2323">
              <w:rPr>
                <w:rFonts w:eastAsia="Times New Roman"/>
                <w:sz w:val="20"/>
                <w:szCs w:val="20"/>
                <w:lang w:eastAsia="en-US"/>
              </w:rPr>
              <w:t>Based on the decision Nr 001/DNSA/2014 paraquat was banned by the National Directorate of Agrarian Services from further import and use in Mozambique. The ban of all uses and the cancellation of the registration of the products containing paraquat in the country was decided due to the toxic nature and hazardous properties of this active substance which combined with the improper use in the country due to the local specific conditions of use can damage human and animal health. The decision to cancel the registration of paraquat was taken as the last step of the project for Risk Reduction of HHPs, which identified HHPs and pesticides ‘coming close’ to HHPs that are registered in Mozambique. After consultations with different actors (public sector, private sector, civil society and others), cancelation of registrations and consequent non-approval for their use in Mozambique was approved.</w:t>
            </w:r>
          </w:p>
        </w:tc>
      </w:tr>
      <w:tr w:rsidR="009C38E1" w:rsidRPr="00DF2323" w14:paraId="054F82CB" w14:textId="77777777" w:rsidTr="00BE0479">
        <w:trPr>
          <w:jc w:val="right"/>
        </w:trPr>
        <w:tc>
          <w:tcPr>
            <w:tcW w:w="534" w:type="dxa"/>
          </w:tcPr>
          <w:p w14:paraId="60CC6277"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3</w:t>
            </w:r>
          </w:p>
        </w:tc>
        <w:tc>
          <w:tcPr>
            <w:tcW w:w="1842" w:type="dxa"/>
          </w:tcPr>
          <w:p w14:paraId="1BEA4E04"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Reasons for action</w:t>
            </w:r>
          </w:p>
        </w:tc>
        <w:tc>
          <w:tcPr>
            <w:tcW w:w="7127" w:type="dxa"/>
          </w:tcPr>
          <w:p w14:paraId="06BFC0AE"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Reducing the risks for human health and the environment posed by paraquat in Mozambique.</w:t>
            </w:r>
          </w:p>
        </w:tc>
      </w:tr>
      <w:tr w:rsidR="009C38E1" w:rsidRPr="00DF2323" w14:paraId="4AC65532" w14:textId="77777777" w:rsidTr="00BE0479">
        <w:trPr>
          <w:jc w:val="right"/>
        </w:trPr>
        <w:tc>
          <w:tcPr>
            <w:tcW w:w="534" w:type="dxa"/>
          </w:tcPr>
          <w:p w14:paraId="56596655"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4</w:t>
            </w:r>
          </w:p>
        </w:tc>
        <w:tc>
          <w:tcPr>
            <w:tcW w:w="1842" w:type="dxa"/>
          </w:tcPr>
          <w:p w14:paraId="3EB7BABF"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 xml:space="preserve">Basis for inclusion into Annex </w:t>
            </w:r>
            <w:smartTag w:uri="urn:schemas-microsoft-com:office:smarttags" w:element="stockticker">
              <w:r w:rsidRPr="00DF2323">
                <w:rPr>
                  <w:rFonts w:eastAsia="Times New Roman"/>
                  <w:b/>
                  <w:bCs/>
                  <w:sz w:val="20"/>
                  <w:szCs w:val="20"/>
                  <w:lang w:eastAsia="en-US"/>
                </w:rPr>
                <w:t>III</w:t>
              </w:r>
            </w:smartTag>
          </w:p>
        </w:tc>
        <w:tc>
          <w:tcPr>
            <w:tcW w:w="7127" w:type="dxa"/>
          </w:tcPr>
          <w:p w14:paraId="2984127F"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final regulatory action was based on a risk evaluation taking into account the prevailing conditions in Mozambique.</w:t>
            </w:r>
          </w:p>
        </w:tc>
      </w:tr>
      <w:tr w:rsidR="009C38E1" w:rsidRPr="00DF2323" w14:paraId="67202E80" w14:textId="77777777" w:rsidTr="00BE0479">
        <w:trPr>
          <w:jc w:val="right"/>
        </w:trPr>
        <w:tc>
          <w:tcPr>
            <w:tcW w:w="534" w:type="dxa"/>
          </w:tcPr>
          <w:p w14:paraId="35BF4ECF"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4.1</w:t>
            </w:r>
          </w:p>
        </w:tc>
        <w:tc>
          <w:tcPr>
            <w:tcW w:w="1842" w:type="dxa"/>
          </w:tcPr>
          <w:p w14:paraId="073F2768"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Risk evaluation</w:t>
            </w:r>
          </w:p>
        </w:tc>
        <w:tc>
          <w:tcPr>
            <w:tcW w:w="7127" w:type="dxa"/>
          </w:tcPr>
          <w:p w14:paraId="1CD769D8"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 xml:space="preserve">The notification states that the final regulatory action was based on a risk evaluation to protect human health and the environment. The risk evaluation is referenced to Project EP/MOZ/101/UEP, entitled “Reducing Risks of Highly Hazardous Pesticides (HHPs) in Mozambique” initiated by the Government of Mozambique with the objective of reducing the greatest risks associated with pesticide use in the country. The ultimate goal was to develop and implement a “Highly Hazardous Pesticides Risk Reduction Action Plan” for the most dangerous pesticides and use situations. </w:t>
            </w:r>
          </w:p>
          <w:p w14:paraId="32D60FE5"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first phase of the project reviewed all pesticides registered in Mozambique. As a result, a shortlist of HHPs and ‘coming close’ to HHPs was established based.</w:t>
            </w:r>
            <w:r w:rsidRPr="00DF2323">
              <w:t xml:space="preserve"> </w:t>
            </w:r>
            <w:r w:rsidRPr="00DF2323">
              <w:rPr>
                <w:rFonts w:eastAsia="Times New Roman"/>
                <w:sz w:val="20"/>
                <w:szCs w:val="20"/>
                <w:lang w:eastAsia="en-US"/>
              </w:rPr>
              <w:t>The criteria that were used in this study to identify HHPs were those established by FAO/WHO (2008). All pesticide formulations registered in Mozambique, including paraquat formulations, were classified using the formulations’ oral and dermal LD</w:t>
            </w:r>
            <w:r w:rsidRPr="00DF2323">
              <w:rPr>
                <w:rFonts w:eastAsia="Times New Roman"/>
                <w:sz w:val="20"/>
                <w:szCs w:val="20"/>
                <w:vertAlign w:val="subscript"/>
                <w:lang w:eastAsia="en-US"/>
              </w:rPr>
              <w:t>50</w:t>
            </w:r>
            <w:r w:rsidRPr="00DF2323">
              <w:rPr>
                <w:rFonts w:eastAsia="Times New Roman"/>
                <w:sz w:val="20"/>
                <w:szCs w:val="20"/>
                <w:lang w:eastAsia="en-US"/>
              </w:rPr>
              <w:t xml:space="preserve"> values, as provided in the registration dossier. LD50 values for the formulations were available or could be estimated for all registered pesticide products except for three microbial pesticides and one citronella oil (i.e. &gt; 99% of the total). </w:t>
            </w:r>
          </w:p>
          <w:p w14:paraId="1BEBD64B"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notification states that according to the WHO classification, paraquat 200 g/l SL pesticide formulation was classified as Class II with a note on serious delayed effects if absorbed (note 7 -</w:t>
            </w:r>
            <w:r w:rsidRPr="00DF2323">
              <w:t xml:space="preserve"> </w:t>
            </w:r>
            <w:r w:rsidRPr="00DF2323">
              <w:rPr>
                <w:rFonts w:eastAsia="Times New Roman"/>
                <w:i/>
                <w:iCs/>
                <w:sz w:val="20"/>
                <w:szCs w:val="20"/>
                <w:lang w:eastAsia="en-US"/>
              </w:rPr>
              <w:t>Paraquat has serious delayed effects if absorbed. It is of relatively low hazard in normal use but may be fatal if the concentrated product is taken by mouth or spread on the skin</w:t>
            </w:r>
            <w:r w:rsidRPr="00DF2323">
              <w:rPr>
                <w:rFonts w:eastAsia="Times New Roman"/>
                <w:sz w:val="20"/>
                <w:szCs w:val="20"/>
                <w:lang w:eastAsia="en-US"/>
              </w:rPr>
              <w:t>) and dermal hazard was identified as “coming close to” Class Ib (Come &amp; van der Valk, 2014). And specifically, the occupational hazard of paraquat is demonstrated by the very low Acceptable Operator Exposure Level (AOEL) defined in the EU (2003). Consequently, the paraquat 200 g/l SL pesticide formulation was placed on the list as ‘coming close to HHP’, based on the following criteria: For liquid formulations: pesticide products with an acute oral LD50&lt; 200 mg/kg or an acute dermal LD</w:t>
            </w:r>
            <w:r w:rsidRPr="00DF2323">
              <w:rPr>
                <w:rFonts w:eastAsia="Times New Roman"/>
                <w:sz w:val="20"/>
                <w:szCs w:val="20"/>
                <w:vertAlign w:val="subscript"/>
                <w:lang w:eastAsia="en-US"/>
              </w:rPr>
              <w:t>50</w:t>
            </w:r>
            <w:r w:rsidRPr="00DF2323">
              <w:rPr>
                <w:rFonts w:eastAsia="Times New Roman"/>
                <w:sz w:val="20"/>
                <w:szCs w:val="20"/>
                <w:lang w:eastAsia="en-US"/>
              </w:rPr>
              <w:t xml:space="preserve">&lt; 400 mg/kg (note that these are the Class Ib limits in the previous version of the WHO Classification (WHO, 2005). </w:t>
            </w:r>
          </w:p>
          <w:p w14:paraId="3558AD39"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 xml:space="preserve">In the second phase of the project, field surveys with farmers were carried out to assess actual use and exposure to pesticides under local conditions in Mozambique. The survey showed that the use of pesticides including HHPs and pesticides ‘coming close to HHPs’ was likely to result in excessive exposure of farmers in Mozambique. Half of the farmers interviewed in the survey had not received any training in using agrochemicals, and those who had often lacked a good understanding of the risks involved. Almost half of the farmers declared that they do not read pesticides labels, including instructions such as proper dosage and protective measures”, the main reason being illiteracy. A third of the farmers are storing pesticides inside their </w:t>
            </w:r>
            <w:r w:rsidRPr="00DF2323">
              <w:rPr>
                <w:rFonts w:eastAsia="Times New Roman"/>
                <w:sz w:val="20"/>
                <w:szCs w:val="20"/>
                <w:lang w:eastAsia="en-US"/>
              </w:rPr>
              <w:lastRenderedPageBreak/>
              <w:t>houses. Approximately half of the farmers surveyed reported that they noticed to receive pesticides on their clothes, bare skin or eyes when using pesticides, and a range of acute poising symptoms were reported but not linked to a particular pesticide. Almost none of the farmers (93%) owned or wore adequate personal protection equipment (PPE). The notification concludes that enforcing risk mitigation measures depending solely on wearing the appropriate PPE under the local conditions of use would be difficult and unlikely to give results.</w:t>
            </w:r>
          </w:p>
          <w:p w14:paraId="0A23CC0A"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In the third step of the project, stakeholders were consulted to further discuss the use and risks of HHPs and pesticides ‘coming close to HHPs’ in Mozambique and fine-tune the shortlist based on the survey results and the expertise of the stakeholders.</w:t>
            </w:r>
          </w:p>
          <w:p w14:paraId="20AB4C0E"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In the fourth step of the project, the risk of occupational exposure was assessed in further detail for a subset of the shortlisted pesticides. The subset included nine pesticides, including paraquat, in seven different cropping systems and using 13 application scenarios, each with and without PPE. Exposure of operators was estimated and then compared to a toxicologically acceptable level.</w:t>
            </w:r>
          </w:p>
          <w:p w14:paraId="76E045E4"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exposure assessment used the registered dose rates and other application parameters for each pesticide based on farming conditions in Mozambique, including application with backpack sprayers (used in vegetables, tobacco, cereals and several other crops), hand-held rotary atomisers (used in cotton), and tractor-mounted sprayers. In addition, the exposure of pesticide applicators wearing full PPE realistically available in Mozambique was compared to the exposure of applicators wearing shorts and a T-shirt, as is often the case for smallholder farmers.</w:t>
            </w:r>
          </w:p>
          <w:p w14:paraId="5DCDE558"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toxicologically acceptable level of exposure applied in this study was the AOEL, which is defined as the maximum amount of active substance to which the operator may be exposed without any adverse health effects (EC, 2006). The cropping systems that were evaluated are those for which the pesticides were registered. In some cases, crops were grouped when the exposure to the pesticide was likely to be similar, based on the height of the crop and the application method.</w:t>
            </w:r>
          </w:p>
          <w:p w14:paraId="56BEF134"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volume application rates used in the model were generally those recommended on the label of the registered pesticide in Mozambique. If a volume application rate was not indicated on the label, 200 litres of pesticide mixture per ha was used as a default for EC or SC formulations applied with hydraulic nozzles or by air-assisted sprayers (high volume application). In the case of cotton applications, a scenario where 10 litres of mixture per ha was applied using rotary atomisers (low volume application) was also evaluated. The dose rates used in the models were the highest rates recommended on the labels of the registered pesticide. In some cases where a wide range of dose rates was recommended, the lowest dose rate was also evaluated.</w:t>
            </w:r>
          </w:p>
          <w:p w14:paraId="66BE6EBF"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 xml:space="preserve">The risk of occupational exposure to pesticides was assessed, in particular when spraying the products. The risk of worker exposure in situations other than the application of the pesticide (e.g. during harvesting) or by a bystander was not evaluated. For the occupational risk assessment, an estimate of operator exposure was made, which was then compared to a toxicologically acceptable level, where workers’ exposure to pesticides was estimated using occupational exposure models that are often applied in the European Union: the so-called “German model” and the “UK Predictive Operator Exposure Model” (UK-POEM) (EFSA 2010). </w:t>
            </w:r>
          </w:p>
          <w:p w14:paraId="7AA51E63"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models are different in their exposure calculations and also include different exposure scenarios. Therefore, both models are often used in parallel in the EU when assessing occupational exposure. The models' exposure scenarios and application parameters were based on Mozambican pesticides application conditions.</w:t>
            </w:r>
          </w:p>
          <w:p w14:paraId="2ACFCE98"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 xml:space="preserve">The risk for the pesticide operator has been expressed as a risk quotient, which is the ratio between the estimated exposure of the operator to the pesticide (in mg a.s./kg bw/day) and the AOEL (in mg a.s./kg bw/day). A risk quotient &gt; 1 implies that the risk is not acceptable; a risk quotient &lt;1 implies an acceptable risk. </w:t>
            </w:r>
          </w:p>
          <w:p w14:paraId="2CE2CA2E" w14:textId="77777777" w:rsidR="0037673D" w:rsidRPr="00DF2323" w:rsidRDefault="0037673D" w:rsidP="00115106">
            <w:pPr>
              <w:autoSpaceDE w:val="0"/>
              <w:autoSpaceDN w:val="0"/>
              <w:adjustRightInd w:val="0"/>
              <w:spacing w:after="120"/>
              <w:rPr>
                <w:sz w:val="20"/>
                <w:szCs w:val="20"/>
                <w:lang w:eastAsia="en-GB"/>
              </w:rPr>
            </w:pPr>
          </w:p>
          <w:p w14:paraId="10DE91EC" w14:textId="77777777" w:rsidR="0037673D" w:rsidRPr="00DF2323" w:rsidRDefault="0037673D" w:rsidP="00115106">
            <w:pPr>
              <w:autoSpaceDE w:val="0"/>
              <w:autoSpaceDN w:val="0"/>
              <w:adjustRightInd w:val="0"/>
              <w:spacing w:after="120"/>
              <w:rPr>
                <w:sz w:val="20"/>
                <w:szCs w:val="20"/>
                <w:lang w:eastAsia="en-GB"/>
              </w:rPr>
            </w:pPr>
          </w:p>
          <w:p w14:paraId="786ACB8B" w14:textId="7B554254" w:rsidR="009C38E1" w:rsidRPr="00DF2323" w:rsidRDefault="009C38E1" w:rsidP="00115106">
            <w:pPr>
              <w:autoSpaceDE w:val="0"/>
              <w:autoSpaceDN w:val="0"/>
              <w:adjustRightInd w:val="0"/>
              <w:spacing w:after="120"/>
              <w:rPr>
                <w:rFonts w:eastAsia="Times New Roman"/>
                <w:sz w:val="20"/>
                <w:szCs w:val="20"/>
                <w:lang w:eastAsia="en-US"/>
              </w:rPr>
            </w:pPr>
            <w:r w:rsidRPr="00DF2323">
              <w:rPr>
                <w:sz w:val="20"/>
                <w:szCs w:val="20"/>
                <w:lang w:eastAsia="en-GB"/>
              </w:rPr>
              <w:lastRenderedPageBreak/>
              <w:t>Table 1</w:t>
            </w:r>
            <w:r w:rsidRPr="00DF2323">
              <w:rPr>
                <w:b/>
                <w:bCs/>
                <w:sz w:val="20"/>
                <w:szCs w:val="20"/>
                <w:lang w:eastAsia="en-GB"/>
              </w:rPr>
              <w:t xml:space="preserve">. </w:t>
            </w:r>
            <w:r w:rsidRPr="00DF2323">
              <w:rPr>
                <w:sz w:val="20"/>
                <w:szCs w:val="20"/>
                <w:lang w:eastAsia="en-GB"/>
              </w:rPr>
              <w:t>Details on the pesticides and cropping systems used in the operator risk assessments.</w:t>
            </w:r>
          </w:p>
          <w:tbl>
            <w:tblPr>
              <w:tblW w:w="5000" w:type="pct"/>
              <w:tblBorders>
                <w:top w:val="single" w:sz="4" w:space="0" w:color="auto"/>
              </w:tblBorders>
              <w:tblLayout w:type="fixed"/>
              <w:tblLook w:val="04A0" w:firstRow="1" w:lastRow="0" w:firstColumn="1" w:lastColumn="0" w:noHBand="0" w:noVBand="1"/>
            </w:tblPr>
            <w:tblGrid>
              <w:gridCol w:w="1065"/>
              <w:gridCol w:w="1369"/>
              <w:gridCol w:w="1091"/>
              <w:gridCol w:w="1211"/>
              <w:gridCol w:w="1278"/>
              <w:gridCol w:w="892"/>
            </w:tblGrid>
            <w:tr w:rsidR="009C38E1" w:rsidRPr="00DF2323" w14:paraId="6FAC6B93" w14:textId="77777777" w:rsidTr="00BE0479">
              <w:tc>
                <w:tcPr>
                  <w:tcW w:w="771" w:type="pct"/>
                  <w:shd w:val="clear" w:color="auto" w:fill="D9E2F3"/>
                </w:tcPr>
                <w:p w14:paraId="340F9739"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Pesticide</w:t>
                  </w:r>
                </w:p>
              </w:tc>
              <w:tc>
                <w:tcPr>
                  <w:tcW w:w="991" w:type="pct"/>
                  <w:shd w:val="clear" w:color="auto" w:fill="D9E2F3"/>
                </w:tcPr>
                <w:p w14:paraId="55293129"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Concentration and type of formulation</w:t>
                  </w:r>
                </w:p>
              </w:tc>
              <w:tc>
                <w:tcPr>
                  <w:tcW w:w="790" w:type="pct"/>
                  <w:shd w:val="clear" w:color="auto" w:fill="D9E2F3"/>
                </w:tcPr>
                <w:p w14:paraId="284FC85D"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Cropping system</w:t>
                  </w:r>
                </w:p>
              </w:tc>
              <w:tc>
                <w:tcPr>
                  <w:tcW w:w="877" w:type="pct"/>
                  <w:shd w:val="clear" w:color="auto" w:fill="D9E2F3"/>
                </w:tcPr>
                <w:p w14:paraId="17C662CB" w14:textId="77777777" w:rsidR="009C38E1" w:rsidRPr="00DF2323" w:rsidRDefault="009C38E1" w:rsidP="002A645F">
                  <w:pPr>
                    <w:spacing w:before="40" w:after="40"/>
                    <w:jc w:val="right"/>
                    <w:rPr>
                      <w:rFonts w:eastAsia="Times New Roman"/>
                      <w:b/>
                      <w:bCs/>
                      <w:color w:val="000000"/>
                      <w:sz w:val="18"/>
                      <w:szCs w:val="18"/>
                      <w:lang w:eastAsia="en-US"/>
                    </w:rPr>
                  </w:pPr>
                  <w:r w:rsidRPr="00DF2323">
                    <w:rPr>
                      <w:rFonts w:eastAsia="Times New Roman"/>
                      <w:b/>
                      <w:bCs/>
                      <w:color w:val="000000"/>
                      <w:sz w:val="18"/>
                      <w:szCs w:val="18"/>
                      <w:lang w:eastAsia="en-US"/>
                    </w:rPr>
                    <w:t xml:space="preserve">Volume application rate (L mixture/ha) </w:t>
                  </w:r>
                </w:p>
              </w:tc>
              <w:tc>
                <w:tcPr>
                  <w:tcW w:w="925" w:type="pct"/>
                  <w:shd w:val="clear" w:color="auto" w:fill="D9E2F3"/>
                </w:tcPr>
                <w:p w14:paraId="30C8B268" w14:textId="77777777" w:rsidR="009C38E1" w:rsidRPr="00DF2323" w:rsidRDefault="009C38E1" w:rsidP="002A645F">
                  <w:pPr>
                    <w:spacing w:before="40" w:after="40"/>
                    <w:jc w:val="right"/>
                    <w:rPr>
                      <w:rFonts w:eastAsia="Times New Roman"/>
                      <w:b/>
                      <w:bCs/>
                      <w:color w:val="000000"/>
                      <w:sz w:val="18"/>
                      <w:szCs w:val="18"/>
                      <w:lang w:eastAsia="en-US"/>
                    </w:rPr>
                  </w:pPr>
                  <w:r w:rsidRPr="00DF2323">
                    <w:rPr>
                      <w:rFonts w:eastAsia="Times New Roman"/>
                      <w:b/>
                      <w:bCs/>
                      <w:color w:val="000000"/>
                      <w:sz w:val="18"/>
                      <w:szCs w:val="18"/>
                      <w:lang w:eastAsia="en-US"/>
                    </w:rPr>
                    <w:t>Dose rate (L or kg formulation/ ha)</w:t>
                  </w:r>
                </w:p>
              </w:tc>
              <w:tc>
                <w:tcPr>
                  <w:tcW w:w="646" w:type="pct"/>
                  <w:shd w:val="clear" w:color="auto" w:fill="D9E2F3"/>
                </w:tcPr>
                <w:p w14:paraId="1E70FD26" w14:textId="77777777" w:rsidR="009C38E1" w:rsidRPr="00DF2323" w:rsidRDefault="009C38E1" w:rsidP="002A645F">
                  <w:pPr>
                    <w:spacing w:before="40" w:after="40"/>
                    <w:jc w:val="right"/>
                    <w:rPr>
                      <w:rFonts w:eastAsia="Times New Roman"/>
                      <w:b/>
                      <w:bCs/>
                      <w:color w:val="000000"/>
                      <w:sz w:val="18"/>
                      <w:szCs w:val="18"/>
                      <w:lang w:eastAsia="en-US"/>
                    </w:rPr>
                  </w:pPr>
                  <w:r w:rsidRPr="00DF2323">
                    <w:rPr>
                      <w:rFonts w:eastAsia="Times New Roman"/>
                      <w:b/>
                      <w:bCs/>
                      <w:color w:val="000000"/>
                      <w:sz w:val="18"/>
                      <w:szCs w:val="18"/>
                      <w:lang w:eastAsia="en-US"/>
                    </w:rPr>
                    <w:t>AOEL (mg a.i/kg bw/day)</w:t>
                  </w:r>
                </w:p>
              </w:tc>
            </w:tr>
            <w:tr w:rsidR="009C38E1" w:rsidRPr="00DF2323" w14:paraId="48923127" w14:textId="77777777" w:rsidTr="00BE0479">
              <w:tc>
                <w:tcPr>
                  <w:tcW w:w="771" w:type="pct"/>
                  <w:shd w:val="clear" w:color="auto" w:fill="FFFFFF"/>
                </w:tcPr>
                <w:p w14:paraId="44A7DF43" w14:textId="77777777" w:rsidR="009C38E1" w:rsidRPr="00DF2323" w:rsidRDefault="009C38E1" w:rsidP="0037673D">
                  <w:pPr>
                    <w:spacing w:before="40" w:after="40"/>
                    <w:rPr>
                      <w:rFonts w:eastAsia="Times New Roman"/>
                      <w:b/>
                      <w:bCs/>
                      <w:sz w:val="18"/>
                      <w:szCs w:val="18"/>
                      <w:lang w:eastAsia="en-US"/>
                    </w:rPr>
                  </w:pPr>
                  <w:r w:rsidRPr="00DF2323">
                    <w:rPr>
                      <w:rFonts w:eastAsia="Times New Roman"/>
                      <w:b/>
                      <w:bCs/>
                      <w:sz w:val="18"/>
                      <w:szCs w:val="18"/>
                      <w:lang w:eastAsia="en-US"/>
                    </w:rPr>
                    <w:t>Paraquat</w:t>
                  </w:r>
                </w:p>
              </w:tc>
              <w:tc>
                <w:tcPr>
                  <w:tcW w:w="991" w:type="pct"/>
                  <w:shd w:val="clear" w:color="auto" w:fill="FFFFFF"/>
                </w:tcPr>
                <w:p w14:paraId="772CE6BA"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200 g a.s./L SL</w:t>
                  </w:r>
                </w:p>
              </w:tc>
              <w:tc>
                <w:tcPr>
                  <w:tcW w:w="790" w:type="pct"/>
                  <w:shd w:val="clear" w:color="auto" w:fill="FFFFFF"/>
                </w:tcPr>
                <w:p w14:paraId="109C6229"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 xml:space="preserve">Sugar cane </w:t>
                  </w:r>
                </w:p>
              </w:tc>
              <w:tc>
                <w:tcPr>
                  <w:tcW w:w="877" w:type="pct"/>
                  <w:shd w:val="clear" w:color="auto" w:fill="FFFFFF"/>
                </w:tcPr>
                <w:p w14:paraId="5A6E8AA5"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200</w:t>
                  </w:r>
                </w:p>
              </w:tc>
              <w:tc>
                <w:tcPr>
                  <w:tcW w:w="925" w:type="pct"/>
                  <w:shd w:val="clear" w:color="auto" w:fill="FFFFFF"/>
                </w:tcPr>
                <w:p w14:paraId="5DC9CE48"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3</w:t>
                  </w:r>
                </w:p>
              </w:tc>
              <w:tc>
                <w:tcPr>
                  <w:tcW w:w="646" w:type="pct"/>
                  <w:shd w:val="clear" w:color="auto" w:fill="FFFFFF"/>
                </w:tcPr>
                <w:p w14:paraId="21FB810A"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0.0004</w:t>
                  </w:r>
                </w:p>
              </w:tc>
            </w:tr>
            <w:tr w:rsidR="009C38E1" w:rsidRPr="00DF2323" w14:paraId="38E506CB" w14:textId="77777777" w:rsidTr="00BE0479">
              <w:tc>
                <w:tcPr>
                  <w:tcW w:w="771" w:type="pct"/>
                  <w:tcBorders>
                    <w:bottom w:val="nil"/>
                  </w:tcBorders>
                  <w:shd w:val="clear" w:color="auto" w:fill="FFFFFF"/>
                </w:tcPr>
                <w:p w14:paraId="2B747AD0" w14:textId="77777777" w:rsidR="009C38E1" w:rsidRPr="00DF2323" w:rsidRDefault="009C38E1" w:rsidP="0037673D">
                  <w:pPr>
                    <w:spacing w:before="40" w:after="40"/>
                    <w:rPr>
                      <w:rFonts w:eastAsia="Times New Roman"/>
                      <w:b/>
                      <w:bCs/>
                      <w:sz w:val="18"/>
                      <w:szCs w:val="18"/>
                      <w:lang w:eastAsia="en-US"/>
                    </w:rPr>
                  </w:pPr>
                </w:p>
              </w:tc>
              <w:tc>
                <w:tcPr>
                  <w:tcW w:w="991" w:type="pct"/>
                  <w:tcBorders>
                    <w:bottom w:val="nil"/>
                  </w:tcBorders>
                  <w:shd w:val="clear" w:color="auto" w:fill="FFFFFF"/>
                </w:tcPr>
                <w:p w14:paraId="2E9848A4" w14:textId="77777777" w:rsidR="009C38E1" w:rsidRPr="00DF2323" w:rsidRDefault="009C38E1" w:rsidP="0037673D">
                  <w:pPr>
                    <w:spacing w:before="40" w:after="40"/>
                    <w:rPr>
                      <w:rFonts w:eastAsia="Times New Roman"/>
                      <w:sz w:val="18"/>
                      <w:szCs w:val="18"/>
                      <w:lang w:eastAsia="en-US"/>
                    </w:rPr>
                  </w:pPr>
                </w:p>
              </w:tc>
              <w:tc>
                <w:tcPr>
                  <w:tcW w:w="790" w:type="pct"/>
                  <w:tcBorders>
                    <w:bottom w:val="nil"/>
                  </w:tcBorders>
                  <w:shd w:val="clear" w:color="auto" w:fill="FFFFFF"/>
                </w:tcPr>
                <w:p w14:paraId="23279592"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Bananas</w:t>
                  </w:r>
                </w:p>
              </w:tc>
              <w:tc>
                <w:tcPr>
                  <w:tcW w:w="877" w:type="pct"/>
                  <w:tcBorders>
                    <w:bottom w:val="nil"/>
                  </w:tcBorders>
                  <w:shd w:val="clear" w:color="auto" w:fill="FFFFFF"/>
                </w:tcPr>
                <w:p w14:paraId="40A1BB49"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200</w:t>
                  </w:r>
                </w:p>
              </w:tc>
              <w:tc>
                <w:tcPr>
                  <w:tcW w:w="925" w:type="pct"/>
                  <w:tcBorders>
                    <w:bottom w:val="nil"/>
                  </w:tcBorders>
                  <w:shd w:val="clear" w:color="auto" w:fill="FFFFFF"/>
                </w:tcPr>
                <w:p w14:paraId="179AB0AB"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5</w:t>
                  </w:r>
                </w:p>
              </w:tc>
              <w:tc>
                <w:tcPr>
                  <w:tcW w:w="646" w:type="pct"/>
                  <w:tcBorders>
                    <w:bottom w:val="nil"/>
                  </w:tcBorders>
                  <w:shd w:val="clear" w:color="auto" w:fill="FFFFFF"/>
                </w:tcPr>
                <w:p w14:paraId="24785F19" w14:textId="77777777" w:rsidR="009C38E1" w:rsidRPr="00DF2323" w:rsidRDefault="009C38E1" w:rsidP="002A645F">
                  <w:pPr>
                    <w:spacing w:before="40" w:after="40"/>
                    <w:jc w:val="right"/>
                    <w:rPr>
                      <w:rFonts w:eastAsia="Times New Roman"/>
                      <w:sz w:val="18"/>
                      <w:szCs w:val="18"/>
                      <w:lang w:eastAsia="en-US"/>
                    </w:rPr>
                  </w:pPr>
                </w:p>
              </w:tc>
            </w:tr>
            <w:tr w:rsidR="009C38E1" w:rsidRPr="00DF2323" w14:paraId="4B14CF86" w14:textId="77777777" w:rsidTr="00BE0479">
              <w:trPr>
                <w:trHeight w:val="227"/>
              </w:trPr>
              <w:tc>
                <w:tcPr>
                  <w:tcW w:w="771" w:type="pct"/>
                  <w:tcBorders>
                    <w:top w:val="nil"/>
                    <w:bottom w:val="single" w:sz="4" w:space="0" w:color="auto"/>
                  </w:tcBorders>
                  <w:shd w:val="clear" w:color="auto" w:fill="FFFFFF"/>
                </w:tcPr>
                <w:p w14:paraId="454262E0" w14:textId="77777777" w:rsidR="009C38E1" w:rsidRPr="00DF2323" w:rsidRDefault="009C38E1" w:rsidP="0037673D">
                  <w:pPr>
                    <w:spacing w:before="40" w:after="40"/>
                    <w:rPr>
                      <w:rFonts w:eastAsia="Times New Roman"/>
                      <w:b/>
                      <w:bCs/>
                      <w:sz w:val="18"/>
                      <w:szCs w:val="18"/>
                      <w:lang w:eastAsia="en-US"/>
                    </w:rPr>
                  </w:pPr>
                </w:p>
              </w:tc>
              <w:tc>
                <w:tcPr>
                  <w:tcW w:w="991" w:type="pct"/>
                  <w:tcBorders>
                    <w:top w:val="nil"/>
                    <w:bottom w:val="single" w:sz="4" w:space="0" w:color="auto"/>
                  </w:tcBorders>
                  <w:shd w:val="clear" w:color="auto" w:fill="FFFFFF"/>
                </w:tcPr>
                <w:p w14:paraId="1ED81002" w14:textId="77777777" w:rsidR="009C38E1" w:rsidRPr="00DF2323" w:rsidRDefault="009C38E1" w:rsidP="0037673D">
                  <w:pPr>
                    <w:spacing w:before="40" w:after="40"/>
                    <w:rPr>
                      <w:rFonts w:eastAsia="Times New Roman"/>
                      <w:sz w:val="18"/>
                      <w:szCs w:val="18"/>
                      <w:lang w:eastAsia="en-US"/>
                    </w:rPr>
                  </w:pPr>
                </w:p>
              </w:tc>
              <w:tc>
                <w:tcPr>
                  <w:tcW w:w="790" w:type="pct"/>
                  <w:tcBorders>
                    <w:top w:val="nil"/>
                    <w:bottom w:val="single" w:sz="4" w:space="0" w:color="auto"/>
                  </w:tcBorders>
                  <w:shd w:val="clear" w:color="auto" w:fill="FFFFFF"/>
                </w:tcPr>
                <w:p w14:paraId="61EACE07"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Vegetables</w:t>
                  </w:r>
                </w:p>
              </w:tc>
              <w:tc>
                <w:tcPr>
                  <w:tcW w:w="877" w:type="pct"/>
                  <w:tcBorders>
                    <w:top w:val="nil"/>
                    <w:bottom w:val="single" w:sz="4" w:space="0" w:color="auto"/>
                  </w:tcBorders>
                  <w:shd w:val="clear" w:color="auto" w:fill="FFFFFF"/>
                </w:tcPr>
                <w:p w14:paraId="07EED051"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200</w:t>
                  </w:r>
                </w:p>
              </w:tc>
              <w:tc>
                <w:tcPr>
                  <w:tcW w:w="925" w:type="pct"/>
                  <w:tcBorders>
                    <w:top w:val="nil"/>
                    <w:bottom w:val="single" w:sz="4" w:space="0" w:color="auto"/>
                  </w:tcBorders>
                  <w:shd w:val="clear" w:color="auto" w:fill="FFFFFF"/>
                </w:tcPr>
                <w:p w14:paraId="6FBA6ADF" w14:textId="77777777" w:rsidR="009C38E1" w:rsidRPr="00DF2323" w:rsidRDefault="009C38E1" w:rsidP="002A645F">
                  <w:pPr>
                    <w:spacing w:before="40" w:after="40"/>
                    <w:jc w:val="right"/>
                    <w:rPr>
                      <w:rFonts w:eastAsia="Times New Roman"/>
                      <w:sz w:val="18"/>
                      <w:szCs w:val="18"/>
                      <w:lang w:eastAsia="en-US"/>
                    </w:rPr>
                  </w:pPr>
                  <w:r w:rsidRPr="00DF2323">
                    <w:rPr>
                      <w:rFonts w:eastAsia="Times New Roman"/>
                      <w:sz w:val="18"/>
                      <w:szCs w:val="18"/>
                      <w:lang w:eastAsia="en-US"/>
                    </w:rPr>
                    <w:t>2.5</w:t>
                  </w:r>
                </w:p>
              </w:tc>
              <w:tc>
                <w:tcPr>
                  <w:tcW w:w="646" w:type="pct"/>
                  <w:tcBorders>
                    <w:top w:val="nil"/>
                    <w:bottom w:val="single" w:sz="4" w:space="0" w:color="auto"/>
                  </w:tcBorders>
                  <w:shd w:val="clear" w:color="auto" w:fill="FFFFFF"/>
                </w:tcPr>
                <w:p w14:paraId="5DA2D6BC" w14:textId="77777777" w:rsidR="009C38E1" w:rsidRPr="00DF2323" w:rsidRDefault="009C38E1" w:rsidP="002A645F">
                  <w:pPr>
                    <w:spacing w:before="40" w:after="40"/>
                    <w:jc w:val="right"/>
                    <w:rPr>
                      <w:rFonts w:eastAsia="Times New Roman"/>
                      <w:sz w:val="18"/>
                      <w:szCs w:val="18"/>
                      <w:lang w:eastAsia="en-US"/>
                    </w:rPr>
                  </w:pPr>
                </w:p>
              </w:tc>
            </w:tr>
          </w:tbl>
          <w:p w14:paraId="1CDC42BD" w14:textId="77777777" w:rsidR="009C38E1" w:rsidRPr="00DF2323" w:rsidRDefault="009C38E1" w:rsidP="0037673D">
            <w:pPr>
              <w:autoSpaceDE w:val="0"/>
              <w:autoSpaceDN w:val="0"/>
              <w:adjustRightInd w:val="0"/>
              <w:spacing w:before="120" w:after="120"/>
              <w:rPr>
                <w:rFonts w:eastAsia="Times New Roman"/>
                <w:sz w:val="20"/>
                <w:szCs w:val="20"/>
                <w:lang w:eastAsia="en-US"/>
              </w:rPr>
            </w:pPr>
            <w:r w:rsidRPr="00DF2323">
              <w:rPr>
                <w:rFonts w:eastAsia="Times New Roman"/>
                <w:sz w:val="20"/>
                <w:szCs w:val="20"/>
                <w:lang w:eastAsia="en-US"/>
              </w:rPr>
              <w:t>The results of the pesticide operator risk assessments for paraquat are summarized in the table below. Risk quotients are given for the scenario when no PPE is worn during both mixing and spraying (worst case situation) and for the scenario with full PPE during both mixing and spraying (best practice situation). Crops were grouped together as crop structure and the application scenarios were considered similar.</w:t>
            </w:r>
          </w:p>
          <w:p w14:paraId="1495443C" w14:textId="77777777" w:rsidR="009C38E1" w:rsidRPr="00DF2323" w:rsidRDefault="009C38E1" w:rsidP="00115106">
            <w:pPr>
              <w:spacing w:after="120"/>
              <w:rPr>
                <w:rFonts w:eastAsia="Times New Roman"/>
                <w:sz w:val="20"/>
                <w:szCs w:val="20"/>
                <w:lang w:eastAsia="en-US"/>
              </w:rPr>
            </w:pPr>
            <w:r w:rsidRPr="00DF2323">
              <w:rPr>
                <w:rFonts w:eastAsia="Times New Roman"/>
                <w:sz w:val="20"/>
                <w:szCs w:val="20"/>
                <w:lang w:eastAsia="en-US"/>
              </w:rPr>
              <w:t>Table 2. Outcome of the operator risk assessments for formulations containing Paraquat, a pesticide “coming close to an HHP”.</w:t>
            </w:r>
          </w:p>
          <w:tbl>
            <w:tblPr>
              <w:tblW w:w="5000" w:type="pct"/>
              <w:tblBorders>
                <w:top w:val="single" w:sz="4" w:space="0" w:color="auto"/>
              </w:tblBorders>
              <w:tblLayout w:type="fixed"/>
              <w:tblLook w:val="04A0" w:firstRow="1" w:lastRow="0" w:firstColumn="1" w:lastColumn="0" w:noHBand="0" w:noVBand="1"/>
            </w:tblPr>
            <w:tblGrid>
              <w:gridCol w:w="1223"/>
              <w:gridCol w:w="1091"/>
              <w:gridCol w:w="1244"/>
              <w:gridCol w:w="1567"/>
              <w:gridCol w:w="858"/>
              <w:gridCol w:w="913"/>
            </w:tblGrid>
            <w:tr w:rsidR="009C38E1" w:rsidRPr="00DF2323" w14:paraId="2608C36F" w14:textId="77777777" w:rsidTr="00BE0479">
              <w:tc>
                <w:tcPr>
                  <w:tcW w:w="887" w:type="pct"/>
                  <w:tcBorders>
                    <w:top w:val="single" w:sz="4" w:space="0" w:color="4472C4"/>
                    <w:left w:val="single" w:sz="4" w:space="0" w:color="4472C4"/>
                    <w:bottom w:val="single" w:sz="4" w:space="0" w:color="4472C4"/>
                    <w:right w:val="nil"/>
                  </w:tcBorders>
                  <w:shd w:val="clear" w:color="auto" w:fill="D9E2F3"/>
                </w:tcPr>
                <w:p w14:paraId="3D676114"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Pesticide formulation</w:t>
                  </w:r>
                </w:p>
              </w:tc>
              <w:tc>
                <w:tcPr>
                  <w:tcW w:w="791" w:type="pct"/>
                  <w:tcBorders>
                    <w:top w:val="single" w:sz="4" w:space="0" w:color="4472C4"/>
                    <w:left w:val="nil"/>
                    <w:bottom w:val="single" w:sz="4" w:space="0" w:color="4472C4"/>
                    <w:right w:val="nil"/>
                  </w:tcBorders>
                  <w:shd w:val="clear" w:color="auto" w:fill="D9E2F3"/>
                </w:tcPr>
                <w:p w14:paraId="42040758"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Cropping system</w:t>
                  </w:r>
                </w:p>
              </w:tc>
              <w:tc>
                <w:tcPr>
                  <w:tcW w:w="902" w:type="pct"/>
                  <w:tcBorders>
                    <w:top w:val="single" w:sz="4" w:space="0" w:color="4472C4"/>
                    <w:left w:val="nil"/>
                    <w:bottom w:val="single" w:sz="4" w:space="0" w:color="4472C4"/>
                    <w:right w:val="nil"/>
                  </w:tcBorders>
                  <w:shd w:val="clear" w:color="auto" w:fill="D9E2F3"/>
                </w:tcPr>
                <w:p w14:paraId="2F9A94F5"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Application rate</w:t>
                  </w:r>
                </w:p>
              </w:tc>
              <w:tc>
                <w:tcPr>
                  <w:tcW w:w="1136" w:type="pct"/>
                  <w:tcBorders>
                    <w:top w:val="single" w:sz="4" w:space="0" w:color="4472C4"/>
                    <w:left w:val="nil"/>
                    <w:bottom w:val="single" w:sz="4" w:space="0" w:color="4472C4"/>
                    <w:right w:val="nil"/>
                  </w:tcBorders>
                  <w:shd w:val="clear" w:color="auto" w:fill="D9E2F3"/>
                </w:tcPr>
                <w:p w14:paraId="58515A9C"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Exposure model</w:t>
                  </w:r>
                </w:p>
              </w:tc>
              <w:tc>
                <w:tcPr>
                  <w:tcW w:w="622" w:type="pct"/>
                  <w:tcBorders>
                    <w:top w:val="single" w:sz="4" w:space="0" w:color="4472C4"/>
                    <w:left w:val="nil"/>
                    <w:bottom w:val="single" w:sz="4" w:space="0" w:color="4472C4"/>
                    <w:right w:val="nil"/>
                  </w:tcBorders>
                  <w:shd w:val="clear" w:color="auto" w:fill="D9E2F3"/>
                </w:tcPr>
                <w:p w14:paraId="440E0A2F" w14:textId="77777777" w:rsidR="009C38E1" w:rsidRPr="00DF2323" w:rsidRDefault="009C38E1" w:rsidP="0037673D">
                  <w:pPr>
                    <w:spacing w:before="40" w:after="40"/>
                    <w:rPr>
                      <w:rFonts w:eastAsia="Times New Roman"/>
                      <w:b/>
                      <w:bCs/>
                      <w:color w:val="000000"/>
                      <w:sz w:val="18"/>
                      <w:szCs w:val="18"/>
                      <w:lang w:eastAsia="en-US"/>
                    </w:rPr>
                  </w:pPr>
                  <w:r w:rsidRPr="00DF2323">
                    <w:rPr>
                      <w:rFonts w:eastAsia="Times New Roman"/>
                      <w:b/>
                      <w:bCs/>
                      <w:color w:val="000000"/>
                      <w:sz w:val="18"/>
                      <w:szCs w:val="18"/>
                      <w:lang w:eastAsia="en-US"/>
                    </w:rPr>
                    <w:t>Use of PPE</w:t>
                  </w:r>
                </w:p>
              </w:tc>
              <w:tc>
                <w:tcPr>
                  <w:tcW w:w="664" w:type="pct"/>
                  <w:tcBorders>
                    <w:top w:val="single" w:sz="4" w:space="0" w:color="4472C4"/>
                    <w:left w:val="nil"/>
                    <w:bottom w:val="single" w:sz="4" w:space="0" w:color="4472C4"/>
                    <w:right w:val="single" w:sz="4" w:space="0" w:color="4472C4"/>
                  </w:tcBorders>
                  <w:shd w:val="clear" w:color="auto" w:fill="D9E2F3"/>
                </w:tcPr>
                <w:p w14:paraId="69A97C0C" w14:textId="77777777" w:rsidR="009C38E1" w:rsidRPr="00DF2323" w:rsidRDefault="009C38E1" w:rsidP="0037673D">
                  <w:pPr>
                    <w:spacing w:before="40" w:after="40"/>
                    <w:jc w:val="right"/>
                    <w:rPr>
                      <w:rFonts w:eastAsia="Times New Roman"/>
                      <w:b/>
                      <w:bCs/>
                      <w:color w:val="000000"/>
                      <w:sz w:val="18"/>
                      <w:szCs w:val="18"/>
                      <w:lang w:eastAsia="en-US"/>
                    </w:rPr>
                  </w:pPr>
                  <w:r w:rsidRPr="00DF2323">
                    <w:rPr>
                      <w:rFonts w:eastAsia="Times New Roman"/>
                      <w:b/>
                      <w:bCs/>
                      <w:color w:val="000000"/>
                      <w:sz w:val="18"/>
                      <w:szCs w:val="18"/>
                      <w:lang w:eastAsia="en-US"/>
                    </w:rPr>
                    <w:t>Risk quotient</w:t>
                  </w:r>
                </w:p>
              </w:tc>
            </w:tr>
            <w:tr w:rsidR="009C38E1" w:rsidRPr="00DF2323" w14:paraId="5C39E4E7" w14:textId="77777777" w:rsidTr="00BE0479">
              <w:trPr>
                <w:trHeight w:val="339"/>
              </w:trPr>
              <w:tc>
                <w:tcPr>
                  <w:tcW w:w="887" w:type="pct"/>
                  <w:shd w:val="clear" w:color="auto" w:fill="FFFFFF"/>
                </w:tcPr>
                <w:p w14:paraId="393E4274" w14:textId="77777777" w:rsidR="009C38E1" w:rsidRPr="00DF2323" w:rsidRDefault="009C38E1" w:rsidP="0037673D">
                  <w:pPr>
                    <w:spacing w:before="40" w:after="40"/>
                    <w:rPr>
                      <w:rFonts w:eastAsia="Times New Roman"/>
                      <w:b/>
                      <w:bCs/>
                      <w:sz w:val="18"/>
                      <w:szCs w:val="18"/>
                      <w:lang w:eastAsia="en-US"/>
                    </w:rPr>
                  </w:pPr>
                  <w:r w:rsidRPr="00DF2323">
                    <w:rPr>
                      <w:rFonts w:eastAsia="Times New Roman"/>
                      <w:b/>
                      <w:bCs/>
                      <w:sz w:val="18"/>
                      <w:szCs w:val="18"/>
                      <w:lang w:eastAsia="en-US"/>
                    </w:rPr>
                    <w:t>200 g/L SL</w:t>
                  </w:r>
                </w:p>
              </w:tc>
              <w:tc>
                <w:tcPr>
                  <w:tcW w:w="791" w:type="pct"/>
                  <w:vMerge w:val="restart"/>
                  <w:shd w:val="clear" w:color="auto" w:fill="FFFFFF"/>
                  <w:vAlign w:val="center"/>
                </w:tcPr>
                <w:p w14:paraId="248840C5"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Sugar cane</w:t>
                  </w:r>
                </w:p>
              </w:tc>
              <w:tc>
                <w:tcPr>
                  <w:tcW w:w="902" w:type="pct"/>
                  <w:vMerge w:val="restart"/>
                  <w:shd w:val="clear" w:color="auto" w:fill="FFFFFF"/>
                  <w:vAlign w:val="center"/>
                </w:tcPr>
                <w:p w14:paraId="1A299D3C"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600 g a.s./ha</w:t>
                  </w:r>
                </w:p>
              </w:tc>
              <w:tc>
                <w:tcPr>
                  <w:tcW w:w="1136" w:type="pct"/>
                  <w:vMerge w:val="restart"/>
                  <w:tcBorders>
                    <w:top w:val="single" w:sz="4" w:space="0" w:color="4472C4"/>
                    <w:bottom w:val="single" w:sz="4" w:space="0" w:color="auto"/>
                  </w:tcBorders>
                  <w:shd w:val="clear" w:color="auto" w:fill="FFFFFF"/>
                  <w:vAlign w:val="center"/>
                </w:tcPr>
                <w:p w14:paraId="4981CE34"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hand held sprayer; low level target</w:t>
                  </w:r>
                </w:p>
              </w:tc>
              <w:tc>
                <w:tcPr>
                  <w:tcW w:w="622" w:type="pct"/>
                  <w:tcBorders>
                    <w:bottom w:val="nil"/>
                  </w:tcBorders>
                  <w:shd w:val="clear" w:color="auto" w:fill="FFFFFF"/>
                  <w:vAlign w:val="center"/>
                </w:tcPr>
                <w:p w14:paraId="13D07EB4"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bottom w:val="nil"/>
                  </w:tcBorders>
                  <w:shd w:val="clear" w:color="auto" w:fill="FFFFFF"/>
                  <w:vAlign w:val="center"/>
                </w:tcPr>
                <w:p w14:paraId="409982C0"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1408</w:t>
                  </w:r>
                </w:p>
              </w:tc>
            </w:tr>
            <w:tr w:rsidR="009C38E1" w:rsidRPr="00DF2323" w14:paraId="05939F2F" w14:textId="77777777" w:rsidTr="00BE0479">
              <w:tc>
                <w:tcPr>
                  <w:tcW w:w="887" w:type="pct"/>
                  <w:tcBorders>
                    <w:bottom w:val="nil"/>
                  </w:tcBorders>
                  <w:shd w:val="clear" w:color="auto" w:fill="FFFFFF"/>
                </w:tcPr>
                <w:p w14:paraId="340F5400" w14:textId="77777777" w:rsidR="009C38E1" w:rsidRPr="00DF2323" w:rsidRDefault="009C38E1" w:rsidP="0037673D">
                  <w:pPr>
                    <w:spacing w:before="40" w:after="40"/>
                    <w:rPr>
                      <w:rFonts w:eastAsia="Times New Roman"/>
                      <w:b/>
                      <w:bCs/>
                      <w:sz w:val="18"/>
                      <w:szCs w:val="18"/>
                      <w:lang w:eastAsia="en-US"/>
                    </w:rPr>
                  </w:pPr>
                </w:p>
              </w:tc>
              <w:tc>
                <w:tcPr>
                  <w:tcW w:w="791" w:type="pct"/>
                  <w:vMerge/>
                  <w:shd w:val="clear" w:color="auto" w:fill="FFFFFF"/>
                  <w:vAlign w:val="center"/>
                </w:tcPr>
                <w:p w14:paraId="4B1654EC" w14:textId="77777777" w:rsidR="009C38E1" w:rsidRPr="00DF2323" w:rsidRDefault="009C38E1" w:rsidP="0037673D">
                  <w:pPr>
                    <w:spacing w:before="40" w:after="40"/>
                    <w:rPr>
                      <w:rFonts w:eastAsia="Times New Roman"/>
                      <w:sz w:val="18"/>
                      <w:szCs w:val="18"/>
                      <w:lang w:eastAsia="en-US"/>
                    </w:rPr>
                  </w:pPr>
                </w:p>
              </w:tc>
              <w:tc>
                <w:tcPr>
                  <w:tcW w:w="902" w:type="pct"/>
                  <w:vMerge/>
                  <w:shd w:val="clear" w:color="auto" w:fill="FFFFFF"/>
                  <w:vAlign w:val="center"/>
                </w:tcPr>
                <w:p w14:paraId="32C4C22B" w14:textId="77777777" w:rsidR="009C38E1" w:rsidRPr="00DF2323" w:rsidRDefault="009C38E1" w:rsidP="0037673D">
                  <w:pPr>
                    <w:spacing w:before="40" w:after="40"/>
                    <w:rPr>
                      <w:rFonts w:eastAsia="Times New Roman"/>
                      <w:sz w:val="18"/>
                      <w:szCs w:val="18"/>
                      <w:lang w:eastAsia="en-US"/>
                    </w:rPr>
                  </w:pPr>
                </w:p>
              </w:tc>
              <w:tc>
                <w:tcPr>
                  <w:tcW w:w="1136" w:type="pct"/>
                  <w:vMerge/>
                  <w:tcBorders>
                    <w:top w:val="nil"/>
                    <w:bottom w:val="single" w:sz="4" w:space="0" w:color="auto"/>
                  </w:tcBorders>
                  <w:shd w:val="clear" w:color="auto" w:fill="FFFFFF"/>
                  <w:vAlign w:val="center"/>
                </w:tcPr>
                <w:p w14:paraId="4159BCB2" w14:textId="77777777" w:rsidR="009C38E1" w:rsidRPr="00DF2323" w:rsidRDefault="009C38E1" w:rsidP="0037673D">
                  <w:pPr>
                    <w:spacing w:before="40" w:after="40"/>
                    <w:rPr>
                      <w:rFonts w:eastAsia="Times New Roman"/>
                      <w:sz w:val="18"/>
                      <w:szCs w:val="18"/>
                      <w:lang w:eastAsia="en-US"/>
                    </w:rPr>
                  </w:pPr>
                </w:p>
              </w:tc>
              <w:tc>
                <w:tcPr>
                  <w:tcW w:w="622" w:type="pct"/>
                  <w:tcBorders>
                    <w:top w:val="nil"/>
                    <w:bottom w:val="single" w:sz="4" w:space="0" w:color="auto"/>
                  </w:tcBorders>
                  <w:shd w:val="clear" w:color="auto" w:fill="FFFFFF"/>
                  <w:vAlign w:val="center"/>
                </w:tcPr>
                <w:p w14:paraId="2AA8C0AC"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Yes</w:t>
                  </w:r>
                </w:p>
              </w:tc>
              <w:tc>
                <w:tcPr>
                  <w:tcW w:w="664" w:type="pct"/>
                  <w:tcBorders>
                    <w:top w:val="nil"/>
                    <w:bottom w:val="single" w:sz="4" w:space="0" w:color="auto"/>
                  </w:tcBorders>
                  <w:shd w:val="clear" w:color="auto" w:fill="FFFFFF"/>
                  <w:vAlign w:val="center"/>
                </w:tcPr>
                <w:p w14:paraId="26F44F51"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255</w:t>
                  </w:r>
                </w:p>
              </w:tc>
            </w:tr>
            <w:tr w:rsidR="009C38E1" w:rsidRPr="00DF2323" w14:paraId="0E7C9C85" w14:textId="77777777" w:rsidTr="00BE0479">
              <w:trPr>
                <w:trHeight w:val="227"/>
              </w:trPr>
              <w:tc>
                <w:tcPr>
                  <w:tcW w:w="887" w:type="pct"/>
                  <w:tcBorders>
                    <w:top w:val="nil"/>
                    <w:bottom w:val="nil"/>
                  </w:tcBorders>
                  <w:shd w:val="clear" w:color="auto" w:fill="FFFFFF"/>
                </w:tcPr>
                <w:p w14:paraId="0B4E8FDD" w14:textId="77777777" w:rsidR="009C38E1" w:rsidRPr="00DF2323" w:rsidRDefault="009C38E1" w:rsidP="0037673D">
                  <w:pPr>
                    <w:spacing w:before="40" w:after="40"/>
                    <w:rPr>
                      <w:rFonts w:eastAsia="Times New Roman"/>
                      <w:b/>
                      <w:bCs/>
                      <w:sz w:val="18"/>
                      <w:szCs w:val="18"/>
                      <w:lang w:eastAsia="en-US"/>
                    </w:rPr>
                  </w:pPr>
                </w:p>
              </w:tc>
              <w:tc>
                <w:tcPr>
                  <w:tcW w:w="791" w:type="pct"/>
                  <w:vMerge/>
                  <w:shd w:val="clear" w:color="auto" w:fill="FFFFFF"/>
                  <w:vAlign w:val="center"/>
                </w:tcPr>
                <w:p w14:paraId="5FF1D731" w14:textId="77777777" w:rsidR="009C38E1" w:rsidRPr="00DF2323" w:rsidRDefault="009C38E1" w:rsidP="0037673D">
                  <w:pPr>
                    <w:spacing w:before="40" w:after="40"/>
                    <w:rPr>
                      <w:rFonts w:eastAsia="Times New Roman"/>
                      <w:sz w:val="18"/>
                      <w:szCs w:val="18"/>
                      <w:lang w:eastAsia="en-US"/>
                    </w:rPr>
                  </w:pPr>
                </w:p>
              </w:tc>
              <w:tc>
                <w:tcPr>
                  <w:tcW w:w="902" w:type="pct"/>
                  <w:vMerge/>
                  <w:shd w:val="clear" w:color="auto" w:fill="FFFFFF"/>
                  <w:vAlign w:val="center"/>
                </w:tcPr>
                <w:p w14:paraId="5BD95EB2" w14:textId="77777777" w:rsidR="009C38E1" w:rsidRPr="00DF2323" w:rsidRDefault="009C38E1" w:rsidP="0037673D">
                  <w:pPr>
                    <w:spacing w:before="40" w:after="40"/>
                    <w:rPr>
                      <w:rFonts w:eastAsia="Times New Roman"/>
                      <w:sz w:val="18"/>
                      <w:szCs w:val="18"/>
                      <w:lang w:eastAsia="en-US"/>
                    </w:rPr>
                  </w:pPr>
                </w:p>
              </w:tc>
              <w:tc>
                <w:tcPr>
                  <w:tcW w:w="1136" w:type="pct"/>
                  <w:vMerge w:val="restart"/>
                  <w:tcBorders>
                    <w:top w:val="single" w:sz="4" w:space="0" w:color="auto"/>
                    <w:bottom w:val="single" w:sz="4" w:space="0" w:color="auto"/>
                  </w:tcBorders>
                  <w:shd w:val="clear" w:color="auto" w:fill="FFFFFF"/>
                  <w:vAlign w:val="center"/>
                </w:tcPr>
                <w:p w14:paraId="3D12C215"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-tractor mounted boom sprayer; hydraulic nozzles</w:t>
                  </w:r>
                </w:p>
              </w:tc>
              <w:tc>
                <w:tcPr>
                  <w:tcW w:w="622" w:type="pct"/>
                  <w:tcBorders>
                    <w:top w:val="single" w:sz="4" w:space="0" w:color="auto"/>
                    <w:bottom w:val="nil"/>
                  </w:tcBorders>
                  <w:shd w:val="clear" w:color="auto" w:fill="FFFFFF"/>
                  <w:vAlign w:val="center"/>
                </w:tcPr>
                <w:p w14:paraId="13AC7D4B"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top w:val="single" w:sz="4" w:space="0" w:color="auto"/>
                    <w:bottom w:val="nil"/>
                  </w:tcBorders>
                  <w:shd w:val="clear" w:color="auto" w:fill="FFFFFF"/>
                  <w:vAlign w:val="center"/>
                </w:tcPr>
                <w:p w14:paraId="5B4F5BAB"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653</w:t>
                  </w:r>
                </w:p>
              </w:tc>
            </w:tr>
            <w:tr w:rsidR="009C38E1" w:rsidRPr="00DF2323" w14:paraId="60698062" w14:textId="77777777" w:rsidTr="00BE0479">
              <w:trPr>
                <w:trHeight w:val="227"/>
              </w:trPr>
              <w:tc>
                <w:tcPr>
                  <w:tcW w:w="887" w:type="pct"/>
                  <w:tcBorders>
                    <w:top w:val="nil"/>
                    <w:bottom w:val="nil"/>
                  </w:tcBorders>
                  <w:shd w:val="clear" w:color="auto" w:fill="FFFFFF"/>
                </w:tcPr>
                <w:p w14:paraId="5D8D5549" w14:textId="77777777" w:rsidR="009C38E1" w:rsidRPr="00DF2323" w:rsidRDefault="009C38E1" w:rsidP="0037673D">
                  <w:pPr>
                    <w:spacing w:before="40" w:after="40"/>
                    <w:rPr>
                      <w:rFonts w:eastAsia="Times New Roman"/>
                      <w:b/>
                      <w:bCs/>
                      <w:sz w:val="18"/>
                      <w:szCs w:val="18"/>
                      <w:lang w:eastAsia="en-US"/>
                    </w:rPr>
                  </w:pPr>
                </w:p>
              </w:tc>
              <w:tc>
                <w:tcPr>
                  <w:tcW w:w="791" w:type="pct"/>
                  <w:vMerge/>
                  <w:tcBorders>
                    <w:bottom w:val="single" w:sz="4" w:space="0" w:color="auto"/>
                  </w:tcBorders>
                  <w:shd w:val="clear" w:color="auto" w:fill="FFFFFF"/>
                  <w:vAlign w:val="center"/>
                </w:tcPr>
                <w:p w14:paraId="120DA97D" w14:textId="77777777" w:rsidR="009C38E1" w:rsidRPr="00DF2323" w:rsidRDefault="009C38E1" w:rsidP="0037673D">
                  <w:pPr>
                    <w:spacing w:before="40" w:after="40"/>
                    <w:rPr>
                      <w:rFonts w:eastAsia="Times New Roman"/>
                      <w:sz w:val="18"/>
                      <w:szCs w:val="18"/>
                      <w:lang w:eastAsia="en-US"/>
                    </w:rPr>
                  </w:pPr>
                </w:p>
              </w:tc>
              <w:tc>
                <w:tcPr>
                  <w:tcW w:w="902" w:type="pct"/>
                  <w:vMerge/>
                  <w:tcBorders>
                    <w:bottom w:val="single" w:sz="4" w:space="0" w:color="auto"/>
                  </w:tcBorders>
                  <w:shd w:val="clear" w:color="auto" w:fill="FFFFFF"/>
                  <w:vAlign w:val="center"/>
                </w:tcPr>
                <w:p w14:paraId="312BDD54" w14:textId="77777777" w:rsidR="009C38E1" w:rsidRPr="00DF2323" w:rsidRDefault="009C38E1" w:rsidP="0037673D">
                  <w:pPr>
                    <w:spacing w:before="40" w:after="40"/>
                    <w:rPr>
                      <w:rFonts w:eastAsia="Times New Roman"/>
                      <w:sz w:val="18"/>
                      <w:szCs w:val="18"/>
                      <w:lang w:eastAsia="en-US"/>
                    </w:rPr>
                  </w:pPr>
                </w:p>
              </w:tc>
              <w:tc>
                <w:tcPr>
                  <w:tcW w:w="1136" w:type="pct"/>
                  <w:vMerge/>
                  <w:tcBorders>
                    <w:top w:val="nil"/>
                    <w:bottom w:val="single" w:sz="4" w:space="0" w:color="auto"/>
                  </w:tcBorders>
                  <w:shd w:val="clear" w:color="auto" w:fill="FFFFFF"/>
                  <w:vAlign w:val="center"/>
                </w:tcPr>
                <w:p w14:paraId="7AD6ACD7" w14:textId="77777777" w:rsidR="009C38E1" w:rsidRPr="00DF2323" w:rsidRDefault="009C38E1" w:rsidP="0037673D">
                  <w:pPr>
                    <w:spacing w:before="40" w:after="40"/>
                    <w:rPr>
                      <w:rFonts w:eastAsia="Times New Roman"/>
                      <w:sz w:val="18"/>
                      <w:szCs w:val="18"/>
                      <w:lang w:eastAsia="en-US"/>
                    </w:rPr>
                  </w:pPr>
                </w:p>
              </w:tc>
              <w:tc>
                <w:tcPr>
                  <w:tcW w:w="622" w:type="pct"/>
                  <w:tcBorders>
                    <w:top w:val="nil"/>
                    <w:bottom w:val="single" w:sz="4" w:space="0" w:color="auto"/>
                  </w:tcBorders>
                  <w:shd w:val="clear" w:color="auto" w:fill="FFFFFF"/>
                  <w:vAlign w:val="center"/>
                </w:tcPr>
                <w:p w14:paraId="18B19F55"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Yes</w:t>
                  </w:r>
                </w:p>
              </w:tc>
              <w:tc>
                <w:tcPr>
                  <w:tcW w:w="664" w:type="pct"/>
                  <w:tcBorders>
                    <w:top w:val="nil"/>
                    <w:bottom w:val="single" w:sz="4" w:space="0" w:color="auto"/>
                  </w:tcBorders>
                  <w:shd w:val="clear" w:color="auto" w:fill="FFFFFF"/>
                  <w:vAlign w:val="center"/>
                </w:tcPr>
                <w:p w14:paraId="713A30A8"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95</w:t>
                  </w:r>
                </w:p>
              </w:tc>
            </w:tr>
            <w:tr w:rsidR="009C38E1" w:rsidRPr="00DF2323" w14:paraId="27B60865" w14:textId="77777777" w:rsidTr="00BE0479">
              <w:trPr>
                <w:trHeight w:val="227"/>
              </w:trPr>
              <w:tc>
                <w:tcPr>
                  <w:tcW w:w="887" w:type="pct"/>
                  <w:tcBorders>
                    <w:top w:val="nil"/>
                    <w:bottom w:val="nil"/>
                  </w:tcBorders>
                  <w:shd w:val="clear" w:color="auto" w:fill="FFFFFF"/>
                </w:tcPr>
                <w:p w14:paraId="4A6F2A69" w14:textId="77777777" w:rsidR="009C38E1" w:rsidRPr="00DF2323" w:rsidRDefault="009C38E1" w:rsidP="0037673D">
                  <w:pPr>
                    <w:spacing w:before="40" w:after="40"/>
                    <w:rPr>
                      <w:rFonts w:eastAsia="Times New Roman"/>
                      <w:b/>
                      <w:bCs/>
                      <w:sz w:val="18"/>
                      <w:szCs w:val="18"/>
                      <w:lang w:eastAsia="en-US"/>
                    </w:rPr>
                  </w:pPr>
                </w:p>
              </w:tc>
              <w:tc>
                <w:tcPr>
                  <w:tcW w:w="791" w:type="pct"/>
                  <w:vMerge w:val="restart"/>
                  <w:tcBorders>
                    <w:top w:val="single" w:sz="4" w:space="0" w:color="auto"/>
                    <w:bottom w:val="single" w:sz="4" w:space="0" w:color="auto"/>
                  </w:tcBorders>
                  <w:shd w:val="clear" w:color="auto" w:fill="FFFFFF"/>
                  <w:vAlign w:val="center"/>
                </w:tcPr>
                <w:p w14:paraId="25BACCD2"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Bananas</w:t>
                  </w:r>
                </w:p>
              </w:tc>
              <w:tc>
                <w:tcPr>
                  <w:tcW w:w="902" w:type="pct"/>
                  <w:vMerge w:val="restart"/>
                  <w:tcBorders>
                    <w:top w:val="single" w:sz="4" w:space="0" w:color="auto"/>
                    <w:bottom w:val="single" w:sz="4" w:space="0" w:color="auto"/>
                  </w:tcBorders>
                  <w:shd w:val="clear" w:color="auto" w:fill="FFFFFF"/>
                  <w:vAlign w:val="center"/>
                </w:tcPr>
                <w:p w14:paraId="0A50637E"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1000 g a.s./ha</w:t>
                  </w:r>
                </w:p>
              </w:tc>
              <w:tc>
                <w:tcPr>
                  <w:tcW w:w="1136" w:type="pct"/>
                  <w:vMerge w:val="restart"/>
                  <w:tcBorders>
                    <w:top w:val="single" w:sz="4" w:space="0" w:color="auto"/>
                    <w:bottom w:val="single" w:sz="4" w:space="0" w:color="auto"/>
                  </w:tcBorders>
                  <w:shd w:val="clear" w:color="auto" w:fill="FFFFFF"/>
                  <w:vAlign w:val="center"/>
                </w:tcPr>
                <w:p w14:paraId="49058C06"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hand held sprayer; low level target</w:t>
                  </w:r>
                </w:p>
              </w:tc>
              <w:tc>
                <w:tcPr>
                  <w:tcW w:w="622" w:type="pct"/>
                  <w:tcBorders>
                    <w:top w:val="single" w:sz="4" w:space="0" w:color="auto"/>
                    <w:bottom w:val="nil"/>
                  </w:tcBorders>
                  <w:shd w:val="clear" w:color="auto" w:fill="FFFFFF"/>
                  <w:vAlign w:val="center"/>
                </w:tcPr>
                <w:p w14:paraId="74D9A54F"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top w:val="single" w:sz="4" w:space="0" w:color="auto"/>
                    <w:bottom w:val="nil"/>
                  </w:tcBorders>
                  <w:shd w:val="clear" w:color="auto" w:fill="FFFFFF"/>
                  <w:vAlign w:val="center"/>
                </w:tcPr>
                <w:p w14:paraId="5CA7AD73"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2268</w:t>
                  </w:r>
                </w:p>
              </w:tc>
            </w:tr>
            <w:tr w:rsidR="009C38E1" w:rsidRPr="00DF2323" w14:paraId="3A8FDFEA" w14:textId="77777777" w:rsidTr="00BE0479">
              <w:trPr>
                <w:trHeight w:val="415"/>
              </w:trPr>
              <w:tc>
                <w:tcPr>
                  <w:tcW w:w="887" w:type="pct"/>
                  <w:tcBorders>
                    <w:top w:val="nil"/>
                    <w:bottom w:val="nil"/>
                  </w:tcBorders>
                  <w:shd w:val="clear" w:color="auto" w:fill="FFFFFF"/>
                </w:tcPr>
                <w:p w14:paraId="0D6CC896" w14:textId="77777777" w:rsidR="009C38E1" w:rsidRPr="00DF2323" w:rsidRDefault="009C38E1" w:rsidP="0037673D">
                  <w:pPr>
                    <w:spacing w:before="40" w:after="40"/>
                    <w:rPr>
                      <w:rFonts w:eastAsia="Times New Roman"/>
                      <w:b/>
                      <w:bCs/>
                      <w:sz w:val="18"/>
                      <w:szCs w:val="18"/>
                      <w:lang w:eastAsia="en-US"/>
                    </w:rPr>
                  </w:pPr>
                </w:p>
              </w:tc>
              <w:tc>
                <w:tcPr>
                  <w:tcW w:w="791" w:type="pct"/>
                  <w:vMerge/>
                  <w:tcBorders>
                    <w:top w:val="nil"/>
                    <w:bottom w:val="single" w:sz="4" w:space="0" w:color="auto"/>
                  </w:tcBorders>
                  <w:shd w:val="clear" w:color="auto" w:fill="FFFFFF"/>
                  <w:vAlign w:val="center"/>
                </w:tcPr>
                <w:p w14:paraId="2157D752" w14:textId="77777777" w:rsidR="009C38E1" w:rsidRPr="00DF2323" w:rsidRDefault="009C38E1" w:rsidP="0037673D">
                  <w:pPr>
                    <w:spacing w:before="40" w:after="40"/>
                    <w:rPr>
                      <w:rFonts w:eastAsia="Times New Roman"/>
                      <w:sz w:val="18"/>
                      <w:szCs w:val="18"/>
                      <w:lang w:eastAsia="en-US"/>
                    </w:rPr>
                  </w:pPr>
                </w:p>
              </w:tc>
              <w:tc>
                <w:tcPr>
                  <w:tcW w:w="902" w:type="pct"/>
                  <w:vMerge/>
                  <w:tcBorders>
                    <w:top w:val="nil"/>
                    <w:bottom w:val="single" w:sz="4" w:space="0" w:color="auto"/>
                  </w:tcBorders>
                  <w:shd w:val="clear" w:color="auto" w:fill="FFFFFF"/>
                  <w:vAlign w:val="center"/>
                </w:tcPr>
                <w:p w14:paraId="41EC1A70" w14:textId="77777777" w:rsidR="009C38E1" w:rsidRPr="00DF2323" w:rsidRDefault="009C38E1" w:rsidP="0037673D">
                  <w:pPr>
                    <w:spacing w:before="40" w:after="40"/>
                    <w:rPr>
                      <w:rFonts w:eastAsia="Times New Roman"/>
                      <w:sz w:val="18"/>
                      <w:szCs w:val="18"/>
                      <w:lang w:eastAsia="en-US"/>
                    </w:rPr>
                  </w:pPr>
                </w:p>
              </w:tc>
              <w:tc>
                <w:tcPr>
                  <w:tcW w:w="1136" w:type="pct"/>
                  <w:vMerge/>
                  <w:tcBorders>
                    <w:top w:val="nil"/>
                    <w:bottom w:val="single" w:sz="4" w:space="0" w:color="auto"/>
                  </w:tcBorders>
                  <w:shd w:val="clear" w:color="auto" w:fill="FFFFFF"/>
                  <w:vAlign w:val="center"/>
                </w:tcPr>
                <w:p w14:paraId="19BF16A1" w14:textId="77777777" w:rsidR="009C38E1" w:rsidRPr="00DF2323" w:rsidRDefault="009C38E1" w:rsidP="0037673D">
                  <w:pPr>
                    <w:spacing w:before="40" w:after="40"/>
                    <w:rPr>
                      <w:rFonts w:eastAsia="Times New Roman"/>
                      <w:sz w:val="18"/>
                      <w:szCs w:val="18"/>
                      <w:lang w:eastAsia="en-US"/>
                    </w:rPr>
                  </w:pPr>
                </w:p>
              </w:tc>
              <w:tc>
                <w:tcPr>
                  <w:tcW w:w="622" w:type="pct"/>
                  <w:tcBorders>
                    <w:top w:val="nil"/>
                    <w:bottom w:val="single" w:sz="4" w:space="0" w:color="auto"/>
                  </w:tcBorders>
                  <w:shd w:val="clear" w:color="auto" w:fill="FFFFFF"/>
                  <w:vAlign w:val="center"/>
                </w:tcPr>
                <w:p w14:paraId="52D3CD18"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Yes</w:t>
                  </w:r>
                </w:p>
              </w:tc>
              <w:tc>
                <w:tcPr>
                  <w:tcW w:w="664" w:type="pct"/>
                  <w:tcBorders>
                    <w:top w:val="nil"/>
                    <w:bottom w:val="single" w:sz="4" w:space="0" w:color="auto"/>
                  </w:tcBorders>
                  <w:shd w:val="clear" w:color="auto" w:fill="FFFFFF"/>
                  <w:vAlign w:val="center"/>
                </w:tcPr>
                <w:p w14:paraId="226FEAD0"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423</w:t>
                  </w:r>
                </w:p>
              </w:tc>
            </w:tr>
            <w:tr w:rsidR="009C38E1" w:rsidRPr="00DF2323" w14:paraId="47449788" w14:textId="77777777" w:rsidTr="00BE0479">
              <w:trPr>
                <w:trHeight w:val="227"/>
              </w:trPr>
              <w:tc>
                <w:tcPr>
                  <w:tcW w:w="887" w:type="pct"/>
                  <w:tcBorders>
                    <w:top w:val="nil"/>
                    <w:bottom w:val="nil"/>
                  </w:tcBorders>
                  <w:shd w:val="clear" w:color="auto" w:fill="FFFFFF"/>
                </w:tcPr>
                <w:p w14:paraId="3C8DF03F" w14:textId="77777777" w:rsidR="009C38E1" w:rsidRPr="00DF2323" w:rsidRDefault="009C38E1" w:rsidP="0037673D">
                  <w:pPr>
                    <w:spacing w:before="40" w:after="40"/>
                    <w:rPr>
                      <w:rFonts w:eastAsia="Times New Roman"/>
                      <w:b/>
                      <w:bCs/>
                      <w:sz w:val="18"/>
                      <w:szCs w:val="18"/>
                      <w:lang w:eastAsia="en-US"/>
                    </w:rPr>
                  </w:pPr>
                </w:p>
              </w:tc>
              <w:tc>
                <w:tcPr>
                  <w:tcW w:w="791" w:type="pct"/>
                  <w:vMerge/>
                  <w:tcBorders>
                    <w:top w:val="nil"/>
                    <w:bottom w:val="single" w:sz="4" w:space="0" w:color="auto"/>
                  </w:tcBorders>
                  <w:shd w:val="clear" w:color="auto" w:fill="FFFFFF"/>
                  <w:vAlign w:val="center"/>
                </w:tcPr>
                <w:p w14:paraId="2C466B5E" w14:textId="77777777" w:rsidR="009C38E1" w:rsidRPr="00DF2323" w:rsidRDefault="009C38E1" w:rsidP="0037673D">
                  <w:pPr>
                    <w:spacing w:before="40" w:after="40"/>
                    <w:rPr>
                      <w:rFonts w:eastAsia="Times New Roman"/>
                      <w:sz w:val="18"/>
                      <w:szCs w:val="18"/>
                      <w:lang w:eastAsia="en-US"/>
                    </w:rPr>
                  </w:pPr>
                </w:p>
              </w:tc>
              <w:tc>
                <w:tcPr>
                  <w:tcW w:w="902" w:type="pct"/>
                  <w:vMerge/>
                  <w:tcBorders>
                    <w:top w:val="nil"/>
                    <w:bottom w:val="single" w:sz="4" w:space="0" w:color="auto"/>
                  </w:tcBorders>
                  <w:shd w:val="clear" w:color="auto" w:fill="FFFFFF"/>
                  <w:vAlign w:val="center"/>
                </w:tcPr>
                <w:p w14:paraId="2491BDC2" w14:textId="77777777" w:rsidR="009C38E1" w:rsidRPr="00DF2323" w:rsidRDefault="009C38E1" w:rsidP="0037673D">
                  <w:pPr>
                    <w:spacing w:before="40" w:after="40"/>
                    <w:rPr>
                      <w:rFonts w:eastAsia="Times New Roman"/>
                      <w:sz w:val="18"/>
                      <w:szCs w:val="18"/>
                      <w:lang w:eastAsia="en-US"/>
                    </w:rPr>
                  </w:pPr>
                </w:p>
              </w:tc>
              <w:tc>
                <w:tcPr>
                  <w:tcW w:w="1136" w:type="pct"/>
                  <w:vMerge w:val="restart"/>
                  <w:tcBorders>
                    <w:top w:val="single" w:sz="4" w:space="0" w:color="auto"/>
                    <w:bottom w:val="single" w:sz="4" w:space="0" w:color="auto"/>
                  </w:tcBorders>
                  <w:shd w:val="clear" w:color="auto" w:fill="FFFFFF"/>
                  <w:vAlign w:val="center"/>
                </w:tcPr>
                <w:p w14:paraId="06296F55"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-tractor mounted boom sprayer; hydraulic nozzles</w:t>
                  </w:r>
                </w:p>
              </w:tc>
              <w:tc>
                <w:tcPr>
                  <w:tcW w:w="622" w:type="pct"/>
                  <w:tcBorders>
                    <w:top w:val="single" w:sz="4" w:space="0" w:color="auto"/>
                    <w:bottom w:val="nil"/>
                  </w:tcBorders>
                  <w:shd w:val="clear" w:color="auto" w:fill="FFFFFF"/>
                  <w:vAlign w:val="center"/>
                </w:tcPr>
                <w:p w14:paraId="7EA0B7AA"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top w:val="single" w:sz="4" w:space="0" w:color="auto"/>
                    <w:bottom w:val="nil"/>
                  </w:tcBorders>
                  <w:shd w:val="clear" w:color="auto" w:fill="FFFFFF"/>
                  <w:vAlign w:val="center"/>
                </w:tcPr>
                <w:p w14:paraId="76B2DFE7"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1045</w:t>
                  </w:r>
                </w:p>
              </w:tc>
            </w:tr>
            <w:tr w:rsidR="009C38E1" w:rsidRPr="00DF2323" w14:paraId="5A084018" w14:textId="77777777" w:rsidTr="00BE0479">
              <w:trPr>
                <w:trHeight w:val="227"/>
              </w:trPr>
              <w:tc>
                <w:tcPr>
                  <w:tcW w:w="887" w:type="pct"/>
                  <w:tcBorders>
                    <w:top w:val="nil"/>
                    <w:bottom w:val="nil"/>
                  </w:tcBorders>
                  <w:shd w:val="clear" w:color="auto" w:fill="FFFFFF"/>
                </w:tcPr>
                <w:p w14:paraId="2D760490" w14:textId="77777777" w:rsidR="009C38E1" w:rsidRPr="00DF2323" w:rsidRDefault="009C38E1" w:rsidP="0037673D">
                  <w:pPr>
                    <w:spacing w:before="40" w:after="40"/>
                    <w:rPr>
                      <w:rFonts w:eastAsia="Times New Roman"/>
                      <w:b/>
                      <w:bCs/>
                      <w:sz w:val="18"/>
                      <w:szCs w:val="18"/>
                      <w:lang w:eastAsia="en-US"/>
                    </w:rPr>
                  </w:pPr>
                </w:p>
              </w:tc>
              <w:tc>
                <w:tcPr>
                  <w:tcW w:w="791" w:type="pct"/>
                  <w:vMerge/>
                  <w:tcBorders>
                    <w:top w:val="nil"/>
                    <w:bottom w:val="single" w:sz="4" w:space="0" w:color="auto"/>
                  </w:tcBorders>
                  <w:shd w:val="clear" w:color="auto" w:fill="FFFFFF"/>
                  <w:vAlign w:val="center"/>
                </w:tcPr>
                <w:p w14:paraId="2399DF15" w14:textId="77777777" w:rsidR="009C38E1" w:rsidRPr="00DF2323" w:rsidRDefault="009C38E1" w:rsidP="0037673D">
                  <w:pPr>
                    <w:spacing w:before="40" w:after="40"/>
                    <w:rPr>
                      <w:rFonts w:eastAsia="Times New Roman"/>
                      <w:sz w:val="18"/>
                      <w:szCs w:val="18"/>
                      <w:lang w:eastAsia="en-US"/>
                    </w:rPr>
                  </w:pPr>
                </w:p>
              </w:tc>
              <w:tc>
                <w:tcPr>
                  <w:tcW w:w="902" w:type="pct"/>
                  <w:vMerge/>
                  <w:tcBorders>
                    <w:top w:val="nil"/>
                    <w:bottom w:val="single" w:sz="4" w:space="0" w:color="auto"/>
                  </w:tcBorders>
                  <w:shd w:val="clear" w:color="auto" w:fill="FFFFFF"/>
                  <w:vAlign w:val="center"/>
                </w:tcPr>
                <w:p w14:paraId="610FE924" w14:textId="77777777" w:rsidR="009C38E1" w:rsidRPr="00DF2323" w:rsidRDefault="009C38E1" w:rsidP="0037673D">
                  <w:pPr>
                    <w:spacing w:before="40" w:after="40"/>
                    <w:rPr>
                      <w:rFonts w:eastAsia="Times New Roman"/>
                      <w:sz w:val="18"/>
                      <w:szCs w:val="18"/>
                      <w:lang w:eastAsia="en-US"/>
                    </w:rPr>
                  </w:pPr>
                </w:p>
              </w:tc>
              <w:tc>
                <w:tcPr>
                  <w:tcW w:w="1136" w:type="pct"/>
                  <w:vMerge/>
                  <w:tcBorders>
                    <w:top w:val="nil"/>
                    <w:bottom w:val="single" w:sz="4" w:space="0" w:color="auto"/>
                  </w:tcBorders>
                  <w:shd w:val="clear" w:color="auto" w:fill="FFFFFF"/>
                  <w:vAlign w:val="center"/>
                </w:tcPr>
                <w:p w14:paraId="3A6FF2FA" w14:textId="77777777" w:rsidR="009C38E1" w:rsidRPr="00DF2323" w:rsidRDefault="009C38E1" w:rsidP="0037673D">
                  <w:pPr>
                    <w:spacing w:before="40" w:after="40"/>
                    <w:rPr>
                      <w:rFonts w:eastAsia="Times New Roman"/>
                      <w:sz w:val="18"/>
                      <w:szCs w:val="18"/>
                      <w:lang w:eastAsia="en-US"/>
                    </w:rPr>
                  </w:pPr>
                </w:p>
              </w:tc>
              <w:tc>
                <w:tcPr>
                  <w:tcW w:w="622" w:type="pct"/>
                  <w:tcBorders>
                    <w:top w:val="nil"/>
                    <w:bottom w:val="single" w:sz="4" w:space="0" w:color="auto"/>
                  </w:tcBorders>
                  <w:shd w:val="clear" w:color="auto" w:fill="FFFFFF"/>
                  <w:vAlign w:val="center"/>
                </w:tcPr>
                <w:p w14:paraId="73C9460C"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Yes</w:t>
                  </w:r>
                </w:p>
              </w:tc>
              <w:tc>
                <w:tcPr>
                  <w:tcW w:w="664" w:type="pct"/>
                  <w:tcBorders>
                    <w:top w:val="nil"/>
                    <w:bottom w:val="single" w:sz="4" w:space="0" w:color="auto"/>
                  </w:tcBorders>
                  <w:shd w:val="clear" w:color="auto" w:fill="FFFFFF"/>
                  <w:vAlign w:val="center"/>
                </w:tcPr>
                <w:p w14:paraId="0B91236A"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155</w:t>
                  </w:r>
                </w:p>
              </w:tc>
            </w:tr>
            <w:tr w:rsidR="009C38E1" w:rsidRPr="00DF2323" w14:paraId="37D81361" w14:textId="77777777" w:rsidTr="00BE0479">
              <w:trPr>
                <w:trHeight w:val="227"/>
              </w:trPr>
              <w:tc>
                <w:tcPr>
                  <w:tcW w:w="887" w:type="pct"/>
                  <w:tcBorders>
                    <w:top w:val="nil"/>
                    <w:bottom w:val="nil"/>
                  </w:tcBorders>
                  <w:shd w:val="clear" w:color="auto" w:fill="FFFFFF"/>
                </w:tcPr>
                <w:p w14:paraId="098FC777" w14:textId="77777777" w:rsidR="009C38E1" w:rsidRPr="00DF2323" w:rsidRDefault="009C38E1" w:rsidP="0037673D">
                  <w:pPr>
                    <w:spacing w:before="40" w:after="40"/>
                    <w:rPr>
                      <w:rFonts w:eastAsia="Times New Roman"/>
                      <w:b/>
                      <w:bCs/>
                      <w:sz w:val="18"/>
                      <w:szCs w:val="18"/>
                      <w:lang w:eastAsia="en-US"/>
                    </w:rPr>
                  </w:pPr>
                </w:p>
              </w:tc>
              <w:tc>
                <w:tcPr>
                  <w:tcW w:w="791" w:type="pct"/>
                  <w:vMerge w:val="restart"/>
                  <w:tcBorders>
                    <w:top w:val="single" w:sz="4" w:space="0" w:color="auto"/>
                  </w:tcBorders>
                  <w:shd w:val="clear" w:color="auto" w:fill="FFFFFF"/>
                  <w:vAlign w:val="center"/>
                </w:tcPr>
                <w:p w14:paraId="6BE3E589"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Vegetables</w:t>
                  </w:r>
                </w:p>
              </w:tc>
              <w:tc>
                <w:tcPr>
                  <w:tcW w:w="902" w:type="pct"/>
                  <w:vMerge w:val="restart"/>
                  <w:tcBorders>
                    <w:top w:val="single" w:sz="4" w:space="0" w:color="auto"/>
                  </w:tcBorders>
                  <w:shd w:val="clear" w:color="auto" w:fill="FFFFFF"/>
                  <w:vAlign w:val="center"/>
                </w:tcPr>
                <w:p w14:paraId="20E9B9A6"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500 g a.s./ha</w:t>
                  </w:r>
                </w:p>
              </w:tc>
              <w:tc>
                <w:tcPr>
                  <w:tcW w:w="1136" w:type="pct"/>
                  <w:tcBorders>
                    <w:top w:val="single" w:sz="4" w:space="0" w:color="auto"/>
                  </w:tcBorders>
                  <w:shd w:val="clear" w:color="auto" w:fill="FFFFFF"/>
                  <w:vAlign w:val="center"/>
                </w:tcPr>
                <w:p w14:paraId="4183D8F7"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hand held sprayer; low level target</w:t>
                  </w:r>
                </w:p>
              </w:tc>
              <w:tc>
                <w:tcPr>
                  <w:tcW w:w="622" w:type="pct"/>
                  <w:tcBorders>
                    <w:top w:val="single" w:sz="4" w:space="0" w:color="auto"/>
                    <w:bottom w:val="nil"/>
                  </w:tcBorders>
                  <w:shd w:val="clear" w:color="auto" w:fill="FFFFFF"/>
                  <w:vAlign w:val="center"/>
                </w:tcPr>
                <w:p w14:paraId="7A275664"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top w:val="single" w:sz="4" w:space="0" w:color="auto"/>
                    <w:bottom w:val="nil"/>
                  </w:tcBorders>
                  <w:shd w:val="clear" w:color="auto" w:fill="FFFFFF"/>
                  <w:vAlign w:val="center"/>
                </w:tcPr>
                <w:p w14:paraId="522A324A"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1193</w:t>
                  </w:r>
                </w:p>
              </w:tc>
            </w:tr>
            <w:tr w:rsidR="009C38E1" w:rsidRPr="00DF2323" w14:paraId="670A1A7C" w14:textId="77777777" w:rsidTr="00BE0479">
              <w:trPr>
                <w:trHeight w:val="227"/>
              </w:trPr>
              <w:tc>
                <w:tcPr>
                  <w:tcW w:w="887" w:type="pct"/>
                  <w:tcBorders>
                    <w:top w:val="nil"/>
                    <w:bottom w:val="nil"/>
                  </w:tcBorders>
                  <w:shd w:val="clear" w:color="auto" w:fill="FFFFFF"/>
                </w:tcPr>
                <w:p w14:paraId="776C498D" w14:textId="77777777" w:rsidR="009C38E1" w:rsidRPr="00DF2323" w:rsidRDefault="009C38E1" w:rsidP="0037673D">
                  <w:pPr>
                    <w:spacing w:before="40" w:after="40"/>
                    <w:rPr>
                      <w:rFonts w:eastAsia="Times New Roman"/>
                      <w:b/>
                      <w:bCs/>
                      <w:sz w:val="18"/>
                      <w:szCs w:val="18"/>
                      <w:lang w:eastAsia="en-US"/>
                    </w:rPr>
                  </w:pPr>
                </w:p>
              </w:tc>
              <w:tc>
                <w:tcPr>
                  <w:tcW w:w="791" w:type="pct"/>
                  <w:vMerge/>
                  <w:shd w:val="clear" w:color="auto" w:fill="FFFFFF"/>
                  <w:vAlign w:val="center"/>
                </w:tcPr>
                <w:p w14:paraId="104E93D9" w14:textId="77777777" w:rsidR="009C38E1" w:rsidRPr="00DF2323" w:rsidRDefault="009C38E1" w:rsidP="0037673D">
                  <w:pPr>
                    <w:spacing w:before="40" w:after="40"/>
                    <w:rPr>
                      <w:rFonts w:eastAsia="Times New Roman"/>
                      <w:sz w:val="18"/>
                      <w:szCs w:val="18"/>
                      <w:lang w:eastAsia="en-US"/>
                    </w:rPr>
                  </w:pPr>
                </w:p>
              </w:tc>
              <w:tc>
                <w:tcPr>
                  <w:tcW w:w="902" w:type="pct"/>
                  <w:vMerge/>
                  <w:shd w:val="clear" w:color="auto" w:fill="FFFFFF"/>
                  <w:vAlign w:val="center"/>
                </w:tcPr>
                <w:p w14:paraId="318A956B" w14:textId="77777777" w:rsidR="009C38E1" w:rsidRPr="00DF2323" w:rsidRDefault="009C38E1" w:rsidP="0037673D">
                  <w:pPr>
                    <w:spacing w:before="40" w:after="40"/>
                    <w:rPr>
                      <w:rFonts w:eastAsia="Times New Roman"/>
                      <w:sz w:val="18"/>
                      <w:szCs w:val="18"/>
                      <w:lang w:eastAsia="en-US"/>
                    </w:rPr>
                  </w:pPr>
                </w:p>
              </w:tc>
              <w:tc>
                <w:tcPr>
                  <w:tcW w:w="1136" w:type="pct"/>
                  <w:tcBorders>
                    <w:bottom w:val="nil"/>
                  </w:tcBorders>
                  <w:shd w:val="clear" w:color="auto" w:fill="FFFFFF"/>
                  <w:vAlign w:val="center"/>
                </w:tcPr>
                <w:p w14:paraId="2C92FC72" w14:textId="77777777" w:rsidR="009C38E1" w:rsidRPr="00DF2323" w:rsidRDefault="009C38E1" w:rsidP="0037673D">
                  <w:pPr>
                    <w:spacing w:before="40" w:after="40"/>
                    <w:rPr>
                      <w:rFonts w:eastAsia="Times New Roman"/>
                      <w:sz w:val="18"/>
                      <w:szCs w:val="18"/>
                      <w:lang w:eastAsia="en-US"/>
                    </w:rPr>
                  </w:pPr>
                </w:p>
              </w:tc>
              <w:tc>
                <w:tcPr>
                  <w:tcW w:w="622" w:type="pct"/>
                  <w:tcBorders>
                    <w:top w:val="nil"/>
                    <w:bottom w:val="nil"/>
                  </w:tcBorders>
                  <w:shd w:val="clear" w:color="auto" w:fill="FFFFFF"/>
                  <w:vAlign w:val="center"/>
                </w:tcPr>
                <w:p w14:paraId="1DEB5B56"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Yes</w:t>
                  </w:r>
                </w:p>
              </w:tc>
              <w:tc>
                <w:tcPr>
                  <w:tcW w:w="664" w:type="pct"/>
                  <w:tcBorders>
                    <w:top w:val="nil"/>
                    <w:bottom w:val="nil"/>
                  </w:tcBorders>
                  <w:shd w:val="clear" w:color="auto" w:fill="FFFFFF"/>
                  <w:vAlign w:val="center"/>
                </w:tcPr>
                <w:p w14:paraId="691BB560"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213</w:t>
                  </w:r>
                </w:p>
              </w:tc>
            </w:tr>
            <w:tr w:rsidR="009C38E1" w:rsidRPr="00DF2323" w14:paraId="251698A2" w14:textId="77777777" w:rsidTr="00BE0479">
              <w:trPr>
                <w:trHeight w:val="227"/>
              </w:trPr>
              <w:tc>
                <w:tcPr>
                  <w:tcW w:w="887" w:type="pct"/>
                  <w:tcBorders>
                    <w:top w:val="nil"/>
                    <w:bottom w:val="single" w:sz="4" w:space="0" w:color="auto"/>
                  </w:tcBorders>
                  <w:shd w:val="clear" w:color="auto" w:fill="FFFFFF"/>
                </w:tcPr>
                <w:p w14:paraId="09A6F57F" w14:textId="77777777" w:rsidR="009C38E1" w:rsidRPr="00DF2323" w:rsidRDefault="009C38E1" w:rsidP="0037673D">
                  <w:pPr>
                    <w:spacing w:before="40" w:after="40"/>
                    <w:rPr>
                      <w:rFonts w:eastAsia="Times New Roman"/>
                      <w:b/>
                      <w:bCs/>
                      <w:sz w:val="18"/>
                      <w:szCs w:val="18"/>
                      <w:lang w:eastAsia="en-US"/>
                    </w:rPr>
                  </w:pPr>
                </w:p>
              </w:tc>
              <w:tc>
                <w:tcPr>
                  <w:tcW w:w="791" w:type="pct"/>
                  <w:vMerge/>
                  <w:tcBorders>
                    <w:bottom w:val="single" w:sz="4" w:space="0" w:color="auto"/>
                  </w:tcBorders>
                  <w:shd w:val="clear" w:color="auto" w:fill="FFFFFF"/>
                  <w:vAlign w:val="center"/>
                </w:tcPr>
                <w:p w14:paraId="6524B292" w14:textId="77777777" w:rsidR="009C38E1" w:rsidRPr="00DF2323" w:rsidRDefault="009C38E1" w:rsidP="0037673D">
                  <w:pPr>
                    <w:spacing w:before="40" w:after="40"/>
                    <w:rPr>
                      <w:rFonts w:eastAsia="Times New Roman"/>
                      <w:sz w:val="18"/>
                      <w:szCs w:val="18"/>
                      <w:lang w:eastAsia="en-US"/>
                    </w:rPr>
                  </w:pPr>
                </w:p>
              </w:tc>
              <w:tc>
                <w:tcPr>
                  <w:tcW w:w="902" w:type="pct"/>
                  <w:vMerge/>
                  <w:tcBorders>
                    <w:bottom w:val="single" w:sz="4" w:space="0" w:color="auto"/>
                  </w:tcBorders>
                  <w:shd w:val="clear" w:color="auto" w:fill="FFFFFF"/>
                  <w:vAlign w:val="center"/>
                </w:tcPr>
                <w:p w14:paraId="4BE37609" w14:textId="77777777" w:rsidR="009C38E1" w:rsidRPr="00DF2323" w:rsidRDefault="009C38E1" w:rsidP="0037673D">
                  <w:pPr>
                    <w:spacing w:before="40" w:after="40"/>
                    <w:rPr>
                      <w:rFonts w:eastAsia="Times New Roman"/>
                      <w:sz w:val="18"/>
                      <w:szCs w:val="18"/>
                      <w:lang w:eastAsia="en-US"/>
                    </w:rPr>
                  </w:pPr>
                </w:p>
              </w:tc>
              <w:tc>
                <w:tcPr>
                  <w:tcW w:w="1136" w:type="pct"/>
                  <w:tcBorders>
                    <w:top w:val="nil"/>
                    <w:bottom w:val="single" w:sz="4" w:space="0" w:color="auto"/>
                  </w:tcBorders>
                  <w:shd w:val="clear" w:color="auto" w:fill="FFFFFF"/>
                  <w:vAlign w:val="center"/>
                </w:tcPr>
                <w:p w14:paraId="70341FCB"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UK -tractor mounted boom sprayer; hydraulic nozzles</w:t>
                  </w:r>
                </w:p>
              </w:tc>
              <w:tc>
                <w:tcPr>
                  <w:tcW w:w="622" w:type="pct"/>
                  <w:tcBorders>
                    <w:top w:val="nil"/>
                    <w:bottom w:val="single" w:sz="4" w:space="0" w:color="auto"/>
                  </w:tcBorders>
                  <w:shd w:val="clear" w:color="auto" w:fill="FFFFFF"/>
                  <w:vAlign w:val="center"/>
                </w:tcPr>
                <w:p w14:paraId="1AB49780" w14:textId="77777777" w:rsidR="009C38E1" w:rsidRPr="00DF2323" w:rsidRDefault="009C38E1" w:rsidP="0037673D">
                  <w:pPr>
                    <w:spacing w:before="40" w:after="40"/>
                    <w:rPr>
                      <w:rFonts w:eastAsia="Times New Roman"/>
                      <w:sz w:val="18"/>
                      <w:szCs w:val="18"/>
                      <w:lang w:eastAsia="en-US"/>
                    </w:rPr>
                  </w:pPr>
                  <w:r w:rsidRPr="00DF2323">
                    <w:rPr>
                      <w:rFonts w:eastAsia="Times New Roman"/>
                      <w:sz w:val="18"/>
                      <w:szCs w:val="18"/>
                      <w:lang w:eastAsia="en-US"/>
                    </w:rPr>
                    <w:t>No</w:t>
                  </w:r>
                </w:p>
              </w:tc>
              <w:tc>
                <w:tcPr>
                  <w:tcW w:w="664" w:type="pct"/>
                  <w:tcBorders>
                    <w:top w:val="nil"/>
                    <w:bottom w:val="single" w:sz="4" w:space="0" w:color="auto"/>
                  </w:tcBorders>
                  <w:shd w:val="clear" w:color="auto" w:fill="FFFFFF"/>
                  <w:vAlign w:val="center"/>
                </w:tcPr>
                <w:p w14:paraId="1D24BA95" w14:textId="77777777" w:rsidR="009C38E1" w:rsidRPr="00DF2323" w:rsidRDefault="009C38E1" w:rsidP="0037673D">
                  <w:pPr>
                    <w:spacing w:before="40" w:after="40"/>
                    <w:jc w:val="right"/>
                    <w:rPr>
                      <w:rFonts w:eastAsia="Times New Roman"/>
                      <w:sz w:val="18"/>
                      <w:szCs w:val="18"/>
                      <w:lang w:eastAsia="en-US"/>
                    </w:rPr>
                  </w:pPr>
                  <w:r w:rsidRPr="00DF2323">
                    <w:rPr>
                      <w:rFonts w:eastAsia="Times New Roman"/>
                      <w:sz w:val="18"/>
                      <w:szCs w:val="18"/>
                      <w:lang w:eastAsia="en-US"/>
                    </w:rPr>
                    <w:t>203</w:t>
                  </w:r>
                </w:p>
              </w:tc>
            </w:tr>
          </w:tbl>
          <w:p w14:paraId="6EEA42A9" w14:textId="77777777" w:rsidR="009C38E1" w:rsidRPr="00DF2323" w:rsidRDefault="009C38E1" w:rsidP="00115106">
            <w:pPr>
              <w:spacing w:before="20" w:after="120"/>
              <w:rPr>
                <w:rFonts w:eastAsia="Times New Roman"/>
                <w:sz w:val="20"/>
                <w:szCs w:val="20"/>
                <w:lang w:eastAsia="en-US"/>
              </w:rPr>
            </w:pPr>
          </w:p>
          <w:p w14:paraId="2C0C35FF"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 xml:space="preserve">The use of personal protective equipment was taken into account in the risk assessments, both during mixing of the spray solution and loading of the sprayer. The no-PPE option in the German model represents an operator with shoes and socks, and half of the upper arms, forearms, thighs and lower legs unprotected. In the UK model, the no-PPE option represents a single layer of work clothing for professional use, or a T-shirt and shorts for home garden use. </w:t>
            </w:r>
          </w:p>
          <w:p w14:paraId="324A2372"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In Mozambique, pesticide application without PPE generally means that the operator wears shorts, a short-sleeved T-shirt or a tank top, and open sandals. Therefore, the no-PPE option in both models likely underestimates actual exposure under Mozambican conditions.</w:t>
            </w:r>
          </w:p>
          <w:p w14:paraId="3954F61E"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t>The occupational risk assessments that were conducted showed that acceptable operator exposure levels were greatly exceeded for all crops and all pesticide application scenarios, irrespective of the application rate or use of PPE. This indicates that the application of paraquat likely poses a high risk under Mozambican conditions. Given the large risk quotient, it is unlikely that locally feasible mitigation measures would reduce the risk of paraquat to acceptable levels.</w:t>
            </w:r>
          </w:p>
          <w:p w14:paraId="48A01BF0" w14:textId="77777777" w:rsidR="009C38E1" w:rsidRPr="00DF2323" w:rsidRDefault="009C38E1" w:rsidP="00115106">
            <w:pPr>
              <w:spacing w:before="20" w:after="120"/>
              <w:rPr>
                <w:rFonts w:eastAsia="Times New Roman"/>
                <w:sz w:val="20"/>
                <w:szCs w:val="20"/>
                <w:lang w:eastAsia="en-US"/>
              </w:rPr>
            </w:pPr>
            <w:r w:rsidRPr="00DF2323">
              <w:rPr>
                <w:rFonts w:eastAsia="Times New Roman"/>
                <w:sz w:val="20"/>
                <w:szCs w:val="20"/>
                <w:lang w:eastAsia="en-US"/>
              </w:rPr>
              <w:lastRenderedPageBreak/>
              <w:t xml:space="preserve">Summarising the above, the final regulatory action was based on a health hazard evaluation of paraquat, the prevailing conditions of use of pesticides in Mozambique (intended uses, application doses, methods, protective measures, agricultural practices, etc.), and a risk evaluation with a particular focus on occupational risks. </w:t>
            </w:r>
          </w:p>
          <w:p w14:paraId="6E3AF6EF" w14:textId="1BE8F809" w:rsidR="009C38E1" w:rsidRPr="00DF2323" w:rsidRDefault="009C38E1" w:rsidP="002A645F">
            <w:pPr>
              <w:spacing w:before="20" w:after="120"/>
              <w:rPr>
                <w:rFonts w:eastAsia="Times New Roman"/>
                <w:sz w:val="20"/>
                <w:szCs w:val="20"/>
                <w:lang w:eastAsia="en-US"/>
              </w:rPr>
            </w:pPr>
            <w:r w:rsidRPr="00DF2323">
              <w:rPr>
                <w:rFonts w:eastAsia="Times New Roman"/>
                <w:sz w:val="20"/>
                <w:szCs w:val="20"/>
                <w:lang w:eastAsia="en-US"/>
              </w:rPr>
              <w:t>Paraquat and the products containing paraquat were considered harmful for the human health under the local conditions of use in Mozambique requiring risk mitigation measures. Therefore, the authorities decided to ban all formulations for all uses and also the cancellation of the products containing paraquat in the country.</w:t>
            </w:r>
          </w:p>
        </w:tc>
      </w:tr>
      <w:tr w:rsidR="009C38E1" w:rsidRPr="00DF2323" w14:paraId="3BA6CE24" w14:textId="77777777" w:rsidTr="00BE0479">
        <w:trPr>
          <w:jc w:val="right"/>
        </w:trPr>
        <w:tc>
          <w:tcPr>
            <w:tcW w:w="534" w:type="dxa"/>
          </w:tcPr>
          <w:p w14:paraId="58A4D21E" w14:textId="77777777" w:rsidR="009C38E1" w:rsidRPr="00DF2323" w:rsidRDefault="009C38E1" w:rsidP="00BE0479">
            <w:pPr>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lastRenderedPageBreak/>
              <w:t>4.2</w:t>
            </w:r>
          </w:p>
        </w:tc>
        <w:tc>
          <w:tcPr>
            <w:tcW w:w="1842" w:type="dxa"/>
          </w:tcPr>
          <w:p w14:paraId="461DBF23"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Criteria used</w:t>
            </w:r>
          </w:p>
        </w:tc>
        <w:tc>
          <w:tcPr>
            <w:tcW w:w="7127" w:type="dxa"/>
          </w:tcPr>
          <w:p w14:paraId="2280A0D5" w14:textId="1D243FED" w:rsidR="009C38E1" w:rsidRPr="00DF2323" w:rsidRDefault="009C38E1" w:rsidP="00A238C4">
            <w:pPr>
              <w:spacing w:before="20" w:after="20"/>
              <w:rPr>
                <w:rFonts w:eastAsia="Times New Roman"/>
                <w:iCs/>
                <w:sz w:val="20"/>
                <w:szCs w:val="20"/>
                <w:lang w:eastAsia="en-US"/>
              </w:rPr>
            </w:pPr>
            <w:r w:rsidRPr="00DF2323">
              <w:rPr>
                <w:rFonts w:eastAsia="Times New Roman"/>
                <w:iCs/>
                <w:sz w:val="20"/>
                <w:szCs w:val="20"/>
                <w:lang w:eastAsia="en-US"/>
              </w:rPr>
              <w:t>Risks to human health and the environment</w:t>
            </w:r>
          </w:p>
        </w:tc>
      </w:tr>
      <w:tr w:rsidR="009C38E1" w:rsidRPr="00DF2323" w14:paraId="034BDBC5" w14:textId="77777777" w:rsidTr="00BE0479">
        <w:trPr>
          <w:jc w:val="right"/>
        </w:trPr>
        <w:tc>
          <w:tcPr>
            <w:tcW w:w="534" w:type="dxa"/>
          </w:tcPr>
          <w:p w14:paraId="093F0EDA" w14:textId="77777777" w:rsidR="009C38E1" w:rsidRPr="00DF2323" w:rsidRDefault="009C38E1" w:rsidP="00BE0479">
            <w:pPr>
              <w:widowControl w:val="0"/>
              <w:spacing w:before="20" w:after="20"/>
              <w:rPr>
                <w:rFonts w:eastAsia="Times New Roman"/>
                <w:b/>
                <w:bCs/>
                <w:snapToGrid w:val="0"/>
                <w:sz w:val="20"/>
                <w:szCs w:val="20"/>
                <w:lang w:eastAsia="en-US"/>
              </w:rPr>
            </w:pPr>
          </w:p>
        </w:tc>
        <w:tc>
          <w:tcPr>
            <w:tcW w:w="1842" w:type="dxa"/>
          </w:tcPr>
          <w:p w14:paraId="53297784" w14:textId="77777777" w:rsidR="009C38E1" w:rsidRPr="00DF2323" w:rsidRDefault="009C38E1" w:rsidP="00BE0479">
            <w:pPr>
              <w:spacing w:before="20" w:after="20"/>
              <w:rPr>
                <w:rFonts w:eastAsia="Times New Roman"/>
                <w:b/>
                <w:sz w:val="20"/>
                <w:szCs w:val="20"/>
                <w:lang w:eastAsia="en-US"/>
              </w:rPr>
            </w:pPr>
            <w:r w:rsidRPr="00DF2323">
              <w:rPr>
                <w:rFonts w:eastAsia="Times New Roman"/>
                <w:b/>
                <w:sz w:val="20"/>
                <w:szCs w:val="20"/>
                <w:lang w:eastAsia="en-US"/>
              </w:rPr>
              <w:t>Relevance to other States and Region</w:t>
            </w:r>
          </w:p>
        </w:tc>
        <w:tc>
          <w:tcPr>
            <w:tcW w:w="7127" w:type="dxa"/>
          </w:tcPr>
          <w:p w14:paraId="78DAF73D" w14:textId="77777777" w:rsidR="009C38E1" w:rsidRPr="00DF2323" w:rsidRDefault="009C38E1" w:rsidP="00BE0479">
            <w:pPr>
              <w:spacing w:before="20" w:after="20"/>
              <w:rPr>
                <w:rFonts w:eastAsia="Times New Roman"/>
                <w:sz w:val="20"/>
                <w:szCs w:val="20"/>
                <w:lang w:eastAsia="en-US"/>
              </w:rPr>
            </w:pPr>
            <w:r w:rsidRPr="00DF2323">
              <w:rPr>
                <w:rFonts w:eastAsia="Times New Roman"/>
                <w:sz w:val="20"/>
                <w:szCs w:val="20"/>
                <w:lang w:eastAsia="en-US"/>
              </w:rPr>
              <w:t>Countries with similar conditions as well as where the farmers use pesticides without protective equipment could make similar decision in order to protect the human health.</w:t>
            </w:r>
          </w:p>
        </w:tc>
      </w:tr>
      <w:tr w:rsidR="009C38E1" w:rsidRPr="00DF2323" w14:paraId="42BD5279" w14:textId="77777777" w:rsidTr="00BE0479">
        <w:trPr>
          <w:jc w:val="right"/>
        </w:trPr>
        <w:tc>
          <w:tcPr>
            <w:tcW w:w="534" w:type="dxa"/>
          </w:tcPr>
          <w:p w14:paraId="103ACABE"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5</w:t>
            </w:r>
          </w:p>
        </w:tc>
        <w:tc>
          <w:tcPr>
            <w:tcW w:w="1842" w:type="dxa"/>
          </w:tcPr>
          <w:p w14:paraId="72C7B793" w14:textId="263DB567" w:rsidR="009C38E1" w:rsidRPr="00DF2323" w:rsidRDefault="009C38E1" w:rsidP="00A238C4">
            <w:pPr>
              <w:spacing w:before="20" w:after="20"/>
              <w:rPr>
                <w:rFonts w:eastAsia="Times New Roman"/>
                <w:b/>
                <w:bCs/>
                <w:sz w:val="20"/>
                <w:szCs w:val="20"/>
                <w:lang w:eastAsia="en-US"/>
              </w:rPr>
            </w:pPr>
            <w:r w:rsidRPr="00DF2323">
              <w:rPr>
                <w:rFonts w:eastAsia="Times New Roman"/>
                <w:b/>
                <w:bCs/>
                <w:sz w:val="20"/>
                <w:szCs w:val="20"/>
                <w:lang w:eastAsia="en-US"/>
              </w:rPr>
              <w:t>Alternatives</w:t>
            </w:r>
          </w:p>
        </w:tc>
        <w:tc>
          <w:tcPr>
            <w:tcW w:w="7127" w:type="dxa"/>
          </w:tcPr>
          <w:p w14:paraId="72DA7B69" w14:textId="77777777" w:rsidR="009C38E1" w:rsidRPr="00DF2323" w:rsidRDefault="009C38E1" w:rsidP="00BE0479">
            <w:pPr>
              <w:spacing w:before="20" w:after="20"/>
              <w:rPr>
                <w:rFonts w:eastAsia="Times New Roman"/>
                <w:sz w:val="20"/>
                <w:szCs w:val="20"/>
                <w:lang w:eastAsia="en-US"/>
              </w:rPr>
            </w:pPr>
            <w:r w:rsidRPr="00DF2323">
              <w:rPr>
                <w:rFonts w:eastAsia="Times New Roman"/>
                <w:sz w:val="20"/>
                <w:szCs w:val="20"/>
                <w:lang w:eastAsia="en-US"/>
              </w:rPr>
              <w:t>See section 3.3.</w:t>
            </w:r>
          </w:p>
        </w:tc>
      </w:tr>
      <w:tr w:rsidR="009C38E1" w:rsidRPr="00DF2323" w14:paraId="2D8482CC" w14:textId="77777777" w:rsidTr="00BE0479">
        <w:trPr>
          <w:jc w:val="right"/>
        </w:trPr>
        <w:tc>
          <w:tcPr>
            <w:tcW w:w="534" w:type="dxa"/>
          </w:tcPr>
          <w:p w14:paraId="7411B203"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6</w:t>
            </w:r>
          </w:p>
        </w:tc>
        <w:tc>
          <w:tcPr>
            <w:tcW w:w="1842" w:type="dxa"/>
          </w:tcPr>
          <w:p w14:paraId="65E716EC" w14:textId="77777777" w:rsidR="009C38E1" w:rsidRPr="00DF2323" w:rsidRDefault="009C38E1" w:rsidP="00BE0479">
            <w:pPr>
              <w:spacing w:before="20" w:after="20"/>
              <w:rPr>
                <w:rFonts w:eastAsia="Times New Roman"/>
                <w:b/>
                <w:bCs/>
                <w:sz w:val="20"/>
                <w:szCs w:val="20"/>
                <w:lang w:eastAsia="en-US"/>
              </w:rPr>
            </w:pPr>
            <w:r w:rsidRPr="00DF2323">
              <w:rPr>
                <w:rFonts w:eastAsia="Times New Roman"/>
                <w:b/>
                <w:bCs/>
                <w:sz w:val="20"/>
                <w:szCs w:val="20"/>
                <w:lang w:eastAsia="en-US"/>
              </w:rPr>
              <w:t>Waste management</w:t>
            </w:r>
          </w:p>
        </w:tc>
        <w:tc>
          <w:tcPr>
            <w:tcW w:w="7127" w:type="dxa"/>
          </w:tcPr>
          <w:p w14:paraId="6D67430F" w14:textId="77777777" w:rsidR="009C38E1" w:rsidRPr="00DF2323" w:rsidRDefault="009C38E1" w:rsidP="00BE0479">
            <w:pPr>
              <w:spacing w:before="20" w:after="20"/>
              <w:rPr>
                <w:rFonts w:eastAsia="Times New Roman"/>
                <w:sz w:val="20"/>
                <w:szCs w:val="20"/>
                <w:lang w:eastAsia="en-US"/>
              </w:rPr>
            </w:pPr>
            <w:r w:rsidRPr="00DF2323">
              <w:rPr>
                <w:rFonts w:eastAsia="Times New Roman"/>
                <w:sz w:val="20"/>
                <w:szCs w:val="20"/>
                <w:lang w:eastAsia="en-US"/>
              </w:rPr>
              <w:t>None reported. See section 4.5.</w:t>
            </w:r>
          </w:p>
        </w:tc>
      </w:tr>
      <w:tr w:rsidR="009C38E1" w:rsidRPr="00DF2323" w14:paraId="1CAA2DBD" w14:textId="77777777" w:rsidTr="00BE0479">
        <w:trPr>
          <w:jc w:val="right"/>
        </w:trPr>
        <w:tc>
          <w:tcPr>
            <w:tcW w:w="534" w:type="dxa"/>
          </w:tcPr>
          <w:p w14:paraId="4F9A98C3" w14:textId="77777777" w:rsidR="009C38E1" w:rsidRPr="00DF2323" w:rsidRDefault="009C38E1" w:rsidP="00BE0479">
            <w:pPr>
              <w:widowControl w:val="0"/>
              <w:spacing w:before="20" w:after="20"/>
              <w:rPr>
                <w:rFonts w:eastAsia="Times New Roman"/>
                <w:b/>
                <w:bCs/>
                <w:snapToGrid w:val="0"/>
                <w:sz w:val="20"/>
                <w:szCs w:val="20"/>
                <w:lang w:eastAsia="en-US"/>
              </w:rPr>
            </w:pPr>
            <w:r w:rsidRPr="00DF2323">
              <w:rPr>
                <w:rFonts w:eastAsia="Times New Roman"/>
                <w:b/>
                <w:bCs/>
                <w:snapToGrid w:val="0"/>
                <w:sz w:val="20"/>
                <w:szCs w:val="20"/>
                <w:lang w:eastAsia="en-US"/>
              </w:rPr>
              <w:t>7</w:t>
            </w:r>
          </w:p>
        </w:tc>
        <w:tc>
          <w:tcPr>
            <w:tcW w:w="1842" w:type="dxa"/>
          </w:tcPr>
          <w:p w14:paraId="78E343B5" w14:textId="77777777" w:rsidR="009C38E1" w:rsidRPr="00DF2323" w:rsidRDefault="009C38E1" w:rsidP="00BE0479">
            <w:pPr>
              <w:spacing w:before="20" w:after="20"/>
              <w:ind w:left="288" w:hanging="288"/>
              <w:rPr>
                <w:rFonts w:eastAsia="Times New Roman"/>
                <w:b/>
                <w:snapToGrid w:val="0"/>
                <w:sz w:val="20"/>
                <w:szCs w:val="20"/>
                <w:lang w:eastAsia="en-US"/>
              </w:rPr>
            </w:pPr>
            <w:r w:rsidRPr="00DF2323">
              <w:rPr>
                <w:rFonts w:eastAsia="Times New Roman"/>
                <w:b/>
                <w:sz w:val="20"/>
                <w:szCs w:val="20"/>
                <w:lang w:eastAsia="en-US"/>
              </w:rPr>
              <w:t>Other</w:t>
            </w:r>
          </w:p>
        </w:tc>
        <w:tc>
          <w:tcPr>
            <w:tcW w:w="7127" w:type="dxa"/>
          </w:tcPr>
          <w:p w14:paraId="41A972E9" w14:textId="77777777" w:rsidR="009C38E1" w:rsidRPr="00DF2323" w:rsidRDefault="009C38E1" w:rsidP="00BE0479">
            <w:pPr>
              <w:spacing w:before="20" w:after="20"/>
              <w:rPr>
                <w:rFonts w:eastAsia="Times New Roman"/>
                <w:sz w:val="20"/>
                <w:szCs w:val="20"/>
                <w:lang w:eastAsia="en-US"/>
              </w:rPr>
            </w:pPr>
            <w:r w:rsidRPr="00DF2323">
              <w:rPr>
                <w:rFonts w:eastAsia="Times New Roman"/>
                <w:sz w:val="20"/>
                <w:szCs w:val="20"/>
                <w:lang w:eastAsia="en-US"/>
              </w:rPr>
              <w:t>None reported</w:t>
            </w:r>
          </w:p>
        </w:tc>
      </w:tr>
    </w:tbl>
    <w:p w14:paraId="47A95E03" w14:textId="77777777" w:rsidR="009C38E1" w:rsidRPr="00DF2323" w:rsidRDefault="009C38E1" w:rsidP="009C38E1">
      <w:pPr>
        <w:pStyle w:val="Normal-pool"/>
        <w:rPr>
          <w:lang w:val="en-GB"/>
        </w:rPr>
      </w:pPr>
      <w:r w:rsidRPr="00DF2323">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5279"/>
        <w:gridCol w:w="4093"/>
        <w:gridCol w:w="109"/>
      </w:tblGrid>
      <w:tr w:rsidR="009C38E1" w:rsidRPr="00DF2323" w14:paraId="5909E1FE" w14:textId="77777777" w:rsidTr="00BE0479">
        <w:trPr>
          <w:cantSplit/>
          <w:jc w:val="right"/>
        </w:trPr>
        <w:tc>
          <w:tcPr>
            <w:tcW w:w="9504" w:type="dxa"/>
            <w:gridSpan w:val="3"/>
            <w:tcBorders>
              <w:top w:val="single" w:sz="6" w:space="0" w:color="808080"/>
              <w:bottom w:val="single" w:sz="6" w:space="0" w:color="808080"/>
            </w:tcBorders>
            <w:shd w:val="pct12" w:color="000000" w:fill="FFFFFF"/>
          </w:tcPr>
          <w:p w14:paraId="47887554" w14:textId="77777777" w:rsidR="009C38E1" w:rsidRPr="00DF2323" w:rsidRDefault="009C38E1" w:rsidP="00BE0479">
            <w:pPr>
              <w:spacing w:before="40" w:after="60"/>
              <w:outlineLvl w:val="0"/>
              <w:rPr>
                <w:rFonts w:eastAsia="Times New Roman"/>
                <w:b/>
                <w:bCs/>
                <w:kern w:val="28"/>
                <w:szCs w:val="29"/>
                <w:lang w:eastAsia="en-US"/>
              </w:rPr>
            </w:pPr>
            <w:r w:rsidRPr="00DF2323">
              <w:rPr>
                <w:rFonts w:eastAsia="Times New Roman"/>
                <w:b/>
                <w:bCs/>
                <w:kern w:val="28"/>
                <w:szCs w:val="29"/>
                <w:lang w:eastAsia="en-US"/>
              </w:rPr>
              <w:lastRenderedPageBreak/>
              <w:br w:type="page"/>
            </w:r>
            <w:r w:rsidRPr="00DF2323">
              <w:rPr>
                <w:rFonts w:eastAsia="Times New Roman"/>
                <w:b/>
                <w:bCs/>
                <w:snapToGrid w:val="0"/>
                <w:kern w:val="28"/>
                <w:szCs w:val="29"/>
                <w:lang w:eastAsia="en-US"/>
              </w:rPr>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r>
            <w:r w:rsidRPr="00DF2323">
              <w:rPr>
                <w:rFonts w:eastAsia="Times New Roman"/>
                <w:b/>
                <w:bCs/>
                <w:kern w:val="28"/>
                <w:szCs w:val="29"/>
                <w:lang w:eastAsia="en-US"/>
              </w:rPr>
              <w:br w:type="page"/>
              <w:t>Annex 3 to the decision guidance document – Addresses of designated national</w:t>
            </w:r>
            <w:r w:rsidRPr="00DF2323">
              <w:rPr>
                <w:rFonts w:eastAsia="Times New Roman"/>
                <w:bCs/>
                <w:kern w:val="28"/>
                <w:szCs w:val="29"/>
                <w:lang w:eastAsia="en-US"/>
              </w:rPr>
              <w:t xml:space="preserve"> </w:t>
            </w:r>
            <w:r w:rsidRPr="00DF2323">
              <w:rPr>
                <w:rFonts w:eastAsia="Times New Roman"/>
                <w:b/>
                <w:bCs/>
                <w:kern w:val="28"/>
                <w:szCs w:val="29"/>
                <w:lang w:eastAsia="en-US"/>
              </w:rPr>
              <w:t xml:space="preserve">authorities </w:t>
            </w:r>
          </w:p>
        </w:tc>
      </w:tr>
      <w:tr w:rsidR="009C38E1" w:rsidRPr="00DF2323" w14:paraId="215570BD" w14:textId="77777777" w:rsidTr="00BE0479">
        <w:trPr>
          <w:gridAfter w:val="1"/>
          <w:wAfter w:w="109" w:type="dxa"/>
          <w:cantSplit/>
          <w:trHeight w:val="311"/>
          <w:jc w:val="right"/>
        </w:trPr>
        <w:tc>
          <w:tcPr>
            <w:tcW w:w="9395" w:type="dxa"/>
            <w:gridSpan w:val="2"/>
            <w:tcBorders>
              <w:top w:val="single" w:sz="6" w:space="0" w:color="auto"/>
              <w:left w:val="single" w:sz="6" w:space="0" w:color="auto"/>
              <w:bottom w:val="single" w:sz="6" w:space="0" w:color="auto"/>
              <w:right w:val="single" w:sz="6" w:space="0" w:color="auto"/>
            </w:tcBorders>
          </w:tcPr>
          <w:p w14:paraId="6B2FBC3D" w14:textId="77777777" w:rsidR="009C38E1" w:rsidRPr="00DF2323" w:rsidRDefault="009C38E1" w:rsidP="00BE0479">
            <w:pPr>
              <w:widowControl w:val="0"/>
              <w:tabs>
                <w:tab w:val="left" w:pos="1247"/>
                <w:tab w:val="left" w:pos="1814"/>
                <w:tab w:val="left" w:pos="2381"/>
                <w:tab w:val="left" w:pos="2948"/>
                <w:tab w:val="left" w:pos="3515"/>
              </w:tabs>
              <w:spacing w:before="40" w:after="40"/>
              <w:rPr>
                <w:rFonts w:eastAsia="Times New Roman"/>
                <w:b/>
                <w:bCs/>
                <w:i/>
                <w:snapToGrid w:val="0"/>
                <w:lang w:eastAsia="en-US"/>
              </w:rPr>
            </w:pPr>
            <w:r w:rsidRPr="00DF2323">
              <w:rPr>
                <w:rFonts w:eastAsia="Times New Roman"/>
                <w:b/>
                <w:bCs/>
                <w:i/>
                <w:snapToGrid w:val="0"/>
                <w:sz w:val="20"/>
                <w:szCs w:val="20"/>
                <w:lang w:eastAsia="en-US"/>
              </w:rPr>
              <w:t>Malaysia</w:t>
            </w:r>
          </w:p>
        </w:tc>
      </w:tr>
      <w:tr w:rsidR="009C38E1" w:rsidRPr="00DF2323" w14:paraId="4D956C37" w14:textId="77777777" w:rsidTr="00BE0479">
        <w:tblPrEx>
          <w:tblBorders>
            <w:top w:val="none" w:sz="0" w:space="0" w:color="auto"/>
            <w:left w:val="none" w:sz="0" w:space="0" w:color="auto"/>
            <w:bottom w:val="none" w:sz="0" w:space="0" w:color="auto"/>
            <w:right w:val="none" w:sz="0" w:space="0" w:color="auto"/>
          </w:tblBorders>
        </w:tblPrEx>
        <w:trPr>
          <w:gridAfter w:val="1"/>
          <w:wAfter w:w="109" w:type="dxa"/>
          <w:cantSplit/>
          <w:trHeight w:val="1126"/>
          <w:jc w:val="right"/>
        </w:trPr>
        <w:tc>
          <w:tcPr>
            <w:tcW w:w="5292" w:type="dxa"/>
            <w:tcBorders>
              <w:right w:val="single" w:sz="4" w:space="0" w:color="auto"/>
            </w:tcBorders>
          </w:tcPr>
          <w:p w14:paraId="65D2D0CF" w14:textId="77777777" w:rsidR="009C38E1" w:rsidRPr="00DF2323" w:rsidRDefault="009C38E1" w:rsidP="00BE0479">
            <w:pPr>
              <w:spacing w:before="120"/>
              <w:rPr>
                <w:rFonts w:eastAsia="Times New Roman"/>
                <w:sz w:val="20"/>
                <w:szCs w:val="20"/>
                <w:lang w:eastAsia="en-CA"/>
              </w:rPr>
            </w:pPr>
            <w:r w:rsidRPr="00DF2323">
              <w:rPr>
                <w:rFonts w:eastAsia="Times New Roman"/>
                <w:sz w:val="20"/>
                <w:szCs w:val="20"/>
                <w:lang w:eastAsia="en-CA"/>
              </w:rPr>
              <w:t>Role: DNA Pesticides</w:t>
            </w:r>
          </w:p>
          <w:p w14:paraId="63A18058"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rFonts w:eastAsia="Times New Roman"/>
                <w:sz w:val="20"/>
                <w:szCs w:val="20"/>
                <w:lang w:eastAsia="en-CA"/>
              </w:rPr>
              <w:t xml:space="preserve">Name: </w:t>
            </w:r>
            <w:r w:rsidRPr="00DF2323">
              <w:rPr>
                <w:rFonts w:eastAsia="Times New Roman"/>
                <w:bCs/>
                <w:sz w:val="20"/>
                <w:szCs w:val="10"/>
                <w:lang w:eastAsia="en-US"/>
              </w:rPr>
              <w:t>Mr. Mohammad Nazrul Fahmi Bin Abdul Rahim</w:t>
            </w:r>
          </w:p>
          <w:p w14:paraId="45C5A66E" w14:textId="77777777" w:rsidR="009C38E1" w:rsidRPr="00DF2323" w:rsidRDefault="009C38E1" w:rsidP="00BE0479">
            <w:pPr>
              <w:tabs>
                <w:tab w:val="left" w:pos="-720"/>
                <w:tab w:val="left" w:pos="0"/>
                <w:tab w:val="left" w:pos="720"/>
              </w:tabs>
              <w:suppressAutoHyphens/>
              <w:rPr>
                <w:rFonts w:eastAsia="Times New Roman"/>
                <w:sz w:val="20"/>
                <w:szCs w:val="20"/>
                <w:lang w:eastAsia="en-CA"/>
              </w:rPr>
            </w:pPr>
            <w:r w:rsidRPr="00DF2323">
              <w:rPr>
                <w:rFonts w:eastAsia="Times New Roman"/>
                <w:sz w:val="20"/>
                <w:szCs w:val="20"/>
                <w:lang w:eastAsia="en-CA"/>
              </w:rPr>
              <w:t>Institution: Pesticides Board Malaysia</w:t>
            </w:r>
          </w:p>
          <w:p w14:paraId="4A8EAA78" w14:textId="77777777" w:rsidR="009C38E1" w:rsidRPr="00DF2323" w:rsidRDefault="009C38E1" w:rsidP="00BE0479">
            <w:pPr>
              <w:tabs>
                <w:tab w:val="left" w:pos="-720"/>
                <w:tab w:val="left" w:pos="0"/>
                <w:tab w:val="left" w:pos="720"/>
              </w:tabs>
              <w:suppressAutoHyphens/>
              <w:rPr>
                <w:rFonts w:eastAsia="Times New Roman"/>
                <w:sz w:val="20"/>
                <w:szCs w:val="20"/>
                <w:lang w:eastAsia="en-CA"/>
              </w:rPr>
            </w:pPr>
            <w:r w:rsidRPr="00DF2323">
              <w:rPr>
                <w:rFonts w:eastAsia="Times New Roman"/>
                <w:sz w:val="20"/>
                <w:szCs w:val="20"/>
                <w:lang w:eastAsia="en-CA"/>
              </w:rPr>
              <w:t>Department: Agriculture</w:t>
            </w:r>
          </w:p>
          <w:p w14:paraId="5E2E95A2"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sz w:val="20"/>
                <w:szCs w:val="20"/>
              </w:rPr>
              <w:t xml:space="preserve">Postal address: </w:t>
            </w:r>
            <w:r w:rsidRPr="00DF2323">
              <w:rPr>
                <w:rFonts w:eastAsia="Times New Roman"/>
                <w:bCs/>
                <w:sz w:val="20"/>
                <w:szCs w:val="10"/>
                <w:lang w:eastAsia="en-US"/>
              </w:rPr>
              <w:t>Wisma Tani, Jalan Sultan Salahuddin</w:t>
            </w:r>
          </w:p>
          <w:p w14:paraId="3C2F521A"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sz w:val="20"/>
                <w:szCs w:val="20"/>
              </w:rPr>
              <w:t xml:space="preserve">P.O. Box </w:t>
            </w:r>
            <w:r w:rsidRPr="00DF2323">
              <w:rPr>
                <w:rFonts w:eastAsia="Times New Roman"/>
                <w:bCs/>
                <w:sz w:val="20"/>
                <w:szCs w:val="10"/>
                <w:lang w:eastAsia="en-US"/>
              </w:rPr>
              <w:t xml:space="preserve">50480 </w:t>
            </w:r>
          </w:p>
          <w:p w14:paraId="7E6D78A6"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rFonts w:eastAsia="Times New Roman"/>
                <w:bCs/>
                <w:sz w:val="20"/>
                <w:szCs w:val="10"/>
                <w:lang w:eastAsia="en-US"/>
              </w:rPr>
              <w:t>Kuala Lumpur</w:t>
            </w:r>
          </w:p>
          <w:p w14:paraId="48BA63E7"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rFonts w:eastAsia="Times New Roman"/>
                <w:bCs/>
                <w:sz w:val="20"/>
                <w:szCs w:val="10"/>
                <w:lang w:eastAsia="en-US"/>
              </w:rPr>
              <w:t>Malaysia</w:t>
            </w:r>
          </w:p>
        </w:tc>
        <w:tc>
          <w:tcPr>
            <w:tcW w:w="4103" w:type="dxa"/>
            <w:tcBorders>
              <w:left w:val="single" w:sz="4" w:space="0" w:color="auto"/>
            </w:tcBorders>
          </w:tcPr>
          <w:p w14:paraId="31976877"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p>
          <w:p w14:paraId="188F6504"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rFonts w:eastAsia="Times New Roman"/>
                <w:sz w:val="20"/>
                <w:szCs w:val="20"/>
                <w:lang w:eastAsia="en-CA"/>
              </w:rPr>
              <w:t>Phone</w:t>
            </w:r>
            <w:r w:rsidRPr="00DF2323">
              <w:rPr>
                <w:rFonts w:eastAsia="Times New Roman"/>
                <w:bCs/>
                <w:sz w:val="20"/>
                <w:szCs w:val="10"/>
                <w:lang w:eastAsia="en-US"/>
              </w:rPr>
              <w:t>.: +603 20301480</w:t>
            </w:r>
          </w:p>
          <w:p w14:paraId="5022FE61"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p>
          <w:p w14:paraId="6985A45B"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r w:rsidRPr="00DF2323">
              <w:rPr>
                <w:rFonts w:eastAsia="Times New Roman"/>
                <w:bCs/>
                <w:sz w:val="20"/>
                <w:szCs w:val="10"/>
                <w:lang w:eastAsia="en-US"/>
              </w:rPr>
              <w:t>Fax: +603 26917551</w:t>
            </w:r>
          </w:p>
          <w:p w14:paraId="46FF1E16" w14:textId="77777777" w:rsidR="009C38E1" w:rsidRPr="00DF2323" w:rsidRDefault="009C38E1" w:rsidP="00BE0479">
            <w:pPr>
              <w:tabs>
                <w:tab w:val="left" w:pos="-720"/>
                <w:tab w:val="left" w:pos="0"/>
                <w:tab w:val="left" w:pos="720"/>
              </w:tabs>
              <w:suppressAutoHyphens/>
              <w:rPr>
                <w:rFonts w:eastAsia="Times New Roman"/>
                <w:bCs/>
                <w:sz w:val="20"/>
                <w:szCs w:val="10"/>
                <w:lang w:eastAsia="en-US"/>
              </w:rPr>
            </w:pPr>
          </w:p>
          <w:p w14:paraId="44320277" w14:textId="77777777" w:rsidR="009C38E1" w:rsidRPr="00DF2323" w:rsidRDefault="009C38E1" w:rsidP="00BE0479">
            <w:pPr>
              <w:rPr>
                <w:rFonts w:eastAsia="Times New Roman"/>
                <w:bCs/>
                <w:sz w:val="20"/>
                <w:szCs w:val="20"/>
                <w:lang w:eastAsia="en-US"/>
              </w:rPr>
            </w:pPr>
            <w:r w:rsidRPr="00DF2323">
              <w:rPr>
                <w:rFonts w:eastAsia="Times New Roman"/>
                <w:bCs/>
                <w:sz w:val="20"/>
                <w:szCs w:val="10"/>
                <w:lang w:eastAsia="en-US"/>
              </w:rPr>
              <w:t>Email: nazrulfahmi@doa.gov.my</w:t>
            </w:r>
          </w:p>
        </w:tc>
      </w:tr>
      <w:tr w:rsidR="009C38E1" w:rsidRPr="00DF2323" w14:paraId="1089818C" w14:textId="77777777" w:rsidTr="00BE0479">
        <w:tblPrEx>
          <w:tblBorders>
            <w:top w:val="none" w:sz="0" w:space="0" w:color="auto"/>
            <w:left w:val="none" w:sz="0" w:space="0" w:color="auto"/>
            <w:bottom w:val="none" w:sz="0" w:space="0" w:color="auto"/>
            <w:right w:val="none" w:sz="0" w:space="0" w:color="auto"/>
          </w:tblBorders>
        </w:tblPrEx>
        <w:trPr>
          <w:gridAfter w:val="1"/>
          <w:wAfter w:w="109" w:type="dxa"/>
          <w:cantSplit/>
          <w:jc w:val="right"/>
        </w:trPr>
        <w:tc>
          <w:tcPr>
            <w:tcW w:w="5292" w:type="dxa"/>
            <w:tcBorders>
              <w:right w:val="single" w:sz="4" w:space="0" w:color="auto"/>
            </w:tcBorders>
          </w:tcPr>
          <w:p w14:paraId="786563C7" w14:textId="77777777" w:rsidR="009C38E1" w:rsidRPr="00DF2323" w:rsidRDefault="009C38E1" w:rsidP="00BE0479">
            <w:pPr>
              <w:rPr>
                <w:rFonts w:eastAsia="Times New Roman"/>
                <w:sz w:val="20"/>
                <w:szCs w:val="20"/>
                <w:lang w:eastAsia="en-US"/>
              </w:rPr>
            </w:pPr>
          </w:p>
        </w:tc>
        <w:tc>
          <w:tcPr>
            <w:tcW w:w="4103" w:type="dxa"/>
            <w:tcBorders>
              <w:left w:val="single" w:sz="4" w:space="0" w:color="auto"/>
            </w:tcBorders>
          </w:tcPr>
          <w:p w14:paraId="64B1B56A" w14:textId="77777777" w:rsidR="009C38E1" w:rsidRPr="00DF2323" w:rsidRDefault="009C38E1" w:rsidP="00BE0479">
            <w:pPr>
              <w:rPr>
                <w:rFonts w:eastAsia="Times New Roman"/>
                <w:sz w:val="20"/>
                <w:szCs w:val="20"/>
                <w:lang w:eastAsia="en-US"/>
              </w:rPr>
            </w:pPr>
          </w:p>
        </w:tc>
      </w:tr>
    </w:tbl>
    <w:p w14:paraId="063B89C4" w14:textId="77777777" w:rsidR="009C38E1" w:rsidRPr="00DF2323" w:rsidRDefault="009C38E1" w:rsidP="009C38E1">
      <w:pPr>
        <w:rPr>
          <w:rFonts w:eastAsia="Times New Roman"/>
          <w:sz w:val="20"/>
          <w:szCs w:val="20"/>
          <w:lang w:eastAsia="en-US"/>
        </w:rPr>
      </w:pPr>
    </w:p>
    <w:tbl>
      <w:tblPr>
        <w:tblW w:w="5000" w:type="pct"/>
        <w:jc w:val="right"/>
        <w:tblLayout w:type="fixed"/>
        <w:tblLook w:val="0000" w:firstRow="0" w:lastRow="0" w:firstColumn="0" w:lastColumn="0" w:noHBand="0" w:noVBand="0"/>
      </w:tblPr>
      <w:tblGrid>
        <w:gridCol w:w="5238"/>
        <w:gridCol w:w="4243"/>
      </w:tblGrid>
      <w:tr w:rsidR="009C38E1" w:rsidRPr="00DF2323" w14:paraId="47D6C1B1" w14:textId="77777777" w:rsidTr="00BE0479">
        <w:trPr>
          <w:cantSplit/>
          <w:jc w:val="right"/>
        </w:trPr>
        <w:tc>
          <w:tcPr>
            <w:tcW w:w="9395" w:type="dxa"/>
            <w:gridSpan w:val="2"/>
            <w:tcBorders>
              <w:top w:val="single" w:sz="6" w:space="0" w:color="auto"/>
              <w:left w:val="single" w:sz="6" w:space="0" w:color="auto"/>
              <w:bottom w:val="single" w:sz="6" w:space="0" w:color="auto"/>
              <w:right w:val="single" w:sz="6" w:space="0" w:color="auto"/>
            </w:tcBorders>
          </w:tcPr>
          <w:p w14:paraId="3520D6A1" w14:textId="77777777" w:rsidR="009C38E1" w:rsidRPr="00DF2323" w:rsidRDefault="009C38E1" w:rsidP="00BE0479">
            <w:pPr>
              <w:widowControl w:val="0"/>
              <w:tabs>
                <w:tab w:val="left" w:pos="1247"/>
                <w:tab w:val="left" w:pos="1814"/>
                <w:tab w:val="left" w:pos="2381"/>
                <w:tab w:val="left" w:pos="2948"/>
                <w:tab w:val="left" w:pos="3515"/>
              </w:tabs>
              <w:spacing w:before="40" w:after="40"/>
              <w:rPr>
                <w:rFonts w:eastAsia="Times New Roman"/>
                <w:b/>
                <w:bCs/>
                <w:i/>
                <w:snapToGrid w:val="0"/>
                <w:lang w:eastAsia="en-US"/>
              </w:rPr>
            </w:pPr>
            <w:r w:rsidRPr="00DF2323">
              <w:rPr>
                <w:rFonts w:eastAsia="Times New Roman"/>
                <w:b/>
                <w:bCs/>
                <w:i/>
                <w:snapToGrid w:val="0"/>
                <w:sz w:val="20"/>
                <w:szCs w:val="20"/>
                <w:lang w:eastAsia="en-US"/>
              </w:rPr>
              <w:t>Mozambique</w:t>
            </w:r>
          </w:p>
        </w:tc>
      </w:tr>
      <w:tr w:rsidR="009C38E1" w:rsidRPr="00DF2323" w14:paraId="43B2D066" w14:textId="77777777" w:rsidTr="00BE0479">
        <w:trPr>
          <w:cantSplit/>
          <w:jc w:val="right"/>
        </w:trPr>
        <w:tc>
          <w:tcPr>
            <w:tcW w:w="5190" w:type="dxa"/>
            <w:tcBorders>
              <w:right w:val="single" w:sz="4" w:space="0" w:color="auto"/>
            </w:tcBorders>
          </w:tcPr>
          <w:p w14:paraId="14D19006" w14:textId="77777777" w:rsidR="009C38E1" w:rsidRPr="00DF2323" w:rsidRDefault="009C38E1" w:rsidP="00BE0479">
            <w:pPr>
              <w:spacing w:before="120"/>
              <w:rPr>
                <w:rFonts w:eastAsia="Times New Roman"/>
                <w:sz w:val="20"/>
                <w:szCs w:val="20"/>
                <w:lang w:eastAsia="en-CA"/>
              </w:rPr>
            </w:pPr>
            <w:r w:rsidRPr="00DF2323">
              <w:rPr>
                <w:rFonts w:eastAsia="Times New Roman"/>
                <w:sz w:val="20"/>
                <w:szCs w:val="20"/>
                <w:lang w:eastAsia="en-CA"/>
              </w:rPr>
              <w:t>Role: DNA Pesticides</w:t>
            </w:r>
          </w:p>
          <w:p w14:paraId="468EFF29" w14:textId="77777777" w:rsidR="009C38E1" w:rsidRPr="00DF2323" w:rsidRDefault="009C38E1" w:rsidP="00BE0479">
            <w:pPr>
              <w:rPr>
                <w:rFonts w:eastAsia="Times New Roman"/>
                <w:sz w:val="20"/>
                <w:szCs w:val="20"/>
                <w:lang w:eastAsia="en-CA"/>
              </w:rPr>
            </w:pPr>
            <w:r w:rsidRPr="00DF2323">
              <w:rPr>
                <w:rFonts w:eastAsia="Times New Roman"/>
                <w:sz w:val="20"/>
                <w:szCs w:val="20"/>
                <w:lang w:eastAsia="en-CA"/>
              </w:rPr>
              <w:t xml:space="preserve">Name: Mr. Khalid Cassam </w:t>
            </w:r>
          </w:p>
          <w:p w14:paraId="76DF9E95" w14:textId="77777777" w:rsidR="009C38E1" w:rsidRPr="00DF2323" w:rsidRDefault="009C38E1" w:rsidP="00BE0479">
            <w:pPr>
              <w:rPr>
                <w:rFonts w:eastAsia="Times New Roman"/>
                <w:sz w:val="20"/>
                <w:szCs w:val="20"/>
                <w:lang w:eastAsia="en-CA"/>
              </w:rPr>
            </w:pPr>
            <w:r w:rsidRPr="00DF2323">
              <w:rPr>
                <w:rFonts w:eastAsia="Times New Roman"/>
                <w:sz w:val="20"/>
                <w:szCs w:val="20"/>
                <w:lang w:eastAsia="en-CA"/>
              </w:rPr>
              <w:t xml:space="preserve">Department: Plant Protection Department </w:t>
            </w:r>
          </w:p>
          <w:p w14:paraId="7BD3C066" w14:textId="77777777" w:rsidR="009C38E1" w:rsidRPr="00DF2323" w:rsidRDefault="009C38E1" w:rsidP="00BE0479">
            <w:pPr>
              <w:rPr>
                <w:rFonts w:eastAsia="Times New Roman"/>
                <w:sz w:val="20"/>
                <w:szCs w:val="20"/>
                <w:lang w:eastAsia="en-CA"/>
              </w:rPr>
            </w:pPr>
            <w:r w:rsidRPr="00DF2323">
              <w:rPr>
                <w:rFonts w:eastAsia="Times New Roman"/>
                <w:sz w:val="20"/>
                <w:szCs w:val="20"/>
                <w:lang w:eastAsia="en-CA"/>
              </w:rPr>
              <w:t xml:space="preserve">Institution: Ministry of Agriculture and Rural Development </w:t>
            </w:r>
          </w:p>
          <w:p w14:paraId="0588F614" w14:textId="77777777" w:rsidR="009C38E1" w:rsidRPr="00DF2323" w:rsidRDefault="009C38E1" w:rsidP="00BE0479">
            <w:pPr>
              <w:rPr>
                <w:i/>
                <w:sz w:val="20"/>
                <w:szCs w:val="20"/>
              </w:rPr>
            </w:pPr>
            <w:r w:rsidRPr="00DF2323">
              <w:rPr>
                <w:sz w:val="20"/>
                <w:szCs w:val="20"/>
              </w:rPr>
              <w:t>Postal address: c/o INIA</w:t>
            </w:r>
            <w:r w:rsidRPr="00DF2323">
              <w:rPr>
                <w:sz w:val="20"/>
                <w:szCs w:val="20"/>
              </w:rPr>
              <w:br/>
              <w:t>P.O. Box 3658</w:t>
            </w:r>
            <w:r w:rsidRPr="00DF2323">
              <w:rPr>
                <w:sz w:val="20"/>
                <w:szCs w:val="20"/>
              </w:rPr>
              <w:br/>
              <w:t>Maputo</w:t>
            </w:r>
            <w:r w:rsidRPr="00DF2323">
              <w:rPr>
                <w:sz w:val="20"/>
                <w:szCs w:val="20"/>
              </w:rPr>
              <w:br/>
              <w:t xml:space="preserve">Mozambique </w:t>
            </w:r>
          </w:p>
        </w:tc>
        <w:tc>
          <w:tcPr>
            <w:tcW w:w="4205" w:type="dxa"/>
            <w:tcBorders>
              <w:left w:val="single" w:sz="4" w:space="0" w:color="auto"/>
            </w:tcBorders>
          </w:tcPr>
          <w:p w14:paraId="72551BD4" w14:textId="77777777" w:rsidR="009C38E1" w:rsidRPr="00DF2323" w:rsidRDefault="009C38E1" w:rsidP="00BE0479">
            <w:pPr>
              <w:rPr>
                <w:sz w:val="20"/>
                <w:szCs w:val="20"/>
              </w:rPr>
            </w:pPr>
          </w:p>
          <w:p w14:paraId="4619878E" w14:textId="77777777" w:rsidR="009C38E1" w:rsidRPr="00DF2323" w:rsidRDefault="009C38E1" w:rsidP="00BE0479">
            <w:pPr>
              <w:rPr>
                <w:rFonts w:eastAsia="Times New Roman"/>
                <w:sz w:val="20"/>
                <w:szCs w:val="20"/>
                <w:lang w:eastAsia="en-CA"/>
              </w:rPr>
            </w:pPr>
            <w:r w:rsidRPr="00DF2323">
              <w:rPr>
                <w:rFonts w:eastAsia="Times New Roman"/>
                <w:sz w:val="20"/>
                <w:szCs w:val="20"/>
                <w:lang w:eastAsia="en-CA"/>
              </w:rPr>
              <w:t xml:space="preserve">Phone: +258 1 46 05 91 </w:t>
            </w:r>
          </w:p>
          <w:p w14:paraId="5C723005" w14:textId="77777777" w:rsidR="009C38E1" w:rsidRPr="00DF2323" w:rsidRDefault="009C38E1" w:rsidP="00BE0479">
            <w:pPr>
              <w:rPr>
                <w:rFonts w:eastAsia="Times New Roman"/>
                <w:sz w:val="20"/>
                <w:szCs w:val="20"/>
                <w:lang w:eastAsia="en-CA"/>
              </w:rPr>
            </w:pPr>
          </w:p>
          <w:p w14:paraId="23A91D10" w14:textId="77777777" w:rsidR="009C38E1" w:rsidRPr="00DF2323" w:rsidRDefault="009C38E1" w:rsidP="00BE0479">
            <w:pPr>
              <w:rPr>
                <w:rFonts w:eastAsia="Times New Roman"/>
                <w:sz w:val="20"/>
                <w:szCs w:val="20"/>
                <w:lang w:eastAsia="en-CA"/>
              </w:rPr>
            </w:pPr>
            <w:r w:rsidRPr="00DF2323">
              <w:rPr>
                <w:rFonts w:eastAsia="Times New Roman"/>
                <w:sz w:val="20"/>
                <w:szCs w:val="20"/>
                <w:lang w:eastAsia="en-CA"/>
              </w:rPr>
              <w:t xml:space="preserve">Fax: +258 1 46 01 95 </w:t>
            </w:r>
          </w:p>
          <w:p w14:paraId="29CCC236" w14:textId="77777777" w:rsidR="009C38E1" w:rsidRPr="00DF2323" w:rsidRDefault="009C38E1" w:rsidP="00BE0479">
            <w:pPr>
              <w:rPr>
                <w:rFonts w:eastAsia="Times New Roman"/>
                <w:sz w:val="20"/>
                <w:szCs w:val="20"/>
                <w:lang w:eastAsia="en-CA"/>
              </w:rPr>
            </w:pPr>
          </w:p>
          <w:p w14:paraId="2F434B77" w14:textId="77777777" w:rsidR="009C38E1" w:rsidRPr="00DF2323" w:rsidRDefault="009C38E1" w:rsidP="00BE0479">
            <w:pPr>
              <w:rPr>
                <w:rFonts w:eastAsia="Times New Roman"/>
                <w:sz w:val="20"/>
                <w:szCs w:val="20"/>
                <w:lang w:eastAsia="en-US"/>
              </w:rPr>
            </w:pPr>
            <w:r w:rsidRPr="00DF2323">
              <w:rPr>
                <w:rFonts w:eastAsia="Times New Roman"/>
                <w:sz w:val="20"/>
                <w:szCs w:val="20"/>
                <w:lang w:eastAsia="en-CA"/>
              </w:rPr>
              <w:t xml:space="preserve">Email: khalidcassam@yahoo.com.br </w:t>
            </w:r>
          </w:p>
        </w:tc>
      </w:tr>
    </w:tbl>
    <w:p w14:paraId="3DF1AD6D" w14:textId="77777777" w:rsidR="009C38E1" w:rsidRPr="00DF2323" w:rsidRDefault="009C38E1" w:rsidP="009C38E1">
      <w:pPr>
        <w:pStyle w:val="Normal-pool"/>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1899"/>
        <w:gridCol w:w="1900"/>
        <w:gridCol w:w="1900"/>
      </w:tblGrid>
      <w:tr w:rsidR="009C38E1" w:rsidRPr="00DF2323" w14:paraId="6DD5C555" w14:textId="77777777" w:rsidTr="00BE0479">
        <w:tc>
          <w:tcPr>
            <w:tcW w:w="1898" w:type="dxa"/>
          </w:tcPr>
          <w:p w14:paraId="7B96F64D" w14:textId="77777777" w:rsidR="009C38E1" w:rsidRPr="00DF2323" w:rsidRDefault="009C38E1" w:rsidP="00BE0479">
            <w:pPr>
              <w:pStyle w:val="Normal-pool"/>
              <w:spacing w:before="520"/>
              <w:rPr>
                <w:lang w:val="en-GB"/>
              </w:rPr>
            </w:pPr>
          </w:p>
        </w:tc>
        <w:tc>
          <w:tcPr>
            <w:tcW w:w="1899" w:type="dxa"/>
          </w:tcPr>
          <w:p w14:paraId="6973E1A7" w14:textId="77777777" w:rsidR="009C38E1" w:rsidRPr="00DF2323" w:rsidRDefault="009C38E1" w:rsidP="00BE0479">
            <w:pPr>
              <w:pStyle w:val="Normal-pool"/>
              <w:spacing w:before="520"/>
              <w:rPr>
                <w:lang w:val="en-GB"/>
              </w:rPr>
            </w:pPr>
          </w:p>
        </w:tc>
        <w:tc>
          <w:tcPr>
            <w:tcW w:w="1899" w:type="dxa"/>
            <w:tcBorders>
              <w:top w:val="nil"/>
              <w:left w:val="nil"/>
              <w:bottom w:val="single" w:sz="4" w:space="0" w:color="auto"/>
              <w:right w:val="nil"/>
            </w:tcBorders>
          </w:tcPr>
          <w:p w14:paraId="1DA4C346" w14:textId="77777777" w:rsidR="009C38E1" w:rsidRPr="00DF2323" w:rsidRDefault="009C38E1" w:rsidP="00BE0479">
            <w:pPr>
              <w:pStyle w:val="Normal-pool"/>
              <w:spacing w:before="520"/>
              <w:rPr>
                <w:lang w:val="en-GB"/>
              </w:rPr>
            </w:pPr>
          </w:p>
        </w:tc>
        <w:tc>
          <w:tcPr>
            <w:tcW w:w="1900" w:type="dxa"/>
          </w:tcPr>
          <w:p w14:paraId="54E414B8" w14:textId="77777777" w:rsidR="009C38E1" w:rsidRPr="00DF2323" w:rsidRDefault="009C38E1" w:rsidP="00BE0479">
            <w:pPr>
              <w:pStyle w:val="Normal-pool"/>
              <w:spacing w:before="520"/>
              <w:rPr>
                <w:lang w:val="en-GB"/>
              </w:rPr>
            </w:pPr>
          </w:p>
        </w:tc>
        <w:tc>
          <w:tcPr>
            <w:tcW w:w="1900" w:type="dxa"/>
          </w:tcPr>
          <w:p w14:paraId="4CFBAAD7" w14:textId="77777777" w:rsidR="009C38E1" w:rsidRPr="00DF2323" w:rsidRDefault="009C38E1" w:rsidP="00BE0479">
            <w:pPr>
              <w:pStyle w:val="Normal-pool"/>
              <w:spacing w:before="520"/>
              <w:rPr>
                <w:lang w:val="en-GB"/>
              </w:rPr>
            </w:pPr>
          </w:p>
        </w:tc>
      </w:tr>
    </w:tbl>
    <w:p w14:paraId="5B729146" w14:textId="77777777" w:rsidR="005828C4" w:rsidRPr="00DF2323" w:rsidRDefault="005828C4" w:rsidP="009C38E1">
      <w:pPr>
        <w:pStyle w:val="Normal-pool"/>
        <w:rPr>
          <w:lang w:val="en-GB"/>
        </w:rPr>
      </w:pPr>
    </w:p>
    <w:sectPr w:rsidR="005828C4" w:rsidRPr="00DF2323" w:rsidSect="00A81EB1">
      <w:headerReference w:type="even" r:id="rId57"/>
      <w:headerReference w:type="default" r:id="rId58"/>
      <w:footerReference w:type="even" r:id="rId59"/>
      <w:footerReference w:type="default" r:id="rId60"/>
      <w:headerReference w:type="first" r:id="rId61"/>
      <w:footerReference w:type="first" r:id="rId62"/>
      <w:pgSz w:w="11907" w:h="16839"/>
      <w:pgMar w:top="907" w:right="992" w:bottom="1418" w:left="1418" w:header="539" w:footer="97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B9318" w14:textId="77777777" w:rsidR="000009E9" w:rsidRPr="00DC2EC2" w:rsidRDefault="000009E9" w:rsidP="00A81EB1">
      <w:pPr>
        <w:rPr>
          <w:lang w:val="en-US"/>
        </w:rPr>
      </w:pPr>
      <w:r w:rsidRPr="00DC2EC2">
        <w:rPr>
          <w:lang w:val="en-US"/>
        </w:rPr>
        <w:separator/>
      </w:r>
    </w:p>
  </w:endnote>
  <w:endnote w:type="continuationSeparator" w:id="0">
    <w:p w14:paraId="73E6F594" w14:textId="77777777" w:rsidR="000009E9" w:rsidRPr="00DC2EC2" w:rsidRDefault="000009E9" w:rsidP="00A81EB1">
      <w:pPr>
        <w:rPr>
          <w:lang w:val="en-US"/>
        </w:rPr>
      </w:pPr>
      <w:r w:rsidRPr="00DC2EC2">
        <w:rPr>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Univers">
    <w:charset w:val="00"/>
    <w:family w:val="swiss"/>
    <w:pitch w:val="variable"/>
    <w:sig w:usb0="80000287" w:usb1="00000000" w:usb2="00000000" w:usb3="00000000" w:csb0="0000000F"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0AABF" w14:textId="77777777" w:rsidR="009C38E1" w:rsidRDefault="009C38E1" w:rsidP="00F72E0A">
    <w:pPr>
      <w:pStyle w:val="Footer-pool"/>
    </w:pPr>
    <w:r w:rsidRPr="00DD49A4">
      <w:rPr>
        <w:rStyle w:val="PageNumber"/>
        <w:b/>
      </w:rPr>
      <w:fldChar w:fldCharType="begin"/>
    </w:r>
    <w:r w:rsidRPr="00DD49A4">
      <w:rPr>
        <w:rStyle w:val="PageNumber"/>
      </w:rPr>
      <w:instrText xml:space="preserve"> PAGE </w:instrText>
    </w:r>
    <w:r w:rsidRPr="00DD49A4">
      <w:rPr>
        <w:rStyle w:val="PageNumber"/>
        <w:b/>
      </w:rPr>
      <w:fldChar w:fldCharType="separate"/>
    </w:r>
    <w:r>
      <w:rPr>
        <w:rStyle w:val="PageNumber"/>
        <w:noProof/>
      </w:rPr>
      <w:t>22</w:t>
    </w:r>
    <w:r w:rsidRPr="00DD49A4">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D6F27" w14:textId="77777777" w:rsidR="009C38E1" w:rsidRDefault="009C38E1" w:rsidP="00AA6543">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66EE2539" w14:textId="77777777" w:rsidR="009C38E1" w:rsidRDefault="009C38E1" w:rsidP="00AA6543">
    <w:pPr>
      <w:pStyle w:val="Footer"/>
      <w:ind w:right="360" w:firstLine="360"/>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3F3FF" w14:textId="7E7928ED" w:rsidR="009C38E1" w:rsidRPr="00266125" w:rsidRDefault="00266125" w:rsidP="00266125">
    <w:pPr>
      <w:pStyle w:val="Normal-pool"/>
    </w:pPr>
    <w:bookmarkStart w:id="8" w:name="FooterJobDate"/>
    <w:r>
      <w:t>K2311544[E]</w:t>
    </w:r>
    <w:r>
      <w:tab/>
      <w:t>270623</w:t>
    </w:r>
    <w:bookmarkEnd w:id="8"/>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66525" w14:textId="76C24BA7" w:rsidR="00A81EB1" w:rsidRPr="00DC2EC2" w:rsidRDefault="00A81EB1" w:rsidP="00A81EB1">
    <w:pPr>
      <w:pStyle w:val="Footer"/>
    </w:pPr>
    <w:r w:rsidRPr="00DC2EC2">
      <w:rPr>
        <w:b/>
      </w:rPr>
      <w:fldChar w:fldCharType="begin"/>
    </w:r>
    <w:r w:rsidRPr="00DC2EC2">
      <w:rPr>
        <w:b/>
      </w:rPr>
      <w:instrText xml:space="preserve"> PAGE </w:instrText>
    </w:r>
    <w:r w:rsidRPr="00DC2EC2">
      <w:rPr>
        <w:b/>
      </w:rPr>
      <w:fldChar w:fldCharType="separate"/>
    </w:r>
    <w:r w:rsidRPr="00DC2EC2">
      <w:rPr>
        <w:b/>
        <w:noProof/>
      </w:rPr>
      <w:t>1</w:t>
    </w:r>
    <w:r w:rsidRPr="00DC2EC2">
      <w:rPr>
        <w:b/>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EBF14" w14:textId="2A2F8713" w:rsidR="00A81EB1" w:rsidRPr="00DC2EC2" w:rsidRDefault="00A81EB1" w:rsidP="00A81EB1">
    <w:pPr>
      <w:pStyle w:val="Footer-pool"/>
      <w:jc w:val="right"/>
    </w:pPr>
    <w:r w:rsidRPr="00DC2EC2">
      <w:fldChar w:fldCharType="begin"/>
    </w:r>
    <w:r w:rsidRPr="00DC2EC2">
      <w:instrText xml:space="preserve"> PAGE \* MERGEFORMAT </w:instrText>
    </w:r>
    <w:r w:rsidRPr="00DC2EC2">
      <w:fldChar w:fldCharType="separate"/>
    </w:r>
    <w:r w:rsidRPr="00DC2EC2">
      <w:rPr>
        <w:noProof/>
      </w:rPr>
      <w:t>1</w:t>
    </w:r>
    <w:r w:rsidRPr="00DC2EC2">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566745"/>
      <w:docPartObj>
        <w:docPartGallery w:val="Page Numbers (Bottom of Page)"/>
        <w:docPartUnique/>
      </w:docPartObj>
    </w:sdtPr>
    <w:sdtEndPr>
      <w:rPr>
        <w:noProof/>
      </w:rPr>
    </w:sdtEndPr>
    <w:sdtContent>
      <w:p w14:paraId="07E004A7" w14:textId="7B7983E0" w:rsidR="0090519C" w:rsidRPr="0090519C" w:rsidRDefault="0090519C" w:rsidP="00214D28">
        <w:pPr>
          <w:pStyle w:val="Footer-pool"/>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ABFC3" w14:textId="77777777" w:rsidR="000009E9" w:rsidRPr="00266125" w:rsidRDefault="000009E9" w:rsidP="00266125">
      <w:pPr>
        <w:spacing w:before="60"/>
        <w:ind w:left="624"/>
        <w:rPr>
          <w:sz w:val="18"/>
          <w:szCs w:val="18"/>
          <w:lang w:val="en-US"/>
        </w:rPr>
      </w:pPr>
      <w:r w:rsidRPr="00266125">
        <w:rPr>
          <w:sz w:val="18"/>
          <w:szCs w:val="18"/>
          <w:lang w:val="en-US"/>
        </w:rPr>
        <w:separator/>
      </w:r>
    </w:p>
  </w:footnote>
  <w:footnote w:type="continuationSeparator" w:id="0">
    <w:p w14:paraId="1298D5E8" w14:textId="77777777" w:rsidR="000009E9" w:rsidRPr="00DC2EC2" w:rsidRDefault="000009E9" w:rsidP="00A81EB1">
      <w:pPr>
        <w:rPr>
          <w:lang w:val="en-US"/>
        </w:rPr>
      </w:pPr>
      <w:r w:rsidRPr="00DC2EC2">
        <w:rPr>
          <w:lang w:val="en-US"/>
        </w:rPr>
        <w:continuationSeparator/>
      </w:r>
    </w:p>
  </w:footnote>
  <w:footnote w:id="1">
    <w:p w14:paraId="73CF7F70" w14:textId="2B68E48A" w:rsidR="005828C4" w:rsidRPr="00266125" w:rsidRDefault="005828C4" w:rsidP="00266125">
      <w:pPr>
        <w:pStyle w:val="FootnoteText"/>
        <w:tabs>
          <w:tab w:val="left" w:pos="624"/>
        </w:tabs>
        <w:rPr>
          <w:szCs w:val="18"/>
        </w:rPr>
      </w:pPr>
      <w:r w:rsidRPr="00266125">
        <w:rPr>
          <w:rStyle w:val="FootnoteReference"/>
          <w:sz w:val="18"/>
          <w:vertAlign w:val="baseline"/>
        </w:rPr>
        <w:t>*</w:t>
      </w:r>
      <w:r w:rsidRPr="00266125">
        <w:rPr>
          <w:szCs w:val="18"/>
        </w:rPr>
        <w:t xml:space="preserve"> UNEP/FAO/RC/CRC.19/1</w:t>
      </w:r>
      <w:r w:rsidR="00311E7A" w:rsidRPr="00266125">
        <w:rPr>
          <w:szCs w:val="18"/>
        </w:rPr>
        <w:t>/Rev.1</w:t>
      </w:r>
      <w:r w:rsidRPr="00266125">
        <w:rPr>
          <w:szCs w:val="18"/>
        </w:rPr>
        <w:t>.</w:t>
      </w:r>
    </w:p>
  </w:footnote>
  <w:footnote w:id="2">
    <w:p w14:paraId="212DD7F3" w14:textId="77777777" w:rsidR="009C38E1" w:rsidRPr="00266125" w:rsidRDefault="009C38E1" w:rsidP="00266125">
      <w:pPr>
        <w:pStyle w:val="Footnote-Text"/>
        <w:rPr>
          <w:szCs w:val="18"/>
        </w:rPr>
      </w:pPr>
      <w:r w:rsidRPr="00266125">
        <w:rPr>
          <w:rStyle w:val="FootnoteReference"/>
          <w:sz w:val="18"/>
        </w:rPr>
        <w:footnoteRef/>
      </w:r>
      <w:r w:rsidRPr="00266125">
        <w:rPr>
          <w:szCs w:val="18"/>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3">
    <w:p w14:paraId="76C258E5" w14:textId="77777777" w:rsidR="009C38E1" w:rsidRPr="00266125" w:rsidRDefault="009C38E1" w:rsidP="00266125">
      <w:pPr>
        <w:pStyle w:val="Footnote-Text"/>
        <w:rPr>
          <w:szCs w:val="18"/>
        </w:rPr>
      </w:pPr>
      <w:r w:rsidRPr="00266125">
        <w:rPr>
          <w:rStyle w:val="FootnoteReference"/>
          <w:sz w:val="18"/>
        </w:rPr>
        <w:footnoteRef/>
      </w:r>
      <w:r w:rsidRPr="00266125">
        <w:rPr>
          <w:szCs w:val="18"/>
        </w:rPr>
        <w:t>According to the Convention, the term “Party” means a State or regional economic integration organization that has consented to be bound by the Convention and for which the Convention is in force.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93E4F" w14:textId="64B82C9C" w:rsidR="009C38E1" w:rsidRDefault="009C38E1" w:rsidP="00F72E0A">
    <w:pPr>
      <w:pStyle w:val="Header-pool"/>
    </w:pPr>
    <w:r w:rsidRPr="00070CED">
      <w:t>UNEP/FAO/RC/CRC.</w:t>
    </w:r>
    <w:r>
      <w:t>19</w:t>
    </w:r>
    <w:r w:rsidRPr="00070CED">
      <w:t>/</w:t>
    </w:r>
    <w:r>
      <w:t>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7663A" w14:textId="08944068" w:rsidR="009C38E1" w:rsidRDefault="009C38E1" w:rsidP="00F72E0A">
    <w:pPr>
      <w:pStyle w:val="Header-pool"/>
      <w:jc w:val="right"/>
    </w:pPr>
    <w:r w:rsidRPr="00070CED">
      <w:t>UNEP/FAO/RC/CRC.</w:t>
    </w:r>
    <w:r>
      <w:t>19</w:t>
    </w:r>
    <w:r w:rsidRPr="00070CED">
      <w:t>/</w:t>
    </w:r>
    <w: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CD26D" w14:textId="7CE12793" w:rsidR="009C38E1" w:rsidRDefault="009C38E1">
    <w:pPr>
      <w:pStyle w:val="Header"/>
      <w:jc w:val="right"/>
      <w:rPr>
        <w:lang w:val="fr-B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232FC" w14:textId="1F320D5A" w:rsidR="00A81EB1" w:rsidRPr="00DC2EC2" w:rsidRDefault="00A81EB1" w:rsidP="00A81EB1">
    <w:pPr>
      <w:pStyle w:val="Header-pool"/>
    </w:pPr>
    <w:r w:rsidRPr="00DC2EC2">
      <w:fldChar w:fldCharType="begin"/>
    </w:r>
    <w:r w:rsidRPr="00DC2EC2">
      <w:instrText xml:space="preserve"> StyleRef A_Symbol </w:instrText>
    </w:r>
    <w:r w:rsidRPr="00DC2EC2">
      <w:fldChar w:fldCharType="separate"/>
    </w:r>
    <w:r w:rsidR="00921868">
      <w:rPr>
        <w:noProof/>
      </w:rPr>
      <w:t>UNEP/FAO/RC/CRC.19/4</w:t>
    </w:r>
    <w:r w:rsidRPr="00DC2EC2">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8562F" w14:textId="0FBFA673" w:rsidR="00A81EB1" w:rsidRPr="00DC2EC2" w:rsidRDefault="00A81EB1" w:rsidP="00A81EB1">
    <w:pPr>
      <w:pStyle w:val="Header-pool"/>
      <w:jc w:val="right"/>
    </w:pPr>
    <w:r w:rsidRPr="00DC2EC2">
      <w:fldChar w:fldCharType="begin"/>
    </w:r>
    <w:r w:rsidRPr="00DC2EC2">
      <w:instrText xml:space="preserve"> StyleRef A_Symbol </w:instrText>
    </w:r>
    <w:r w:rsidRPr="00DC2EC2">
      <w:fldChar w:fldCharType="separate"/>
    </w:r>
    <w:r w:rsidR="00921868">
      <w:rPr>
        <w:noProof/>
      </w:rPr>
      <w:t>UNEP/FAO/RC/CRC.19/4</w:t>
    </w:r>
    <w:r w:rsidRPr="00DC2EC2">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8A96E" w14:textId="3A778031" w:rsidR="0087076C" w:rsidRPr="0087076C" w:rsidRDefault="0087076C" w:rsidP="0087076C">
    <w:pPr>
      <w:pStyle w:val="Header-pool"/>
      <w:jc w:val="right"/>
    </w:pPr>
    <w:r w:rsidRPr="00070CED">
      <w:t>UNEP/FAO/RC/CRC.</w:t>
    </w:r>
    <w:r>
      <w:t>19</w:t>
    </w:r>
    <w:r w:rsidRPr="00070CED">
      <w:t>/</w:t>
    </w:r>
    <w: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E6EDA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17D4703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C0608A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BC1C332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9EBC2A8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2E62D1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4BA9678"/>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54441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EBE00C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2E043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E71CAB"/>
    <w:multiLevelType w:val="hybridMultilevel"/>
    <w:tmpl w:val="669CF9BC"/>
    <w:lvl w:ilvl="0" w:tplc="95043BF8">
      <w:start w:val="1"/>
      <w:numFmt w:val="decimal"/>
      <w:lvlText w:val="%1."/>
      <w:lvlJc w:val="left"/>
      <w:pPr>
        <w:ind w:left="1967" w:hanging="360"/>
      </w:pPr>
      <w:rPr>
        <w:b w:val="0"/>
        <w:i w:val="0"/>
      </w:rPr>
    </w:lvl>
    <w:lvl w:ilvl="1" w:tplc="3FFE7AC2">
      <w:start w:val="1"/>
      <w:numFmt w:val="lowerLetter"/>
      <w:lvlText w:val="(%2)"/>
      <w:lvlJc w:val="left"/>
      <w:pPr>
        <w:ind w:left="2687" w:hanging="360"/>
      </w:pPr>
      <w:rPr>
        <w:rFonts w:ascii="Times New Roman" w:eastAsia="Calibri" w:hAnsi="Times New Roman" w:cs="Times New Roman"/>
      </w:r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11" w15:restartNumberingAfterBreak="0">
    <w:nsid w:val="0F2B23B3"/>
    <w:multiLevelType w:val="hybridMultilevel"/>
    <w:tmpl w:val="7E4CC922"/>
    <w:lvl w:ilvl="0" w:tplc="5A5AB1B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113A7"/>
    <w:multiLevelType w:val="multilevel"/>
    <w:tmpl w:val="C40ECA8E"/>
    <w:lvl w:ilvl="0">
      <w:start w:val="1"/>
      <w:numFmt w:val="decimal"/>
      <w:lvlText w:val="%1."/>
      <w:lvlJc w:val="left"/>
      <w:pPr>
        <w:tabs>
          <w:tab w:val="num" w:pos="567"/>
        </w:tabs>
        <w:ind w:left="1247" w:firstLine="0"/>
      </w:pPr>
      <w:rPr>
        <w:sz w:val="20"/>
        <w:szCs w:val="20"/>
      </w:rPr>
    </w:lvl>
    <w:lvl w:ilvl="1">
      <w:start w:val="1"/>
      <w:numFmt w:val="lowerLetter"/>
      <w:lvlText w:val="(%2)"/>
      <w:lvlJc w:val="left"/>
      <w:pPr>
        <w:tabs>
          <w:tab w:val="num" w:pos="567"/>
        </w:tabs>
        <w:ind w:left="1247" w:firstLine="567"/>
      </w:pPr>
    </w:lvl>
    <w:lvl w:ilvl="2">
      <w:start w:val="1"/>
      <w:numFmt w:val="lowerRoman"/>
      <w:lvlText w:val="(%3)"/>
      <w:lvlJc w:val="left"/>
      <w:pPr>
        <w:tabs>
          <w:tab w:val="num" w:pos="567"/>
        </w:tabs>
        <w:ind w:left="2948" w:hanging="567"/>
      </w:pPr>
    </w:lvl>
    <w:lvl w:ilvl="3">
      <w:start w:val="1"/>
      <w:numFmt w:val="lowerLetter"/>
      <w:lvlText w:val="%4."/>
      <w:lvlJc w:val="left"/>
      <w:pPr>
        <w:tabs>
          <w:tab w:val="num" w:pos="567"/>
        </w:tabs>
        <w:ind w:left="3515" w:hanging="567"/>
      </w:pPr>
    </w:lvl>
    <w:lvl w:ilvl="4">
      <w:start w:val="1"/>
      <w:numFmt w:val="lowerLetter"/>
      <w:lvlText w:val="%5."/>
      <w:lvlJc w:val="left"/>
      <w:pPr>
        <w:tabs>
          <w:tab w:val="num" w:pos="6548"/>
        </w:tabs>
        <w:ind w:left="6548" w:hanging="360"/>
      </w:pPr>
    </w:lvl>
    <w:lvl w:ilvl="5">
      <w:start w:val="1"/>
      <w:numFmt w:val="lowerRoman"/>
      <w:lvlText w:val="%6."/>
      <w:lvlJc w:val="right"/>
      <w:pPr>
        <w:tabs>
          <w:tab w:val="num" w:pos="7268"/>
        </w:tabs>
        <w:ind w:left="7268" w:hanging="180"/>
      </w:pPr>
    </w:lvl>
    <w:lvl w:ilvl="6">
      <w:start w:val="1"/>
      <w:numFmt w:val="decimal"/>
      <w:lvlText w:val="%7."/>
      <w:lvlJc w:val="left"/>
      <w:pPr>
        <w:tabs>
          <w:tab w:val="num" w:pos="7988"/>
        </w:tabs>
        <w:ind w:left="7988" w:hanging="360"/>
      </w:pPr>
    </w:lvl>
    <w:lvl w:ilvl="7">
      <w:start w:val="1"/>
      <w:numFmt w:val="lowerLetter"/>
      <w:lvlText w:val="%8."/>
      <w:lvlJc w:val="left"/>
      <w:pPr>
        <w:tabs>
          <w:tab w:val="num" w:pos="8708"/>
        </w:tabs>
        <w:ind w:left="8708" w:hanging="360"/>
      </w:pPr>
    </w:lvl>
    <w:lvl w:ilvl="8">
      <w:start w:val="1"/>
      <w:numFmt w:val="lowerRoman"/>
      <w:lvlText w:val="%9."/>
      <w:lvlJc w:val="right"/>
      <w:pPr>
        <w:tabs>
          <w:tab w:val="num" w:pos="9428"/>
        </w:tabs>
        <w:ind w:left="9428" w:hanging="180"/>
      </w:pPr>
    </w:lvl>
  </w:abstractNum>
  <w:abstractNum w:abstractNumId="13" w15:restartNumberingAfterBreak="0">
    <w:nsid w:val="1B571867"/>
    <w:multiLevelType w:val="singleLevel"/>
    <w:tmpl w:val="757A4C46"/>
    <w:lvl w:ilvl="0">
      <w:start w:val="1"/>
      <w:numFmt w:val="upperRoman"/>
      <w:lvlText w:val="%1."/>
      <w:lvlJc w:val="left"/>
      <w:pPr>
        <w:tabs>
          <w:tab w:val="num" w:pos="720"/>
        </w:tabs>
        <w:ind w:left="720" w:hanging="720"/>
      </w:pPr>
      <w:rPr>
        <w:rFonts w:hint="default"/>
      </w:rPr>
    </w:lvl>
  </w:abstractNum>
  <w:abstractNum w:abstractNumId="14"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15" w15:restartNumberingAfterBreak="0">
    <w:nsid w:val="29782667"/>
    <w:multiLevelType w:val="hybridMultilevel"/>
    <w:tmpl w:val="3C40EE14"/>
    <w:lvl w:ilvl="0" w:tplc="246C8CD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571603"/>
    <w:multiLevelType w:val="singleLevel"/>
    <w:tmpl w:val="D6A2B7F4"/>
    <w:lvl w:ilvl="0">
      <w:start w:val="6"/>
      <w:numFmt w:val="upperLetter"/>
      <w:lvlText w:val="%1."/>
      <w:lvlJc w:val="left"/>
      <w:pPr>
        <w:tabs>
          <w:tab w:val="num" w:pos="360"/>
        </w:tabs>
        <w:ind w:left="360" w:hanging="360"/>
      </w:pPr>
      <w:rPr>
        <w:rFonts w:hint="default"/>
      </w:rPr>
    </w:lvl>
  </w:abstractNum>
  <w:abstractNum w:abstractNumId="17" w15:restartNumberingAfterBreak="0">
    <w:nsid w:val="3DA51F8C"/>
    <w:multiLevelType w:val="hybridMultilevel"/>
    <w:tmpl w:val="DCFC6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4C0ED0"/>
    <w:multiLevelType w:val="hybridMultilevel"/>
    <w:tmpl w:val="EFECDA58"/>
    <w:lvl w:ilvl="0" w:tplc="08090001">
      <w:start w:val="4"/>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DB70C2"/>
    <w:multiLevelType w:val="hybridMultilevel"/>
    <w:tmpl w:val="34608E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21" w15:restartNumberingAfterBreak="0">
    <w:nsid w:val="62291BF8"/>
    <w:multiLevelType w:val="multilevel"/>
    <w:tmpl w:val="279252A2"/>
    <w:numStyleLink w:val="Normallist"/>
  </w:abstractNum>
  <w:abstractNum w:abstractNumId="22" w15:restartNumberingAfterBreak="0">
    <w:nsid w:val="6B6844B2"/>
    <w:multiLevelType w:val="hybridMultilevel"/>
    <w:tmpl w:val="434C4DE6"/>
    <w:lvl w:ilvl="0" w:tplc="8F74F88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FF7321D"/>
    <w:multiLevelType w:val="multilevel"/>
    <w:tmpl w:val="501C9EA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num w:numId="1" w16cid:durableId="578056380">
    <w:abstractNumId w:val="13"/>
  </w:num>
  <w:num w:numId="2" w16cid:durableId="517894866">
    <w:abstractNumId w:val="16"/>
  </w:num>
  <w:num w:numId="3" w16cid:durableId="881022636">
    <w:abstractNumId w:val="20"/>
  </w:num>
  <w:num w:numId="4" w16cid:durableId="1236353812">
    <w:abstractNumId w:val="21"/>
  </w:num>
  <w:num w:numId="5" w16cid:durableId="399715852">
    <w:abstractNumId w:val="23"/>
  </w:num>
  <w:num w:numId="6" w16cid:durableId="1127744170">
    <w:abstractNumId w:val="22"/>
  </w:num>
  <w:num w:numId="7" w16cid:durableId="13531493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0506814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7449870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484905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8816630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024587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1222797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4088710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5035754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734985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86239681">
    <w:abstractNumId w:val="9"/>
  </w:num>
  <w:num w:numId="18" w16cid:durableId="1583485888">
    <w:abstractNumId w:val="7"/>
  </w:num>
  <w:num w:numId="19" w16cid:durableId="821117866">
    <w:abstractNumId w:val="6"/>
  </w:num>
  <w:num w:numId="20" w16cid:durableId="819200372">
    <w:abstractNumId w:val="5"/>
  </w:num>
  <w:num w:numId="21" w16cid:durableId="1228152775">
    <w:abstractNumId w:val="4"/>
  </w:num>
  <w:num w:numId="22" w16cid:durableId="987586390">
    <w:abstractNumId w:val="8"/>
  </w:num>
  <w:num w:numId="23" w16cid:durableId="1161652316">
    <w:abstractNumId w:val="3"/>
  </w:num>
  <w:num w:numId="24" w16cid:durableId="874543406">
    <w:abstractNumId w:val="2"/>
  </w:num>
  <w:num w:numId="25" w16cid:durableId="594170348">
    <w:abstractNumId w:val="1"/>
  </w:num>
  <w:num w:numId="26" w16cid:durableId="825439340">
    <w:abstractNumId w:val="0"/>
  </w:num>
  <w:num w:numId="27" w16cid:durableId="1695184507">
    <w:abstractNumId w:val="14"/>
  </w:num>
  <w:num w:numId="28" w16cid:durableId="825828529">
    <w:abstractNumId w:val="19"/>
  </w:num>
  <w:num w:numId="29" w16cid:durableId="1436903011">
    <w:abstractNumId w:val="18"/>
  </w:num>
  <w:num w:numId="30" w16cid:durableId="1114255390">
    <w:abstractNumId w:val="11"/>
  </w:num>
  <w:num w:numId="31" w16cid:durableId="565919448">
    <w:abstractNumId w:val="10"/>
  </w:num>
  <w:num w:numId="32" w16cid:durableId="571085045">
    <w:abstractNumId w:val="17"/>
  </w:num>
  <w:num w:numId="33" w16cid:durableId="1276063448">
    <w:abstractNumId w:val="15"/>
  </w:num>
  <w:num w:numId="34" w16cid:durableId="1167403750">
    <w:abstractNumId w:val="12"/>
  </w:num>
  <w:num w:numId="35" w16cid:durableId="205777200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defaultTabStop w:val="624"/>
  <w:hyphenationZone w:val="425"/>
  <w:evenAndOddHeaders/>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EB1"/>
    <w:rsid w:val="000009E9"/>
    <w:rsid w:val="00047985"/>
    <w:rsid w:val="00062089"/>
    <w:rsid w:val="0006498F"/>
    <w:rsid w:val="00115106"/>
    <w:rsid w:val="001244DE"/>
    <w:rsid w:val="00143991"/>
    <w:rsid w:val="00175D89"/>
    <w:rsid w:val="00185610"/>
    <w:rsid w:val="00192E9F"/>
    <w:rsid w:val="001A04E6"/>
    <w:rsid w:val="001C1E84"/>
    <w:rsid w:val="001D281C"/>
    <w:rsid w:val="001E10D8"/>
    <w:rsid w:val="001E130F"/>
    <w:rsid w:val="001E44E2"/>
    <w:rsid w:val="001E5EF4"/>
    <w:rsid w:val="00214D28"/>
    <w:rsid w:val="00256248"/>
    <w:rsid w:val="002611AD"/>
    <w:rsid w:val="00266125"/>
    <w:rsid w:val="002676CE"/>
    <w:rsid w:val="0027247A"/>
    <w:rsid w:val="0028484D"/>
    <w:rsid w:val="00287E9A"/>
    <w:rsid w:val="002A645F"/>
    <w:rsid w:val="00311E7A"/>
    <w:rsid w:val="00356B2B"/>
    <w:rsid w:val="0037673D"/>
    <w:rsid w:val="00385655"/>
    <w:rsid w:val="003F32CF"/>
    <w:rsid w:val="004464BD"/>
    <w:rsid w:val="00462343"/>
    <w:rsid w:val="004A787E"/>
    <w:rsid w:val="004C0714"/>
    <w:rsid w:val="004E00D2"/>
    <w:rsid w:val="005109FE"/>
    <w:rsid w:val="0053276C"/>
    <w:rsid w:val="00540015"/>
    <w:rsid w:val="005828C4"/>
    <w:rsid w:val="005A1CAE"/>
    <w:rsid w:val="005C2910"/>
    <w:rsid w:val="005C5210"/>
    <w:rsid w:val="006111F6"/>
    <w:rsid w:val="00620E06"/>
    <w:rsid w:val="00686D03"/>
    <w:rsid w:val="00693536"/>
    <w:rsid w:val="006D0EE6"/>
    <w:rsid w:val="00761FB8"/>
    <w:rsid w:val="00781B64"/>
    <w:rsid w:val="007F1291"/>
    <w:rsid w:val="008115ED"/>
    <w:rsid w:val="00817A0B"/>
    <w:rsid w:val="008654BB"/>
    <w:rsid w:val="0087076C"/>
    <w:rsid w:val="008C6056"/>
    <w:rsid w:val="008C7399"/>
    <w:rsid w:val="0090519C"/>
    <w:rsid w:val="00921868"/>
    <w:rsid w:val="009472E0"/>
    <w:rsid w:val="009763F3"/>
    <w:rsid w:val="00987D8A"/>
    <w:rsid w:val="009C38E1"/>
    <w:rsid w:val="00A220EF"/>
    <w:rsid w:val="00A238C4"/>
    <w:rsid w:val="00A351F3"/>
    <w:rsid w:val="00A361C7"/>
    <w:rsid w:val="00A41185"/>
    <w:rsid w:val="00A41CFF"/>
    <w:rsid w:val="00A65DEE"/>
    <w:rsid w:val="00A81EB1"/>
    <w:rsid w:val="00AA1235"/>
    <w:rsid w:val="00B020AB"/>
    <w:rsid w:val="00B05999"/>
    <w:rsid w:val="00B55200"/>
    <w:rsid w:val="00B70B2D"/>
    <w:rsid w:val="00B97E7C"/>
    <w:rsid w:val="00BF3EB1"/>
    <w:rsid w:val="00BF62F1"/>
    <w:rsid w:val="00C83C73"/>
    <w:rsid w:val="00C96AB6"/>
    <w:rsid w:val="00CA0147"/>
    <w:rsid w:val="00CD5BBB"/>
    <w:rsid w:val="00D046D0"/>
    <w:rsid w:val="00D857A9"/>
    <w:rsid w:val="00DB6ACF"/>
    <w:rsid w:val="00DC2EC2"/>
    <w:rsid w:val="00DD78FA"/>
    <w:rsid w:val="00DF2323"/>
    <w:rsid w:val="00DF7DFC"/>
    <w:rsid w:val="00E15F22"/>
    <w:rsid w:val="00EA4498"/>
    <w:rsid w:val="00EC26F2"/>
    <w:rsid w:val="00EC34C1"/>
    <w:rsid w:val="00EE12A0"/>
    <w:rsid w:val="00F01C8C"/>
    <w:rsid w:val="00F43FE2"/>
    <w:rsid w:val="00F55249"/>
    <w:rsid w:val="00F554F1"/>
    <w:rsid w:val="00F57668"/>
    <w:rsid w:val="00F737C6"/>
    <w:rsid w:val="00F76E2F"/>
    <w:rsid w:val="00FA1EB2"/>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1"/>
    <o:shapelayout v:ext="edit">
      <o:idmap v:ext="edit" data="2"/>
    </o:shapelayout>
  </w:shapeDefaults>
  <w:decimalSymbol w:val="."/>
  <w:listSeparator w:val=","/>
  <w14:docId w14:val="006302AB"/>
  <w15:chartTrackingRefBased/>
  <w15:docId w15:val="{C77DC92E-9A51-4712-A506-D1CD6EDFD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A220EF"/>
    <w:pPr>
      <w:spacing w:after="0" w:line="240" w:lineRule="auto"/>
    </w:pPr>
    <w:rPr>
      <w:rFonts w:ascii="Times New Roman" w:eastAsia="SimSun" w:hAnsi="Times New Roman" w:cs="Times New Roman"/>
      <w:kern w:val="0"/>
      <w:sz w:val="24"/>
      <w:szCs w:val="24"/>
      <w:lang w:val="en-GB"/>
      <w14:ligatures w14:val="none"/>
    </w:rPr>
  </w:style>
  <w:style w:type="paragraph" w:styleId="Heading1">
    <w:name w:val="heading 1"/>
    <w:basedOn w:val="Normal"/>
    <w:next w:val="Normalnumber"/>
    <w:link w:val="Heading1Char"/>
    <w:semiHidden/>
    <w:qFormat/>
    <w:rsid w:val="00DC2EC2"/>
    <w:pPr>
      <w:keepNext/>
      <w:numPr>
        <w:numId w:val="5"/>
      </w:numPr>
      <w:spacing w:before="240" w:after="120"/>
      <w:outlineLvl w:val="0"/>
    </w:pPr>
    <w:rPr>
      <w:b/>
      <w:sz w:val="28"/>
      <w:lang w:val="en-US"/>
    </w:rPr>
  </w:style>
  <w:style w:type="paragraph" w:styleId="Heading2">
    <w:name w:val="heading 2"/>
    <w:aliases w:val="Chpt"/>
    <w:basedOn w:val="Normal"/>
    <w:next w:val="Normalnumber"/>
    <w:link w:val="Heading2Char"/>
    <w:semiHidden/>
    <w:qFormat/>
    <w:rsid w:val="00DC2EC2"/>
    <w:pPr>
      <w:keepNext/>
      <w:numPr>
        <w:ilvl w:val="1"/>
        <w:numId w:val="5"/>
      </w:numPr>
      <w:spacing w:before="240" w:after="120"/>
      <w:outlineLvl w:val="1"/>
    </w:pPr>
    <w:rPr>
      <w:b/>
      <w:lang w:val="en-US"/>
    </w:rPr>
  </w:style>
  <w:style w:type="paragraph" w:styleId="Heading3">
    <w:name w:val="heading 3"/>
    <w:aliases w:val="Sec"/>
    <w:basedOn w:val="Normal"/>
    <w:next w:val="Normalnumber"/>
    <w:link w:val="Heading3Char"/>
    <w:semiHidden/>
    <w:qFormat/>
    <w:rsid w:val="00DC2EC2"/>
    <w:pPr>
      <w:numPr>
        <w:ilvl w:val="2"/>
        <w:numId w:val="5"/>
      </w:numPr>
      <w:spacing w:after="120"/>
      <w:outlineLvl w:val="2"/>
    </w:pPr>
    <w:rPr>
      <w:b/>
      <w:lang w:val="en-US"/>
    </w:rPr>
  </w:style>
  <w:style w:type="paragraph" w:styleId="Heading4">
    <w:name w:val="heading 4"/>
    <w:aliases w:val="MainPara"/>
    <w:basedOn w:val="Heading3"/>
    <w:next w:val="Normalnumber"/>
    <w:link w:val="Heading4Char"/>
    <w:semiHidden/>
    <w:qFormat/>
    <w:rsid w:val="00DC2EC2"/>
    <w:pPr>
      <w:keepNext/>
      <w:numPr>
        <w:ilvl w:val="3"/>
      </w:numPr>
      <w:outlineLvl w:val="3"/>
    </w:pPr>
  </w:style>
  <w:style w:type="paragraph" w:styleId="Heading5">
    <w:name w:val="heading 5"/>
    <w:aliases w:val="Subpara 2"/>
    <w:basedOn w:val="Normal"/>
    <w:next w:val="Normal"/>
    <w:link w:val="Heading5Char"/>
    <w:semiHidden/>
    <w:qFormat/>
    <w:rsid w:val="00DC2EC2"/>
    <w:pPr>
      <w:keepNext/>
      <w:numPr>
        <w:ilvl w:val="4"/>
        <w:numId w:val="5"/>
      </w:numPr>
      <w:outlineLvl w:val="4"/>
    </w:pPr>
    <w:rPr>
      <w:rFonts w:ascii="Univers" w:hAnsi="Univers"/>
      <w:b/>
      <w:lang w:val="en-US"/>
    </w:rPr>
  </w:style>
  <w:style w:type="paragraph" w:styleId="Heading6">
    <w:name w:val="heading 6"/>
    <w:basedOn w:val="Normal"/>
    <w:next w:val="Normal"/>
    <w:link w:val="Heading6Char"/>
    <w:semiHidden/>
    <w:qFormat/>
    <w:rsid w:val="00DC2EC2"/>
    <w:pPr>
      <w:keepNext/>
      <w:numPr>
        <w:ilvl w:val="5"/>
        <w:numId w:val="5"/>
      </w:numPr>
      <w:outlineLvl w:val="5"/>
    </w:pPr>
    <w:rPr>
      <w:b/>
      <w:bCs/>
      <w:lang w:val="en-US"/>
    </w:rPr>
  </w:style>
  <w:style w:type="paragraph" w:styleId="Heading7">
    <w:name w:val="heading 7"/>
    <w:basedOn w:val="Normal"/>
    <w:next w:val="Normal"/>
    <w:link w:val="Heading7Char"/>
    <w:semiHidden/>
    <w:qFormat/>
    <w:rsid w:val="00DC2EC2"/>
    <w:pPr>
      <w:keepNext/>
      <w:widowControl w:val="0"/>
      <w:numPr>
        <w:ilvl w:val="6"/>
        <w:numId w:val="5"/>
      </w:numPr>
      <w:jc w:val="center"/>
      <w:outlineLvl w:val="6"/>
    </w:pPr>
    <w:rPr>
      <w:snapToGrid w:val="0"/>
      <w:u w:val="single"/>
      <w:lang w:val="en-US"/>
    </w:rPr>
  </w:style>
  <w:style w:type="paragraph" w:styleId="Heading8">
    <w:name w:val="heading 8"/>
    <w:basedOn w:val="Normal"/>
    <w:next w:val="Normal"/>
    <w:link w:val="Heading8Char"/>
    <w:semiHidden/>
    <w:qFormat/>
    <w:rsid w:val="00DC2EC2"/>
    <w:pPr>
      <w:keepNext/>
      <w:widowControl w:val="0"/>
      <w:numPr>
        <w:ilvl w:val="7"/>
        <w:numId w:val="5"/>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link w:val="Heading9Char"/>
    <w:semiHidden/>
    <w:qFormat/>
    <w:rsid w:val="00DC2EC2"/>
    <w:pPr>
      <w:keepNext/>
      <w:widowControl w:val="0"/>
      <w:numPr>
        <w:ilvl w:val="8"/>
        <w:numId w:val="5"/>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semiHidden/>
    <w:rsid w:val="00A220EF"/>
    <w:rPr>
      <w:rFonts w:ascii="Times New Roman" w:eastAsia="SimSun" w:hAnsi="Times New Roman" w:cs="Times New Roman"/>
      <w:b/>
      <w:kern w:val="0"/>
      <w:sz w:val="28"/>
      <w:szCs w:val="24"/>
      <w:lang w:val="en-US"/>
      <w14:ligatures w14:val="none"/>
    </w:rPr>
  </w:style>
  <w:style w:type="character" w:customStyle="1" w:styleId="Heading2Char">
    <w:name w:val="Heading 2 Char"/>
    <w:aliases w:val="Chpt Char"/>
    <w:basedOn w:val="DefaultParagraphFont"/>
    <w:link w:val="Heading2"/>
    <w:semiHidden/>
    <w:rsid w:val="00A220EF"/>
    <w:rPr>
      <w:rFonts w:ascii="Times New Roman" w:eastAsia="SimSun" w:hAnsi="Times New Roman" w:cs="Times New Roman"/>
      <w:b/>
      <w:kern w:val="0"/>
      <w:sz w:val="24"/>
      <w:szCs w:val="24"/>
      <w:lang w:val="en-US"/>
      <w14:ligatures w14:val="none"/>
    </w:rPr>
  </w:style>
  <w:style w:type="character" w:customStyle="1" w:styleId="Heading3Char">
    <w:name w:val="Heading 3 Char"/>
    <w:aliases w:val="Sec Char"/>
    <w:basedOn w:val="DefaultParagraphFont"/>
    <w:link w:val="Heading3"/>
    <w:semiHidden/>
    <w:rsid w:val="00A220EF"/>
    <w:rPr>
      <w:rFonts w:ascii="Times New Roman" w:eastAsia="SimSun" w:hAnsi="Times New Roman" w:cs="Times New Roman"/>
      <w:b/>
      <w:kern w:val="0"/>
      <w:sz w:val="24"/>
      <w:szCs w:val="24"/>
      <w:lang w:val="en-US"/>
      <w14:ligatures w14:val="none"/>
    </w:rPr>
  </w:style>
  <w:style w:type="character" w:customStyle="1" w:styleId="Heading4Char">
    <w:name w:val="Heading 4 Char"/>
    <w:aliases w:val="MainPara Char"/>
    <w:basedOn w:val="DefaultParagraphFont"/>
    <w:link w:val="Heading4"/>
    <w:semiHidden/>
    <w:rsid w:val="00A220EF"/>
    <w:rPr>
      <w:rFonts w:ascii="Times New Roman" w:eastAsia="SimSun" w:hAnsi="Times New Roman" w:cs="Times New Roman"/>
      <w:b/>
      <w:kern w:val="0"/>
      <w:sz w:val="24"/>
      <w:szCs w:val="24"/>
      <w:lang w:val="en-US"/>
      <w14:ligatures w14:val="none"/>
    </w:rPr>
  </w:style>
  <w:style w:type="character" w:customStyle="1" w:styleId="Heading5Char">
    <w:name w:val="Heading 5 Char"/>
    <w:aliases w:val="Subpara 2 Char"/>
    <w:basedOn w:val="DefaultParagraphFont"/>
    <w:link w:val="Heading5"/>
    <w:semiHidden/>
    <w:rsid w:val="00A220EF"/>
    <w:rPr>
      <w:rFonts w:ascii="Univers" w:eastAsia="SimSun" w:hAnsi="Univers" w:cs="Times New Roman"/>
      <w:b/>
      <w:kern w:val="0"/>
      <w:sz w:val="24"/>
      <w:szCs w:val="24"/>
      <w:lang w:val="en-US"/>
      <w14:ligatures w14:val="none"/>
    </w:rPr>
  </w:style>
  <w:style w:type="character" w:customStyle="1" w:styleId="Heading6Char">
    <w:name w:val="Heading 6 Char"/>
    <w:basedOn w:val="DefaultParagraphFont"/>
    <w:link w:val="Heading6"/>
    <w:semiHidden/>
    <w:rsid w:val="00A220EF"/>
    <w:rPr>
      <w:rFonts w:ascii="Times New Roman" w:eastAsia="SimSun" w:hAnsi="Times New Roman" w:cs="Times New Roman"/>
      <w:b/>
      <w:bCs/>
      <w:kern w:val="0"/>
      <w:sz w:val="24"/>
      <w:szCs w:val="24"/>
      <w:lang w:val="en-US"/>
      <w14:ligatures w14:val="none"/>
    </w:rPr>
  </w:style>
  <w:style w:type="character" w:customStyle="1" w:styleId="Heading7Char">
    <w:name w:val="Heading 7 Char"/>
    <w:basedOn w:val="DefaultParagraphFont"/>
    <w:link w:val="Heading7"/>
    <w:semiHidden/>
    <w:rsid w:val="00A220EF"/>
    <w:rPr>
      <w:rFonts w:ascii="Times New Roman" w:eastAsia="SimSun" w:hAnsi="Times New Roman" w:cs="Times New Roman"/>
      <w:snapToGrid w:val="0"/>
      <w:kern w:val="0"/>
      <w:sz w:val="24"/>
      <w:szCs w:val="24"/>
      <w:u w:val="single"/>
      <w:lang w:val="en-US"/>
      <w14:ligatures w14:val="none"/>
    </w:rPr>
  </w:style>
  <w:style w:type="character" w:customStyle="1" w:styleId="Heading8Char">
    <w:name w:val="Heading 8 Char"/>
    <w:basedOn w:val="DefaultParagraphFont"/>
    <w:link w:val="Heading8"/>
    <w:semiHidden/>
    <w:rsid w:val="00A220EF"/>
    <w:rPr>
      <w:rFonts w:ascii="Times New Roman" w:eastAsia="SimSun" w:hAnsi="Times New Roman" w:cs="Times New Roman"/>
      <w:snapToGrid w:val="0"/>
      <w:kern w:val="0"/>
      <w:sz w:val="24"/>
      <w:szCs w:val="24"/>
      <w:u w:val="single"/>
      <w:lang w:val="en-US"/>
      <w14:ligatures w14:val="none"/>
    </w:rPr>
  </w:style>
  <w:style w:type="character" w:customStyle="1" w:styleId="Heading9Char">
    <w:name w:val="Heading 9 Char"/>
    <w:basedOn w:val="DefaultParagraphFont"/>
    <w:link w:val="Heading9"/>
    <w:semiHidden/>
    <w:rsid w:val="00A220EF"/>
    <w:rPr>
      <w:rFonts w:ascii="Times New Roman" w:eastAsia="SimSun" w:hAnsi="Times New Roman" w:cs="Times New Roman"/>
      <w:snapToGrid w:val="0"/>
      <w:kern w:val="0"/>
      <w:sz w:val="24"/>
      <w:szCs w:val="24"/>
      <w:u w:val="single"/>
      <w:lang w:val="en-US"/>
      <w14:ligatures w14:val="none"/>
    </w:rPr>
  </w:style>
  <w:style w:type="character" w:styleId="PageNumber">
    <w:name w:val="page number"/>
    <w:rsid w:val="00DC2EC2"/>
    <w:rPr>
      <w:rFonts w:ascii="Times New Roman" w:hAnsi="Times New Roman"/>
      <w:b/>
      <w:sz w:val="18"/>
      <w:lang w:val="en-US"/>
    </w:rPr>
  </w:style>
  <w:style w:type="table" w:customStyle="1" w:styleId="Tabledocright">
    <w:name w:val="Table_doc_right"/>
    <w:basedOn w:val="TableNormal"/>
    <w:rsid w:val="00DC2EC2"/>
    <w:pPr>
      <w:spacing w:before="40" w:after="40" w:line="240" w:lineRule="auto"/>
    </w:pPr>
    <w:rPr>
      <w:rFonts w:ascii="Times New Roman" w:eastAsia="SimSun" w:hAnsi="Times New Roman" w:cs="Times New Roman"/>
      <w:kern w:val="0"/>
      <w:sz w:val="18"/>
      <w:szCs w:val="18"/>
      <w14:ligatures w14:val="none"/>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DC2EC2"/>
    <w:pPr>
      <w:ind w:left="1000"/>
    </w:pPr>
    <w:rPr>
      <w:sz w:val="18"/>
      <w:szCs w:val="18"/>
    </w:rPr>
  </w:style>
  <w:style w:type="paragraph" w:styleId="TOC7">
    <w:name w:val="toc 7"/>
    <w:basedOn w:val="Normal"/>
    <w:next w:val="Normal"/>
    <w:autoRedefine/>
    <w:semiHidden/>
    <w:rsid w:val="00DC2EC2"/>
    <w:pPr>
      <w:ind w:left="1200"/>
    </w:pPr>
    <w:rPr>
      <w:sz w:val="18"/>
      <w:szCs w:val="18"/>
    </w:rPr>
  </w:style>
  <w:style w:type="paragraph" w:styleId="TOC8">
    <w:name w:val="toc 8"/>
    <w:basedOn w:val="Normal"/>
    <w:next w:val="Normal"/>
    <w:autoRedefine/>
    <w:semiHidden/>
    <w:rsid w:val="00DC2EC2"/>
    <w:pPr>
      <w:ind w:left="1400"/>
    </w:pPr>
    <w:rPr>
      <w:sz w:val="18"/>
      <w:szCs w:val="18"/>
    </w:rPr>
  </w:style>
  <w:style w:type="paragraph" w:styleId="TOC9">
    <w:name w:val="toc 9"/>
    <w:basedOn w:val="Normal"/>
    <w:next w:val="Normal"/>
    <w:autoRedefine/>
    <w:semiHidden/>
    <w:rsid w:val="00DC2EC2"/>
    <w:pPr>
      <w:ind w:left="1600"/>
    </w:pPr>
    <w:rPr>
      <w:sz w:val="18"/>
      <w:szCs w:val="18"/>
    </w:rPr>
  </w:style>
  <w:style w:type="paragraph" w:customStyle="1" w:styleId="Titlefigure">
    <w:name w:val="Title_figure"/>
    <w:basedOn w:val="Titletable"/>
    <w:next w:val="NormalNonumber"/>
    <w:rsid w:val="00DC2EC2"/>
    <w:rPr>
      <w:bCs w:val="0"/>
    </w:rPr>
  </w:style>
  <w:style w:type="paragraph" w:styleId="TableofFigures">
    <w:name w:val="table of figures"/>
    <w:basedOn w:val="Normal"/>
    <w:next w:val="Normal"/>
    <w:autoRedefine/>
    <w:semiHidden/>
    <w:rsid w:val="00DC2EC2"/>
    <w:pPr>
      <w:ind w:left="1814" w:hanging="567"/>
    </w:pPr>
  </w:style>
  <w:style w:type="paragraph" w:customStyle="1" w:styleId="CH1">
    <w:name w:val="CH1"/>
    <w:basedOn w:val="Normal-pool"/>
    <w:next w:val="CH2"/>
    <w:qFormat/>
    <w:rsid w:val="00DC2EC2"/>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qFormat/>
    <w:rsid w:val="00DC2EC2"/>
    <w:pPr>
      <w:keepNext/>
      <w:keepLines/>
      <w:tabs>
        <w:tab w:val="clear" w:pos="624"/>
        <w:tab w:val="right" w:pos="851"/>
      </w:tabs>
      <w:suppressAutoHyphens/>
      <w:spacing w:before="240" w:after="120"/>
      <w:ind w:left="1247" w:right="284" w:hanging="1247"/>
    </w:pPr>
    <w:rPr>
      <w:b/>
      <w:sz w:val="24"/>
      <w:szCs w:val="24"/>
    </w:rPr>
  </w:style>
  <w:style w:type="paragraph" w:customStyle="1" w:styleId="CH3">
    <w:name w:val="CH3"/>
    <w:basedOn w:val="Normal-pool"/>
    <w:next w:val="Normalnumber"/>
    <w:qFormat/>
    <w:rsid w:val="00DC2EC2"/>
    <w:pPr>
      <w:keepNext/>
      <w:keepLines/>
      <w:tabs>
        <w:tab w:val="clear" w:pos="624"/>
        <w:tab w:val="right" w:pos="851"/>
      </w:tabs>
      <w:suppressAutoHyphens/>
      <w:spacing w:before="240" w:after="120"/>
      <w:ind w:left="1247" w:right="284" w:hanging="1247"/>
    </w:pPr>
    <w:rPr>
      <w:b/>
    </w:rPr>
  </w:style>
  <w:style w:type="paragraph" w:customStyle="1" w:styleId="CH4">
    <w:name w:val="CH4"/>
    <w:basedOn w:val="Normal-pool"/>
    <w:next w:val="Normalnumber"/>
    <w:rsid w:val="00DC2EC2"/>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DC2EC2"/>
    <w:pPr>
      <w:spacing w:after="0" w:line="240" w:lineRule="auto"/>
    </w:pPr>
    <w:rPr>
      <w:rFonts w:ascii="Arial" w:eastAsia="SimSun" w:hAnsi="Arial" w:cs="Times New Roman"/>
      <w:kern w:val="0"/>
      <w:sz w:val="16"/>
      <w:szCs w:val="20"/>
      <w14:ligatures w14:val="none"/>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rsid w:val="00DC2EC2"/>
    <w:pPr>
      <w:keepNext/>
      <w:keepLines/>
      <w:tabs>
        <w:tab w:val="right" w:pos="851"/>
        <w:tab w:val="left" w:pos="4082"/>
      </w:tabs>
      <w:suppressAutoHyphens/>
      <w:spacing w:after="120"/>
      <w:ind w:left="1247" w:right="284" w:hanging="1247"/>
    </w:pPr>
    <w:rPr>
      <w:b/>
      <w:lang w:val="en-US"/>
    </w:rPr>
  </w:style>
  <w:style w:type="paragraph" w:customStyle="1" w:styleId="Footerpool">
    <w:name w:val="Footer_pool"/>
    <w:basedOn w:val="Normal"/>
    <w:next w:val="Normal"/>
    <w:semiHidden/>
    <w:rsid w:val="00DC2EC2"/>
    <w:pPr>
      <w:tabs>
        <w:tab w:val="left" w:pos="4321"/>
        <w:tab w:val="right" w:pos="8641"/>
      </w:tabs>
      <w:spacing w:before="60" w:after="120"/>
    </w:pPr>
    <w:rPr>
      <w:b/>
      <w:sz w:val="18"/>
      <w:lang w:val="en-US"/>
    </w:rPr>
  </w:style>
  <w:style w:type="paragraph" w:customStyle="1" w:styleId="Footer-pool">
    <w:name w:val="Footer-pool"/>
    <w:basedOn w:val="Normal"/>
    <w:next w:val="Normal"/>
    <w:rsid w:val="00DC2EC2"/>
    <w:pPr>
      <w:tabs>
        <w:tab w:val="right" w:pos="8641"/>
      </w:tabs>
      <w:spacing w:after="120"/>
    </w:pPr>
    <w:rPr>
      <w:b/>
      <w:sz w:val="18"/>
      <w:lang w:val="en-US"/>
    </w:rPr>
  </w:style>
  <w:style w:type="paragraph" w:customStyle="1" w:styleId="Header-pool">
    <w:name w:val="Header-pool"/>
    <w:basedOn w:val="Normal"/>
    <w:next w:val="Normal"/>
    <w:semiHidden/>
    <w:rsid w:val="00DC2EC2"/>
    <w:pPr>
      <w:pBdr>
        <w:bottom w:val="single" w:sz="4" w:space="1" w:color="auto"/>
      </w:pBdr>
      <w:tabs>
        <w:tab w:val="right" w:pos="9072"/>
      </w:tabs>
      <w:spacing w:after="120"/>
    </w:pPr>
    <w:rPr>
      <w:b/>
      <w:sz w:val="18"/>
      <w:lang w:val="en-US"/>
    </w:rPr>
  </w:style>
  <w:style w:type="paragraph" w:customStyle="1" w:styleId="Normal-pool">
    <w:name w:val="Normal-pool"/>
    <w:link w:val="Normal-poolChar"/>
    <w:qFormat/>
    <w:rsid w:val="00DC2EC2"/>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val="en-US" w:eastAsia="en-US"/>
      <w14:ligatures w14:val="none"/>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stylish,Footnote symbol"/>
    <w:uiPriority w:val="99"/>
    <w:qFormat/>
    <w:rsid w:val="00DC2EC2"/>
    <w:rPr>
      <w:rFonts w:ascii="Times New Roman" w:hAnsi="Times New Roman"/>
      <w:color w:val="auto"/>
      <w:sz w:val="20"/>
      <w:szCs w:val="18"/>
      <w:vertAlign w:val="superscript"/>
      <w:lang w:val="en-US"/>
    </w:rPr>
  </w:style>
  <w:style w:type="paragraph" w:styleId="FootnoteText">
    <w:name w:val="footnote text"/>
    <w:aliases w:val="DNV-FT,Geneva 9,Font: Geneva 9,Boston 10,f,fn,Footnotes,Footnote ak,ft,fn cafc,Footnotes Char Char,Footnote Text Char Char,fn Char Char,footnote text Char Char Char Ch,Footnote Text Char1,footnote text Char Char Char Ch Char,-E Fußnotente"/>
    <w:basedOn w:val="Normal"/>
    <w:link w:val="FootnoteTextChar"/>
    <w:uiPriority w:val="99"/>
    <w:rsid w:val="00DC2EC2"/>
    <w:pPr>
      <w:tabs>
        <w:tab w:val="left" w:pos="4082"/>
      </w:tabs>
      <w:spacing w:before="20" w:after="40"/>
      <w:ind w:left="1247"/>
    </w:pPr>
    <w:rPr>
      <w:sz w:val="18"/>
      <w:lang w:val="en-US"/>
    </w:rPr>
  </w:style>
  <w:style w:type="character" w:customStyle="1" w:styleId="FootnoteTextChar">
    <w:name w:val="Footnote Text Char"/>
    <w:aliases w:val="DNV-FT Char,Geneva 9 Char,Font: Geneva 9 Char,Boston 10 Char,f Char,fn Char,Footnotes Char,Footnote ak Char,ft Char,fn cafc Char,Footnotes Char Char Char,Footnote Text Char Char Char,fn Char Char Char,Footnote Text Char1 Char"/>
    <w:basedOn w:val="DefaultParagraphFont"/>
    <w:link w:val="FootnoteText"/>
    <w:uiPriority w:val="99"/>
    <w:rsid w:val="00DC2EC2"/>
    <w:rPr>
      <w:rFonts w:ascii="Times New Roman" w:eastAsia="Times New Roman" w:hAnsi="Times New Roman" w:cs="Times New Roman"/>
      <w:kern w:val="0"/>
      <w:sz w:val="18"/>
      <w:szCs w:val="20"/>
      <w:lang w:eastAsia="en-US"/>
      <w14:ligatures w14:val="none"/>
    </w:rPr>
  </w:style>
  <w:style w:type="table" w:customStyle="1" w:styleId="AATable">
    <w:name w:val="AA_Table"/>
    <w:basedOn w:val="TableNormal"/>
    <w:semiHidden/>
    <w:rsid w:val="00DC2EC2"/>
    <w:pPr>
      <w:spacing w:after="0" w:line="240" w:lineRule="auto"/>
    </w:pPr>
    <w:rPr>
      <w:rFonts w:ascii="Times New Roman" w:eastAsia="SimSun" w:hAnsi="Times New Roman" w:cs="Times New Roman"/>
      <w:kern w:val="0"/>
      <w:sz w:val="20"/>
      <w:szCs w:val="20"/>
      <w14:ligatures w14:val="none"/>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qFormat/>
    <w:rsid w:val="00DC2EC2"/>
    <w:pPr>
      <w:keepNext/>
      <w:keepLines/>
      <w:suppressAutoHyphens/>
    </w:pPr>
    <w:rPr>
      <w:b/>
    </w:rPr>
  </w:style>
  <w:style w:type="paragraph" w:customStyle="1" w:styleId="AATitle2">
    <w:name w:val="AA_Title2"/>
    <w:basedOn w:val="AATitle"/>
    <w:qFormat/>
    <w:rsid w:val="00DC2EC2"/>
    <w:pPr>
      <w:keepNext w:val="0"/>
      <w:keepLines w:val="0"/>
      <w:spacing w:before="120" w:after="120"/>
    </w:pPr>
  </w:style>
  <w:style w:type="paragraph" w:customStyle="1" w:styleId="BBTitle">
    <w:name w:val="BB_Title"/>
    <w:basedOn w:val="Normal-pool"/>
    <w:qFormat/>
    <w:rsid w:val="00DC2EC2"/>
    <w:pPr>
      <w:keepNext/>
      <w:keepLines/>
      <w:suppressAutoHyphens/>
      <w:spacing w:before="320" w:after="240"/>
      <w:ind w:left="1247" w:right="567"/>
    </w:pPr>
    <w:rPr>
      <w:b/>
      <w:sz w:val="28"/>
      <w:szCs w:val="28"/>
    </w:rPr>
  </w:style>
  <w:style w:type="paragraph" w:styleId="Footer">
    <w:name w:val="footer"/>
    <w:basedOn w:val="Normal"/>
    <w:link w:val="FooterChar"/>
    <w:uiPriority w:val="99"/>
    <w:rsid w:val="00DC2EC2"/>
    <w:pPr>
      <w:tabs>
        <w:tab w:val="center" w:pos="4320"/>
        <w:tab w:val="right" w:pos="8640"/>
      </w:tabs>
      <w:spacing w:before="60" w:after="120"/>
    </w:pPr>
    <w:rPr>
      <w:sz w:val="18"/>
      <w:lang w:val="en-US"/>
    </w:rPr>
  </w:style>
  <w:style w:type="character" w:customStyle="1" w:styleId="FooterChar">
    <w:name w:val="Footer Char"/>
    <w:basedOn w:val="DefaultParagraphFont"/>
    <w:link w:val="Footer"/>
    <w:uiPriority w:val="99"/>
    <w:rsid w:val="00DC2EC2"/>
    <w:rPr>
      <w:rFonts w:ascii="Times New Roman" w:eastAsia="Times New Roman" w:hAnsi="Times New Roman" w:cs="Times New Roman"/>
      <w:kern w:val="0"/>
      <w:sz w:val="18"/>
      <w:szCs w:val="20"/>
      <w:lang w:eastAsia="en-US"/>
      <w14:ligatures w14:val="none"/>
    </w:rPr>
  </w:style>
  <w:style w:type="paragraph" w:styleId="Header">
    <w:name w:val="header"/>
    <w:basedOn w:val="Normal"/>
    <w:link w:val="HeaderChar"/>
    <w:semiHidden/>
    <w:rsid w:val="00DC2EC2"/>
    <w:pPr>
      <w:tabs>
        <w:tab w:val="center" w:pos="4536"/>
        <w:tab w:val="right" w:pos="9072"/>
      </w:tabs>
    </w:pPr>
    <w:rPr>
      <w:b/>
      <w:sz w:val="18"/>
      <w:lang w:val="en-US"/>
    </w:rPr>
  </w:style>
  <w:style w:type="character" w:customStyle="1" w:styleId="HeaderChar">
    <w:name w:val="Header Char"/>
    <w:basedOn w:val="DefaultParagraphFont"/>
    <w:link w:val="Header"/>
    <w:semiHidden/>
    <w:rsid w:val="00DC2EC2"/>
    <w:rPr>
      <w:rFonts w:ascii="Times New Roman" w:eastAsia="Times New Roman" w:hAnsi="Times New Roman" w:cs="Times New Roman"/>
      <w:b/>
      <w:kern w:val="0"/>
      <w:sz w:val="18"/>
      <w:szCs w:val="20"/>
      <w:lang w:eastAsia="en-US"/>
      <w14:ligatures w14:val="none"/>
    </w:rPr>
  </w:style>
  <w:style w:type="character" w:styleId="Hyperlink">
    <w:name w:val="Hyperlink"/>
    <w:uiPriority w:val="99"/>
    <w:unhideWhenUsed/>
    <w:rsid w:val="00DC2EC2"/>
    <w:rPr>
      <w:rFonts w:ascii="Times New Roman" w:hAnsi="Times New Roman"/>
      <w:color w:val="0000FF"/>
      <w:sz w:val="20"/>
      <w:szCs w:val="20"/>
      <w:u w:val="none"/>
      <w:lang w:val="en-US"/>
    </w:rPr>
  </w:style>
  <w:style w:type="numbering" w:customStyle="1" w:styleId="Normallist">
    <w:name w:val="Normal_list"/>
    <w:basedOn w:val="NoList"/>
    <w:rsid w:val="00DC2EC2"/>
    <w:pPr>
      <w:numPr>
        <w:numId w:val="3"/>
      </w:numPr>
    </w:pPr>
  </w:style>
  <w:style w:type="paragraph" w:customStyle="1" w:styleId="NormalNonumber">
    <w:name w:val="Normal_No_number"/>
    <w:basedOn w:val="Normal-pool"/>
    <w:qFormat/>
    <w:rsid w:val="00DC2EC2"/>
    <w:pPr>
      <w:spacing w:after="120"/>
      <w:ind w:left="1247"/>
    </w:pPr>
  </w:style>
  <w:style w:type="paragraph" w:customStyle="1" w:styleId="Normalnumber">
    <w:name w:val="Normal_number"/>
    <w:basedOn w:val="Normal"/>
    <w:link w:val="NormalnumberChar"/>
    <w:rsid w:val="00DC2EC2"/>
    <w:pPr>
      <w:numPr>
        <w:numId w:val="3"/>
      </w:numPr>
      <w:spacing w:after="120"/>
    </w:pPr>
  </w:style>
  <w:style w:type="paragraph" w:customStyle="1" w:styleId="Titletable">
    <w:name w:val="Title_table"/>
    <w:basedOn w:val="Normal-pool"/>
    <w:next w:val="NormalNonumber"/>
    <w:rsid w:val="00DC2EC2"/>
    <w:pPr>
      <w:keepNext/>
      <w:keepLines/>
      <w:suppressAutoHyphens/>
      <w:spacing w:after="60"/>
      <w:ind w:left="1247"/>
    </w:pPr>
    <w:rPr>
      <w:b/>
      <w:bCs/>
    </w:rPr>
  </w:style>
  <w:style w:type="paragraph" w:styleId="TOC1">
    <w:name w:val="toc 1"/>
    <w:basedOn w:val="Normal-pool"/>
    <w:next w:val="Normal-pool"/>
    <w:uiPriority w:val="39"/>
    <w:unhideWhenUsed/>
    <w:rsid w:val="00DC2EC2"/>
    <w:pPr>
      <w:tabs>
        <w:tab w:val="right" w:leader="dot" w:pos="9486"/>
      </w:tabs>
      <w:spacing w:before="240"/>
      <w:ind w:left="1814" w:hanging="567"/>
    </w:pPr>
    <w:rPr>
      <w:bCs/>
    </w:rPr>
  </w:style>
  <w:style w:type="paragraph" w:styleId="TOC2">
    <w:name w:val="toc 2"/>
    <w:basedOn w:val="Normal-pool"/>
    <w:next w:val="Normal-pool"/>
    <w:uiPriority w:val="39"/>
    <w:unhideWhenUsed/>
    <w:rsid w:val="00DC2EC2"/>
    <w:pPr>
      <w:tabs>
        <w:tab w:val="right" w:leader="dot" w:pos="9486"/>
      </w:tabs>
      <w:ind w:left="2381" w:hanging="567"/>
    </w:pPr>
  </w:style>
  <w:style w:type="paragraph" w:styleId="TOC3">
    <w:name w:val="toc 3"/>
    <w:basedOn w:val="Normal-pool"/>
    <w:next w:val="Normal-pool"/>
    <w:semiHidden/>
    <w:rsid w:val="00DC2EC2"/>
    <w:pPr>
      <w:tabs>
        <w:tab w:val="right" w:leader="dot" w:pos="9486"/>
      </w:tabs>
      <w:ind w:left="2948" w:hanging="567"/>
    </w:pPr>
    <w:rPr>
      <w:iCs/>
    </w:rPr>
  </w:style>
  <w:style w:type="paragraph" w:styleId="TOC4">
    <w:name w:val="toc 4"/>
    <w:basedOn w:val="Normal-pool"/>
    <w:next w:val="Normal-pool"/>
    <w:semiHidden/>
    <w:rsid w:val="00DC2EC2"/>
    <w:pPr>
      <w:tabs>
        <w:tab w:val="left" w:pos="1000"/>
        <w:tab w:val="right" w:leader="dot" w:pos="9486"/>
      </w:tabs>
      <w:ind w:left="3515" w:hanging="567"/>
    </w:pPr>
    <w:rPr>
      <w:szCs w:val="18"/>
    </w:rPr>
  </w:style>
  <w:style w:type="paragraph" w:styleId="TOC5">
    <w:name w:val="toc 5"/>
    <w:basedOn w:val="Normal-pool"/>
    <w:next w:val="Normal-pool"/>
    <w:semiHidden/>
    <w:rsid w:val="00DC2EC2"/>
    <w:pPr>
      <w:ind w:left="800"/>
    </w:pPr>
    <w:rPr>
      <w:sz w:val="18"/>
      <w:szCs w:val="18"/>
    </w:rPr>
  </w:style>
  <w:style w:type="paragraph" w:customStyle="1" w:styleId="ZZAnxheader">
    <w:name w:val="ZZ_Anx_header"/>
    <w:basedOn w:val="Normal-pool"/>
    <w:rsid w:val="00DC2EC2"/>
    <w:rPr>
      <w:b/>
      <w:bCs/>
      <w:sz w:val="28"/>
      <w:szCs w:val="22"/>
    </w:rPr>
  </w:style>
  <w:style w:type="paragraph" w:customStyle="1" w:styleId="ZZAnxtitle">
    <w:name w:val="ZZ_Anx_title"/>
    <w:basedOn w:val="Normal-pool"/>
    <w:rsid w:val="00DC2EC2"/>
    <w:pPr>
      <w:spacing w:before="360" w:after="120"/>
      <w:ind w:left="1247"/>
    </w:pPr>
    <w:rPr>
      <w:b/>
      <w:bCs/>
      <w:sz w:val="28"/>
      <w:szCs w:val="26"/>
    </w:rPr>
  </w:style>
  <w:style w:type="paragraph" w:styleId="NormalWeb">
    <w:name w:val="Normal (Web)"/>
    <w:basedOn w:val="Normal"/>
    <w:uiPriority w:val="99"/>
    <w:unhideWhenUsed/>
    <w:rsid w:val="00DC2EC2"/>
    <w:pPr>
      <w:spacing w:before="100" w:beforeAutospacing="1" w:after="100" w:afterAutospacing="1"/>
    </w:pPr>
    <w:rPr>
      <w:rFonts w:eastAsiaTheme="minorEastAsia"/>
    </w:rPr>
  </w:style>
  <w:style w:type="paragraph" w:customStyle="1" w:styleId="Normal-pool-Table">
    <w:name w:val="Normal-pool-Table"/>
    <w:basedOn w:val="Normal-pool"/>
    <w:rsid w:val="00DC2EC2"/>
    <w:pPr>
      <w:spacing w:before="40" w:after="40"/>
    </w:pPr>
    <w:rPr>
      <w:sz w:val="18"/>
    </w:rPr>
  </w:style>
  <w:style w:type="paragraph" w:customStyle="1" w:styleId="Footnote-Text">
    <w:name w:val="Footnote-Text"/>
    <w:basedOn w:val="Normal-pool"/>
    <w:rsid w:val="00DC2EC2"/>
    <w:pPr>
      <w:spacing w:before="20" w:after="40"/>
      <w:ind w:left="1247"/>
    </w:pPr>
    <w:rPr>
      <w:sz w:val="18"/>
    </w:rPr>
  </w:style>
  <w:style w:type="character" w:customStyle="1" w:styleId="Normal-poolChar">
    <w:name w:val="Normal-pool Char"/>
    <w:link w:val="Normal-pool"/>
    <w:locked/>
    <w:rsid w:val="00DC2EC2"/>
    <w:rPr>
      <w:rFonts w:ascii="Times New Roman" w:eastAsia="Times New Roman" w:hAnsi="Times New Roman" w:cs="Times New Roman"/>
      <w:kern w:val="0"/>
      <w:sz w:val="20"/>
      <w:szCs w:val="20"/>
      <w:lang w:val="en-US" w:eastAsia="en-US"/>
      <w14:ligatures w14:val="none"/>
    </w:rPr>
  </w:style>
  <w:style w:type="paragraph" w:customStyle="1" w:styleId="AConvName">
    <w:name w:val="A_ConvName"/>
    <w:basedOn w:val="Normal-pool"/>
    <w:next w:val="Normal-pool"/>
    <w:rsid w:val="00DC2EC2"/>
    <w:pPr>
      <w:spacing w:before="120" w:after="240"/>
    </w:pPr>
    <w:rPr>
      <w:rFonts w:ascii="Arial" w:hAnsi="Arial"/>
      <w:b/>
      <w:sz w:val="28"/>
    </w:rPr>
  </w:style>
  <w:style w:type="paragraph" w:customStyle="1" w:styleId="ASymbol">
    <w:name w:val="A_Symbol"/>
    <w:basedOn w:val="Normal-pool"/>
    <w:rsid w:val="00DC2EC2"/>
    <w:pPr>
      <w:tabs>
        <w:tab w:val="clear" w:pos="624"/>
        <w:tab w:val="clear" w:pos="1247"/>
        <w:tab w:val="right" w:pos="2920"/>
      </w:tabs>
    </w:pPr>
    <w:rPr>
      <w:rFonts w:eastAsia="SimSun"/>
    </w:rPr>
  </w:style>
  <w:style w:type="paragraph" w:customStyle="1" w:styleId="AText">
    <w:name w:val="A_Text"/>
    <w:basedOn w:val="Normal-pool"/>
    <w:rsid w:val="00DC2EC2"/>
    <w:pPr>
      <w:spacing w:before="120"/>
    </w:pPr>
  </w:style>
  <w:style w:type="paragraph" w:customStyle="1" w:styleId="ATwoLetters">
    <w:name w:val="A_TwoLetters"/>
    <w:basedOn w:val="Normal-pool"/>
    <w:next w:val="Normal-pool"/>
    <w:rsid w:val="00DC2EC2"/>
    <w:pPr>
      <w:tabs>
        <w:tab w:val="clear" w:pos="1247"/>
      </w:tabs>
      <w:jc w:val="right"/>
    </w:pPr>
    <w:rPr>
      <w:rFonts w:ascii="Arial" w:hAnsi="Arial" w:cs="Arial"/>
      <w:b/>
      <w:caps/>
      <w:sz w:val="64"/>
      <w:szCs w:val="64"/>
    </w:rPr>
  </w:style>
  <w:style w:type="paragraph" w:customStyle="1" w:styleId="AUnitedNations">
    <w:name w:val="A_United_Nations"/>
    <w:basedOn w:val="Normal-pool"/>
    <w:next w:val="Normal-pool"/>
    <w:rsid w:val="00DC2EC2"/>
    <w:pPr>
      <w:tabs>
        <w:tab w:val="clear" w:pos="1247"/>
      </w:tabs>
      <w:spacing w:before="20" w:after="20"/>
    </w:pPr>
    <w:rPr>
      <w:rFonts w:ascii="Arial" w:hAnsi="Arial" w:cs="Times New Roman Bold"/>
      <w:b/>
      <w:caps/>
      <w:color w:val="000000" w:themeColor="text1"/>
      <w:sz w:val="27"/>
    </w:rPr>
  </w:style>
  <w:style w:type="paragraph" w:styleId="BalloonText">
    <w:name w:val="Balloon Text"/>
    <w:basedOn w:val="Normal"/>
    <w:link w:val="BalloonTextChar"/>
    <w:semiHidden/>
    <w:rsid w:val="00DC2EC2"/>
    <w:rPr>
      <w:rFonts w:ascii="Tahoma" w:hAnsi="Tahoma" w:cs="Tahoma"/>
      <w:sz w:val="16"/>
      <w:szCs w:val="16"/>
      <w:lang w:val="en-US"/>
    </w:rPr>
  </w:style>
  <w:style w:type="character" w:customStyle="1" w:styleId="BalloonTextChar">
    <w:name w:val="Balloon Text Char"/>
    <w:basedOn w:val="DefaultParagraphFont"/>
    <w:link w:val="BalloonText"/>
    <w:semiHidden/>
    <w:rsid w:val="00A220EF"/>
    <w:rPr>
      <w:rFonts w:ascii="Tahoma" w:eastAsia="SimSun" w:hAnsi="Tahoma" w:cs="Tahoma"/>
      <w:kern w:val="0"/>
      <w:sz w:val="16"/>
      <w:szCs w:val="16"/>
      <w:lang w:val="en-US"/>
      <w14:ligatures w14:val="none"/>
    </w:rPr>
  </w:style>
  <w:style w:type="character" w:styleId="CommentReference">
    <w:name w:val="annotation reference"/>
    <w:basedOn w:val="DefaultParagraphFont"/>
    <w:semiHidden/>
    <w:unhideWhenUsed/>
    <w:rsid w:val="00DC2EC2"/>
    <w:rPr>
      <w:sz w:val="16"/>
      <w:szCs w:val="16"/>
      <w:lang w:val="en-US"/>
    </w:rPr>
  </w:style>
  <w:style w:type="paragraph" w:styleId="CommentText">
    <w:name w:val="annotation text"/>
    <w:basedOn w:val="Normal"/>
    <w:link w:val="CommentTextChar"/>
    <w:unhideWhenUsed/>
    <w:rsid w:val="00DC2EC2"/>
    <w:rPr>
      <w:lang w:val="en-US"/>
    </w:rPr>
  </w:style>
  <w:style w:type="character" w:customStyle="1" w:styleId="CommentTextChar">
    <w:name w:val="Comment Text Char"/>
    <w:basedOn w:val="DefaultParagraphFont"/>
    <w:link w:val="CommentText"/>
    <w:rsid w:val="00DC2EC2"/>
    <w:rPr>
      <w:rFonts w:ascii="Times New Roman" w:eastAsia="Times New Roman" w:hAnsi="Times New Roman" w:cs="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rsid w:val="00DC2EC2"/>
    <w:rPr>
      <w:b/>
      <w:bCs/>
    </w:rPr>
  </w:style>
  <w:style w:type="character" w:customStyle="1" w:styleId="CommentSubjectChar">
    <w:name w:val="Comment Subject Char"/>
    <w:basedOn w:val="CommentTextChar"/>
    <w:link w:val="CommentSubject"/>
    <w:uiPriority w:val="99"/>
    <w:semiHidden/>
    <w:rsid w:val="00A220EF"/>
    <w:rPr>
      <w:rFonts w:ascii="Times New Roman" w:eastAsia="SimSun" w:hAnsi="Times New Roman" w:cs="Times New Roman"/>
      <w:b/>
      <w:bCs/>
      <w:kern w:val="0"/>
      <w:sz w:val="24"/>
      <w:szCs w:val="24"/>
      <w:lang w:val="en-US" w:eastAsia="en-US"/>
      <w14:ligatures w14:val="none"/>
    </w:rPr>
  </w:style>
  <w:style w:type="character" w:styleId="FollowedHyperlink">
    <w:name w:val="FollowedHyperlink"/>
    <w:semiHidden/>
    <w:rsid w:val="00DC2EC2"/>
    <w:rPr>
      <w:color w:val="0000FF"/>
      <w:u w:val="none"/>
      <w:lang w:val="en-US"/>
    </w:rPr>
  </w:style>
  <w:style w:type="paragraph" w:styleId="ListParagraph">
    <w:name w:val="List Paragraph"/>
    <w:basedOn w:val="Normal"/>
    <w:uiPriority w:val="34"/>
    <w:qFormat/>
    <w:rsid w:val="00DC2EC2"/>
    <w:pPr>
      <w:ind w:left="720"/>
      <w:contextualSpacing/>
    </w:pPr>
    <w:rPr>
      <w:lang w:val="en-US"/>
    </w:rPr>
  </w:style>
  <w:style w:type="paragraph" w:styleId="NoSpacing">
    <w:name w:val="No Spacing"/>
    <w:uiPriority w:val="1"/>
    <w:semiHidden/>
    <w:qFormat/>
    <w:rsid w:val="00DC2EC2"/>
    <w:pPr>
      <w:spacing w:after="0" w:line="240" w:lineRule="auto"/>
    </w:pPr>
    <w:rPr>
      <w:rFonts w:eastAsiaTheme="minorHAnsi"/>
      <w:kern w:val="0"/>
      <w:lang w:val="en-US" w:eastAsia="en-US"/>
      <w14:ligatures w14:val="none"/>
    </w:rPr>
  </w:style>
  <w:style w:type="character" w:customStyle="1" w:styleId="NormalnumberChar">
    <w:name w:val="Normal_number Char"/>
    <w:link w:val="Normalnumber"/>
    <w:rsid w:val="00DC2EC2"/>
    <w:rPr>
      <w:rFonts w:ascii="Times New Roman" w:eastAsia="Times New Roman" w:hAnsi="Times New Roman" w:cs="Times New Roman"/>
      <w:kern w:val="0"/>
      <w:sz w:val="20"/>
      <w:szCs w:val="20"/>
      <w:lang w:val="en-US" w:eastAsia="en-US"/>
      <w14:ligatures w14:val="none"/>
    </w:rPr>
  </w:style>
  <w:style w:type="character" w:styleId="PlaceholderText">
    <w:name w:val="Placeholder Text"/>
    <w:basedOn w:val="DefaultParagraphFont"/>
    <w:uiPriority w:val="99"/>
    <w:semiHidden/>
    <w:rsid w:val="00DC2EC2"/>
    <w:rPr>
      <w:color w:val="808080"/>
    </w:rPr>
  </w:style>
  <w:style w:type="table" w:styleId="TableGrid">
    <w:name w:val="Table Grid"/>
    <w:basedOn w:val="TableNormal"/>
    <w:rsid w:val="00DC2EC2"/>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ogo">
    <w:name w:val="A_Logo"/>
    <w:basedOn w:val="Normal-pool"/>
    <w:link w:val="ALogoChar"/>
    <w:qFormat/>
    <w:rsid w:val="00DC2EC2"/>
    <w:pPr>
      <w:spacing w:before="120" w:after="240"/>
    </w:pPr>
  </w:style>
  <w:style w:type="character" w:customStyle="1" w:styleId="ALogoChar">
    <w:name w:val="A_Logo Char"/>
    <w:basedOn w:val="Normal-poolChar"/>
    <w:link w:val="ALogo"/>
    <w:rsid w:val="00DC2EC2"/>
    <w:rPr>
      <w:rFonts w:ascii="Times New Roman" w:eastAsia="Times New Roman" w:hAnsi="Times New Roman" w:cs="Times New Roman"/>
      <w:kern w:val="0"/>
      <w:sz w:val="20"/>
      <w:szCs w:val="20"/>
      <w:lang w:val="en-US" w:eastAsia="en-US"/>
      <w14:ligatures w14:val="none"/>
    </w:rPr>
  </w:style>
  <w:style w:type="paragraph" w:customStyle="1" w:styleId="ASpacer">
    <w:name w:val="A_Spacer"/>
    <w:basedOn w:val="Normal-pool"/>
    <w:link w:val="ASpacerChar"/>
    <w:qFormat/>
    <w:rsid w:val="00DC2EC2"/>
    <w:rPr>
      <w:sz w:val="2"/>
    </w:rPr>
  </w:style>
  <w:style w:type="character" w:customStyle="1" w:styleId="ASpacerChar">
    <w:name w:val="A_Spacer Char"/>
    <w:basedOn w:val="Normal-poolChar"/>
    <w:link w:val="ASpacer"/>
    <w:rsid w:val="00DC2EC2"/>
    <w:rPr>
      <w:rFonts w:ascii="Times New Roman" w:eastAsia="Times New Roman" w:hAnsi="Times New Roman" w:cs="Times New Roman"/>
      <w:kern w:val="0"/>
      <w:sz w:val="2"/>
      <w:szCs w:val="20"/>
      <w:lang w:val="en-US" w:eastAsia="en-US"/>
      <w14:ligatures w14:val="none"/>
    </w:rPr>
  </w:style>
  <w:style w:type="paragraph" w:customStyle="1" w:styleId="AATitle1">
    <w:name w:val="AA_Title1"/>
    <w:basedOn w:val="Normal-pool"/>
    <w:qFormat/>
    <w:rsid w:val="00DC2EC2"/>
  </w:style>
  <w:style w:type="character" w:styleId="UnresolvedMention">
    <w:name w:val="Unresolved Mention"/>
    <w:basedOn w:val="DefaultParagraphFont"/>
    <w:uiPriority w:val="99"/>
    <w:semiHidden/>
    <w:rsid w:val="00DC2EC2"/>
    <w:rPr>
      <w:color w:val="605E5C"/>
      <w:shd w:val="clear" w:color="auto" w:fill="E1DFDD"/>
    </w:rPr>
  </w:style>
  <w:style w:type="paragraph" w:customStyle="1" w:styleId="ANormal">
    <w:name w:val="A_Normal"/>
    <w:basedOn w:val="Normal-pool"/>
    <w:qFormat/>
    <w:rsid w:val="00DC2EC2"/>
  </w:style>
  <w:style w:type="paragraph" w:styleId="Bibliography">
    <w:name w:val="Bibliography"/>
    <w:basedOn w:val="Normal"/>
    <w:next w:val="Normal"/>
    <w:uiPriority w:val="37"/>
    <w:semiHidden/>
    <w:unhideWhenUsed/>
    <w:rsid w:val="00A81EB1"/>
    <w:rPr>
      <w:lang w:val="en-US"/>
    </w:rPr>
  </w:style>
  <w:style w:type="paragraph" w:styleId="BlockText">
    <w:name w:val="Block Text"/>
    <w:basedOn w:val="Normal"/>
    <w:uiPriority w:val="99"/>
    <w:semiHidden/>
    <w:unhideWhenUsed/>
    <w:rsid w:val="00A81EB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lang w:val="en-US"/>
    </w:rPr>
  </w:style>
  <w:style w:type="paragraph" w:styleId="BodyText">
    <w:name w:val="Body Text"/>
    <w:basedOn w:val="Normal"/>
    <w:link w:val="BodyTextChar"/>
    <w:semiHidden/>
    <w:rsid w:val="00A81EB1"/>
    <w:pPr>
      <w:spacing w:after="120"/>
    </w:pPr>
    <w:rPr>
      <w:lang w:val="en-US"/>
    </w:rPr>
  </w:style>
  <w:style w:type="character" w:customStyle="1" w:styleId="BodyTextChar">
    <w:name w:val="Body Text Char"/>
    <w:basedOn w:val="DefaultParagraphFont"/>
    <w:link w:val="BodyText"/>
    <w:semiHidden/>
    <w:rsid w:val="00A220EF"/>
    <w:rPr>
      <w:rFonts w:ascii="Times New Roman" w:eastAsia="SimSun" w:hAnsi="Times New Roman" w:cs="Times New Roman"/>
      <w:kern w:val="0"/>
      <w:sz w:val="24"/>
      <w:szCs w:val="24"/>
      <w:lang w:val="en-US"/>
      <w14:ligatures w14:val="none"/>
    </w:rPr>
  </w:style>
  <w:style w:type="paragraph" w:styleId="BodyText2">
    <w:name w:val="Body Text 2"/>
    <w:basedOn w:val="Normal"/>
    <w:link w:val="BodyText2Char"/>
    <w:semiHidden/>
    <w:rsid w:val="00A81EB1"/>
    <w:pPr>
      <w:spacing w:after="120" w:line="480" w:lineRule="auto"/>
    </w:pPr>
    <w:rPr>
      <w:lang w:val="en-US"/>
    </w:rPr>
  </w:style>
  <w:style w:type="character" w:customStyle="1" w:styleId="BodyText2Char">
    <w:name w:val="Body Text 2 Char"/>
    <w:basedOn w:val="DefaultParagraphFont"/>
    <w:link w:val="BodyText2"/>
    <w:semiHidden/>
    <w:rsid w:val="00A220EF"/>
    <w:rPr>
      <w:rFonts w:ascii="Times New Roman" w:eastAsia="SimSun" w:hAnsi="Times New Roman" w:cs="Times New Roman"/>
      <w:kern w:val="0"/>
      <w:sz w:val="24"/>
      <w:szCs w:val="24"/>
      <w:lang w:val="en-US"/>
      <w14:ligatures w14:val="none"/>
    </w:rPr>
  </w:style>
  <w:style w:type="paragraph" w:styleId="BodyText3">
    <w:name w:val="Body Text 3"/>
    <w:basedOn w:val="Normal"/>
    <w:link w:val="BodyText3Char"/>
    <w:semiHidden/>
    <w:rsid w:val="00A81EB1"/>
    <w:pPr>
      <w:spacing w:after="120"/>
    </w:pPr>
    <w:rPr>
      <w:sz w:val="16"/>
      <w:szCs w:val="16"/>
      <w:lang w:val="en-US"/>
    </w:rPr>
  </w:style>
  <w:style w:type="character" w:customStyle="1" w:styleId="BodyText3Char">
    <w:name w:val="Body Text 3 Char"/>
    <w:basedOn w:val="DefaultParagraphFont"/>
    <w:link w:val="BodyText3"/>
    <w:semiHidden/>
    <w:rsid w:val="00A220EF"/>
    <w:rPr>
      <w:rFonts w:ascii="Times New Roman" w:eastAsia="SimSun" w:hAnsi="Times New Roman" w:cs="Times New Roman"/>
      <w:kern w:val="0"/>
      <w:sz w:val="16"/>
      <w:szCs w:val="16"/>
      <w:lang w:val="en-US"/>
      <w14:ligatures w14:val="none"/>
    </w:rPr>
  </w:style>
  <w:style w:type="paragraph" w:styleId="BodyTextFirstIndent">
    <w:name w:val="Body Text First Indent"/>
    <w:basedOn w:val="BodyText"/>
    <w:link w:val="BodyTextFirstIndentChar"/>
    <w:uiPriority w:val="99"/>
    <w:semiHidden/>
    <w:unhideWhenUsed/>
    <w:rsid w:val="00A81EB1"/>
    <w:pPr>
      <w:spacing w:after="0"/>
      <w:ind w:firstLine="360"/>
    </w:pPr>
  </w:style>
  <w:style w:type="character" w:customStyle="1" w:styleId="BodyTextFirstIndentChar">
    <w:name w:val="Body Text First Indent Char"/>
    <w:basedOn w:val="BodyTextChar"/>
    <w:link w:val="BodyTextFirstIndent"/>
    <w:uiPriority w:val="99"/>
    <w:semiHidden/>
    <w:rsid w:val="00A81EB1"/>
    <w:rPr>
      <w:rFonts w:ascii="Times New Roman" w:eastAsia="Times New Roman" w:hAnsi="Times New Roman" w:cs="Times New Roman"/>
      <w:kern w:val="0"/>
      <w:sz w:val="20"/>
      <w:szCs w:val="20"/>
      <w:lang w:val="en-US" w:eastAsia="en-US"/>
      <w14:ligatures w14:val="none"/>
    </w:rPr>
  </w:style>
  <w:style w:type="paragraph" w:styleId="BodyTextIndent">
    <w:name w:val="Body Text Indent"/>
    <w:basedOn w:val="Normal"/>
    <w:link w:val="BodyTextIndentChar"/>
    <w:semiHidden/>
    <w:rsid w:val="00A81EB1"/>
    <w:pPr>
      <w:spacing w:after="120"/>
      <w:ind w:left="283"/>
    </w:pPr>
    <w:rPr>
      <w:lang w:val="en-US"/>
    </w:rPr>
  </w:style>
  <w:style w:type="character" w:customStyle="1" w:styleId="BodyTextIndentChar">
    <w:name w:val="Body Text Indent Char"/>
    <w:basedOn w:val="DefaultParagraphFont"/>
    <w:link w:val="BodyTextIndent"/>
    <w:semiHidden/>
    <w:rsid w:val="00A220EF"/>
    <w:rPr>
      <w:rFonts w:ascii="Times New Roman" w:eastAsia="SimSun" w:hAnsi="Times New Roman" w:cs="Times New Roman"/>
      <w:kern w:val="0"/>
      <w:sz w:val="24"/>
      <w:szCs w:val="24"/>
      <w:lang w:val="en-US"/>
      <w14:ligatures w14:val="none"/>
    </w:rPr>
  </w:style>
  <w:style w:type="paragraph" w:styleId="BodyTextFirstIndent2">
    <w:name w:val="Body Text First Indent 2"/>
    <w:basedOn w:val="BodyTextIndent"/>
    <w:link w:val="BodyTextFirstIndent2Char"/>
    <w:uiPriority w:val="99"/>
    <w:semiHidden/>
    <w:unhideWhenUsed/>
    <w:rsid w:val="00A81EB1"/>
    <w:pPr>
      <w:spacing w:after="0"/>
      <w:ind w:left="360" w:firstLine="360"/>
    </w:pPr>
  </w:style>
  <w:style w:type="character" w:customStyle="1" w:styleId="BodyTextFirstIndent2Char">
    <w:name w:val="Body Text First Indent 2 Char"/>
    <w:basedOn w:val="BodyTextIndentChar"/>
    <w:link w:val="BodyTextFirstIndent2"/>
    <w:uiPriority w:val="99"/>
    <w:semiHidden/>
    <w:rsid w:val="00A81EB1"/>
    <w:rPr>
      <w:rFonts w:ascii="Times New Roman" w:eastAsia="Times New Roman" w:hAnsi="Times New Roman" w:cs="Times New Roman"/>
      <w:kern w:val="0"/>
      <w:sz w:val="20"/>
      <w:szCs w:val="20"/>
      <w:lang w:val="en-US" w:eastAsia="en-US"/>
      <w14:ligatures w14:val="none"/>
    </w:rPr>
  </w:style>
  <w:style w:type="paragraph" w:styleId="BodyTextIndent2">
    <w:name w:val="Body Text Indent 2"/>
    <w:basedOn w:val="Normal"/>
    <w:link w:val="BodyTextIndent2Char"/>
    <w:semiHidden/>
    <w:rsid w:val="00A81EB1"/>
    <w:pPr>
      <w:spacing w:after="120" w:line="480" w:lineRule="auto"/>
      <w:ind w:left="283"/>
    </w:pPr>
    <w:rPr>
      <w:lang w:val="en-US"/>
    </w:rPr>
  </w:style>
  <w:style w:type="character" w:customStyle="1" w:styleId="BodyTextIndent2Char">
    <w:name w:val="Body Text Indent 2 Char"/>
    <w:basedOn w:val="DefaultParagraphFont"/>
    <w:link w:val="BodyTextIndent2"/>
    <w:semiHidden/>
    <w:rsid w:val="00A220EF"/>
    <w:rPr>
      <w:rFonts w:ascii="Times New Roman" w:eastAsia="SimSun" w:hAnsi="Times New Roman" w:cs="Times New Roman"/>
      <w:kern w:val="0"/>
      <w:sz w:val="24"/>
      <w:szCs w:val="24"/>
      <w:lang w:val="en-US"/>
      <w14:ligatures w14:val="none"/>
    </w:rPr>
  </w:style>
  <w:style w:type="paragraph" w:styleId="BodyTextIndent3">
    <w:name w:val="Body Text Indent 3"/>
    <w:basedOn w:val="Normal"/>
    <w:link w:val="BodyTextIndent3Char"/>
    <w:semiHidden/>
    <w:rsid w:val="00A81EB1"/>
    <w:pPr>
      <w:spacing w:after="120"/>
      <w:ind w:left="283"/>
    </w:pPr>
    <w:rPr>
      <w:sz w:val="16"/>
      <w:szCs w:val="16"/>
      <w:lang w:val="en-US"/>
    </w:rPr>
  </w:style>
  <w:style w:type="character" w:customStyle="1" w:styleId="BodyTextIndent3Char">
    <w:name w:val="Body Text Indent 3 Char"/>
    <w:basedOn w:val="DefaultParagraphFont"/>
    <w:link w:val="BodyTextIndent3"/>
    <w:semiHidden/>
    <w:rsid w:val="00A220EF"/>
    <w:rPr>
      <w:rFonts w:ascii="Times New Roman" w:eastAsia="SimSun" w:hAnsi="Times New Roman" w:cs="Times New Roman"/>
      <w:kern w:val="0"/>
      <w:sz w:val="16"/>
      <w:szCs w:val="16"/>
      <w:lang w:val="en-US"/>
      <w14:ligatures w14:val="none"/>
    </w:rPr>
  </w:style>
  <w:style w:type="character" w:styleId="BookTitle">
    <w:name w:val="Book Title"/>
    <w:basedOn w:val="DefaultParagraphFont"/>
    <w:uiPriority w:val="33"/>
    <w:qFormat/>
    <w:rsid w:val="00A81EB1"/>
    <w:rPr>
      <w:b/>
      <w:bCs/>
      <w:i/>
      <w:iCs/>
      <w:spacing w:val="5"/>
      <w:lang w:val="en-US"/>
    </w:rPr>
  </w:style>
  <w:style w:type="paragraph" w:styleId="Caption">
    <w:name w:val="caption"/>
    <w:basedOn w:val="Normal"/>
    <w:next w:val="Normal"/>
    <w:semiHidden/>
    <w:unhideWhenUsed/>
    <w:qFormat/>
    <w:rsid w:val="00A81EB1"/>
    <w:pPr>
      <w:spacing w:after="200"/>
    </w:pPr>
    <w:rPr>
      <w:i/>
      <w:iCs/>
      <w:color w:val="44546A" w:themeColor="text2"/>
      <w:sz w:val="18"/>
      <w:szCs w:val="18"/>
      <w:lang w:val="en-US"/>
    </w:rPr>
  </w:style>
  <w:style w:type="paragraph" w:styleId="Closing">
    <w:name w:val="Closing"/>
    <w:basedOn w:val="Normal"/>
    <w:link w:val="ClosingChar"/>
    <w:uiPriority w:val="99"/>
    <w:semiHidden/>
    <w:unhideWhenUsed/>
    <w:rsid w:val="00A81EB1"/>
    <w:pPr>
      <w:ind w:left="4252"/>
    </w:pPr>
    <w:rPr>
      <w:lang w:val="en-US"/>
    </w:rPr>
  </w:style>
  <w:style w:type="character" w:customStyle="1" w:styleId="ClosingChar">
    <w:name w:val="Closing Char"/>
    <w:basedOn w:val="DefaultParagraphFont"/>
    <w:link w:val="Closing"/>
    <w:uiPriority w:val="99"/>
    <w:semiHidden/>
    <w:rsid w:val="00A81EB1"/>
    <w:rPr>
      <w:rFonts w:ascii="Times New Roman" w:eastAsia="Times New Roman" w:hAnsi="Times New Roman" w:cs="Times New Roman"/>
      <w:kern w:val="0"/>
      <w:sz w:val="20"/>
      <w:szCs w:val="20"/>
      <w:lang w:val="en-US" w:eastAsia="en-US"/>
      <w14:ligatures w14:val="none"/>
    </w:rPr>
  </w:style>
  <w:style w:type="table" w:styleId="ColorfulGrid">
    <w:name w:val="Colorful Grid"/>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A81EB1"/>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A81EB1"/>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A81EB1"/>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A81EB1"/>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rsid w:val="00A81EB1"/>
    <w:rPr>
      <w:lang w:val="en-US"/>
    </w:rPr>
  </w:style>
  <w:style w:type="character" w:customStyle="1" w:styleId="DateChar">
    <w:name w:val="Date Char"/>
    <w:basedOn w:val="DefaultParagraphFont"/>
    <w:link w:val="Date"/>
    <w:uiPriority w:val="99"/>
    <w:semiHidden/>
    <w:rsid w:val="00A81EB1"/>
    <w:rPr>
      <w:rFonts w:ascii="Times New Roman" w:eastAsia="Times New Roman" w:hAnsi="Times New Roman" w:cs="Times New Roman"/>
      <w:kern w:val="0"/>
      <w:sz w:val="20"/>
      <w:szCs w:val="20"/>
      <w:lang w:val="en-US" w:eastAsia="en-US"/>
      <w14:ligatures w14:val="none"/>
    </w:rPr>
  </w:style>
  <w:style w:type="paragraph" w:styleId="DocumentMap">
    <w:name w:val="Document Map"/>
    <w:basedOn w:val="Normal"/>
    <w:link w:val="DocumentMapChar"/>
    <w:semiHidden/>
    <w:rsid w:val="00A81EB1"/>
    <w:rPr>
      <w:rFonts w:ascii="Segoe UI" w:hAnsi="Segoe UI" w:cs="Segoe UI"/>
      <w:sz w:val="16"/>
      <w:szCs w:val="16"/>
      <w:lang w:val="en-US"/>
    </w:rPr>
  </w:style>
  <w:style w:type="character" w:customStyle="1" w:styleId="DocumentMapChar">
    <w:name w:val="Document Map Char"/>
    <w:basedOn w:val="DefaultParagraphFont"/>
    <w:link w:val="DocumentMap"/>
    <w:semiHidden/>
    <w:rsid w:val="00A220EF"/>
    <w:rPr>
      <w:rFonts w:ascii="Segoe UI" w:eastAsia="SimSun" w:hAnsi="Segoe UI" w:cs="Segoe UI"/>
      <w:kern w:val="0"/>
      <w:sz w:val="16"/>
      <w:szCs w:val="16"/>
      <w:lang w:val="en-US"/>
      <w14:ligatures w14:val="none"/>
    </w:rPr>
  </w:style>
  <w:style w:type="paragraph" w:styleId="E-mailSignature">
    <w:name w:val="E-mail Signature"/>
    <w:basedOn w:val="Normal"/>
    <w:link w:val="E-mailSignatureChar"/>
    <w:uiPriority w:val="99"/>
    <w:semiHidden/>
    <w:unhideWhenUsed/>
    <w:rsid w:val="00A81EB1"/>
    <w:rPr>
      <w:lang w:val="en-US"/>
    </w:rPr>
  </w:style>
  <w:style w:type="character" w:customStyle="1" w:styleId="E-mailSignatureChar">
    <w:name w:val="E-mail Signature Char"/>
    <w:basedOn w:val="DefaultParagraphFont"/>
    <w:link w:val="E-mailSignature"/>
    <w:uiPriority w:val="99"/>
    <w:semiHidden/>
    <w:rsid w:val="00A81EB1"/>
    <w:rPr>
      <w:rFonts w:ascii="Times New Roman" w:eastAsia="Times New Roman" w:hAnsi="Times New Roman" w:cs="Times New Roman"/>
      <w:kern w:val="0"/>
      <w:sz w:val="20"/>
      <w:szCs w:val="20"/>
      <w:lang w:eastAsia="en-US"/>
      <w14:ligatures w14:val="none"/>
    </w:rPr>
  </w:style>
  <w:style w:type="character" w:styleId="Emphasis">
    <w:name w:val="Emphasis"/>
    <w:basedOn w:val="DefaultParagraphFont"/>
    <w:uiPriority w:val="20"/>
    <w:qFormat/>
    <w:rsid w:val="00A81EB1"/>
    <w:rPr>
      <w:i/>
      <w:iCs/>
    </w:rPr>
  </w:style>
  <w:style w:type="character" w:styleId="EndnoteReference">
    <w:name w:val="endnote reference"/>
    <w:basedOn w:val="DefaultParagraphFont"/>
    <w:semiHidden/>
    <w:rsid w:val="00A81EB1"/>
    <w:rPr>
      <w:vertAlign w:val="superscript"/>
    </w:rPr>
  </w:style>
  <w:style w:type="paragraph" w:styleId="EndnoteText">
    <w:name w:val="endnote text"/>
    <w:basedOn w:val="Normal"/>
    <w:link w:val="EndnoteTextChar"/>
    <w:semiHidden/>
    <w:rsid w:val="00A81EB1"/>
    <w:rPr>
      <w:lang w:val="en-US"/>
    </w:rPr>
  </w:style>
  <w:style w:type="character" w:customStyle="1" w:styleId="EndnoteTextChar">
    <w:name w:val="Endnote Text Char"/>
    <w:basedOn w:val="DefaultParagraphFont"/>
    <w:link w:val="EndnoteText"/>
    <w:semiHidden/>
    <w:rsid w:val="00A220EF"/>
    <w:rPr>
      <w:rFonts w:ascii="Times New Roman" w:eastAsia="SimSun" w:hAnsi="Times New Roman" w:cs="Times New Roman"/>
      <w:kern w:val="0"/>
      <w:sz w:val="24"/>
      <w:szCs w:val="24"/>
      <w:lang w:val="en-US"/>
      <w14:ligatures w14:val="none"/>
    </w:rPr>
  </w:style>
  <w:style w:type="paragraph" w:styleId="EnvelopeAddress">
    <w:name w:val="envelope address"/>
    <w:basedOn w:val="Normal"/>
    <w:uiPriority w:val="99"/>
    <w:semiHidden/>
    <w:unhideWhenUsed/>
    <w:rsid w:val="00A81EB1"/>
    <w:pPr>
      <w:framePr w:w="7938" w:h="1985" w:hRule="exact" w:hSpace="141" w:wrap="auto" w:hAnchor="page" w:xAlign="center" w:yAlign="bottom"/>
      <w:ind w:left="2835"/>
    </w:pPr>
    <w:rPr>
      <w:rFonts w:asciiTheme="majorHAnsi" w:eastAsiaTheme="majorEastAsia" w:hAnsiTheme="majorHAnsi" w:cstheme="majorBidi"/>
      <w:lang w:val="en-US"/>
    </w:rPr>
  </w:style>
  <w:style w:type="paragraph" w:styleId="EnvelopeReturn">
    <w:name w:val="envelope return"/>
    <w:basedOn w:val="Normal"/>
    <w:uiPriority w:val="99"/>
    <w:semiHidden/>
    <w:unhideWhenUsed/>
    <w:rsid w:val="00A81EB1"/>
    <w:rPr>
      <w:rFonts w:asciiTheme="majorHAnsi" w:eastAsiaTheme="majorEastAsia" w:hAnsiTheme="majorHAnsi" w:cstheme="majorBidi"/>
      <w:lang w:val="en-US"/>
    </w:rPr>
  </w:style>
  <w:style w:type="table" w:styleId="GridTable1Light">
    <w:name w:val="Grid Table 1 Light"/>
    <w:basedOn w:val="TableNormal"/>
    <w:uiPriority w:val="46"/>
    <w:rsid w:val="00A81E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A81EB1"/>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A81EB1"/>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A81EB1"/>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A81EB1"/>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A81EB1"/>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A81EB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A81E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A81EB1"/>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A81EB1"/>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A81EB1"/>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A81EB1"/>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A81EB1"/>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A81EB1"/>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A81EB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A81EB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2">
    <w:name w:val="Grid Table 3 Accent 2"/>
    <w:basedOn w:val="TableNormal"/>
    <w:uiPriority w:val="48"/>
    <w:rsid w:val="00A81EB1"/>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A81EB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A81EB1"/>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A81EB1"/>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A81EB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A81EB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A81EB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A81EB1"/>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A81EB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A81EB1"/>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A81EB1"/>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A81EB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A81EB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A81EB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A81EB1"/>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2">
    <w:name w:val="Grid Table 6 Colorful Accent 2"/>
    <w:basedOn w:val="TableNormal"/>
    <w:uiPriority w:val="51"/>
    <w:rsid w:val="00A81EB1"/>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A81EB1"/>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A81EB1"/>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A81EB1"/>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A81EB1"/>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A81EB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A81EB1"/>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rful-Accent2">
    <w:name w:val="Grid Table 7 Colorful Accent 2"/>
    <w:basedOn w:val="TableNormal"/>
    <w:uiPriority w:val="52"/>
    <w:rsid w:val="00A81EB1"/>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A81EB1"/>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A81EB1"/>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A81EB1"/>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A81EB1"/>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Hashtag">
    <w:name w:val="Hashtag"/>
    <w:basedOn w:val="DefaultParagraphFont"/>
    <w:uiPriority w:val="99"/>
    <w:semiHidden/>
    <w:unhideWhenUsed/>
    <w:rsid w:val="00A81EB1"/>
    <w:rPr>
      <w:color w:val="2B579A"/>
      <w:shd w:val="clear" w:color="auto" w:fill="E1DFDD"/>
    </w:rPr>
  </w:style>
  <w:style w:type="character" w:styleId="HTMLAcronym">
    <w:name w:val="HTML Acronym"/>
    <w:basedOn w:val="DefaultParagraphFont"/>
    <w:uiPriority w:val="99"/>
    <w:semiHidden/>
    <w:unhideWhenUsed/>
    <w:rsid w:val="00A81EB1"/>
  </w:style>
  <w:style w:type="paragraph" w:styleId="HTMLAddress">
    <w:name w:val="HTML Address"/>
    <w:basedOn w:val="Normal"/>
    <w:link w:val="HTMLAddressChar"/>
    <w:uiPriority w:val="99"/>
    <w:semiHidden/>
    <w:unhideWhenUsed/>
    <w:rsid w:val="00A81EB1"/>
    <w:rPr>
      <w:i/>
      <w:iCs/>
      <w:lang w:val="en-US"/>
    </w:rPr>
  </w:style>
  <w:style w:type="character" w:customStyle="1" w:styleId="HTMLAddressChar">
    <w:name w:val="HTML Address Char"/>
    <w:basedOn w:val="DefaultParagraphFont"/>
    <w:link w:val="HTMLAddress"/>
    <w:uiPriority w:val="99"/>
    <w:semiHidden/>
    <w:rsid w:val="00A81EB1"/>
    <w:rPr>
      <w:rFonts w:ascii="Times New Roman" w:eastAsia="Times New Roman" w:hAnsi="Times New Roman" w:cs="Times New Roman"/>
      <w:i/>
      <w:iCs/>
      <w:kern w:val="0"/>
      <w:sz w:val="20"/>
      <w:szCs w:val="20"/>
      <w:lang w:eastAsia="en-US"/>
      <w14:ligatures w14:val="none"/>
    </w:rPr>
  </w:style>
  <w:style w:type="character" w:styleId="HTMLCite">
    <w:name w:val="HTML Cite"/>
    <w:basedOn w:val="DefaultParagraphFont"/>
    <w:uiPriority w:val="99"/>
    <w:semiHidden/>
    <w:unhideWhenUsed/>
    <w:rsid w:val="00A81EB1"/>
    <w:rPr>
      <w:i/>
      <w:iCs/>
    </w:rPr>
  </w:style>
  <w:style w:type="character" w:styleId="HTMLCode">
    <w:name w:val="HTML Code"/>
    <w:basedOn w:val="DefaultParagraphFont"/>
    <w:uiPriority w:val="99"/>
    <w:semiHidden/>
    <w:unhideWhenUsed/>
    <w:rsid w:val="00A81EB1"/>
    <w:rPr>
      <w:rFonts w:ascii="Consolas" w:hAnsi="Consolas"/>
      <w:sz w:val="20"/>
      <w:szCs w:val="20"/>
    </w:rPr>
  </w:style>
  <w:style w:type="character" w:styleId="HTMLDefinition">
    <w:name w:val="HTML Definition"/>
    <w:basedOn w:val="DefaultParagraphFont"/>
    <w:uiPriority w:val="99"/>
    <w:semiHidden/>
    <w:unhideWhenUsed/>
    <w:rsid w:val="00A81EB1"/>
    <w:rPr>
      <w:i/>
      <w:iCs/>
    </w:rPr>
  </w:style>
  <w:style w:type="character" w:styleId="HTMLKeyboard">
    <w:name w:val="HTML Keyboard"/>
    <w:basedOn w:val="DefaultParagraphFont"/>
    <w:uiPriority w:val="99"/>
    <w:semiHidden/>
    <w:unhideWhenUsed/>
    <w:rsid w:val="00A81EB1"/>
    <w:rPr>
      <w:rFonts w:ascii="Consolas" w:hAnsi="Consolas"/>
      <w:sz w:val="20"/>
      <w:szCs w:val="20"/>
    </w:rPr>
  </w:style>
  <w:style w:type="paragraph" w:styleId="HTMLPreformatted">
    <w:name w:val="HTML Preformatted"/>
    <w:basedOn w:val="Normal"/>
    <w:link w:val="HTMLPreformattedChar"/>
    <w:uiPriority w:val="99"/>
    <w:unhideWhenUsed/>
    <w:rsid w:val="00A81EB1"/>
    <w:rPr>
      <w:rFonts w:ascii="Consolas" w:hAnsi="Consolas"/>
      <w:lang w:val="en-US"/>
    </w:rPr>
  </w:style>
  <w:style w:type="character" w:customStyle="1" w:styleId="HTMLPreformattedChar">
    <w:name w:val="HTML Preformatted Char"/>
    <w:basedOn w:val="DefaultParagraphFont"/>
    <w:link w:val="HTMLPreformatted"/>
    <w:uiPriority w:val="99"/>
    <w:rsid w:val="00A81EB1"/>
    <w:rPr>
      <w:rFonts w:ascii="Consolas" w:eastAsia="Times New Roman" w:hAnsi="Consolas" w:cs="Times New Roman"/>
      <w:kern w:val="0"/>
      <w:sz w:val="20"/>
      <w:szCs w:val="20"/>
      <w:lang w:eastAsia="en-US"/>
      <w14:ligatures w14:val="none"/>
    </w:rPr>
  </w:style>
  <w:style w:type="character" w:styleId="HTMLSample">
    <w:name w:val="HTML Sample"/>
    <w:basedOn w:val="DefaultParagraphFont"/>
    <w:uiPriority w:val="99"/>
    <w:semiHidden/>
    <w:unhideWhenUsed/>
    <w:rsid w:val="00A81EB1"/>
    <w:rPr>
      <w:rFonts w:ascii="Consolas" w:hAnsi="Consolas"/>
      <w:sz w:val="24"/>
      <w:szCs w:val="24"/>
    </w:rPr>
  </w:style>
  <w:style w:type="character" w:styleId="HTMLTypewriter">
    <w:name w:val="HTML Typewriter"/>
    <w:basedOn w:val="DefaultParagraphFont"/>
    <w:uiPriority w:val="99"/>
    <w:semiHidden/>
    <w:unhideWhenUsed/>
    <w:rsid w:val="00A81EB1"/>
    <w:rPr>
      <w:rFonts w:ascii="Consolas" w:hAnsi="Consolas"/>
      <w:sz w:val="20"/>
      <w:szCs w:val="20"/>
    </w:rPr>
  </w:style>
  <w:style w:type="character" w:styleId="HTMLVariable">
    <w:name w:val="HTML Variable"/>
    <w:basedOn w:val="DefaultParagraphFont"/>
    <w:uiPriority w:val="99"/>
    <w:semiHidden/>
    <w:unhideWhenUsed/>
    <w:rsid w:val="00A81EB1"/>
    <w:rPr>
      <w:i/>
      <w:iCs/>
    </w:rPr>
  </w:style>
  <w:style w:type="paragraph" w:styleId="Index1">
    <w:name w:val="index 1"/>
    <w:basedOn w:val="Normal"/>
    <w:next w:val="Normal"/>
    <w:autoRedefine/>
    <w:uiPriority w:val="99"/>
    <w:semiHidden/>
    <w:unhideWhenUsed/>
    <w:rsid w:val="00A81EB1"/>
    <w:pPr>
      <w:ind w:left="200" w:hanging="200"/>
    </w:pPr>
    <w:rPr>
      <w:lang w:val="en-US"/>
    </w:rPr>
  </w:style>
  <w:style w:type="paragraph" w:styleId="Index2">
    <w:name w:val="index 2"/>
    <w:basedOn w:val="Normal"/>
    <w:next w:val="Normal"/>
    <w:autoRedefine/>
    <w:uiPriority w:val="99"/>
    <w:semiHidden/>
    <w:unhideWhenUsed/>
    <w:rsid w:val="00A81EB1"/>
    <w:pPr>
      <w:ind w:left="400" w:hanging="200"/>
    </w:pPr>
    <w:rPr>
      <w:lang w:val="en-US"/>
    </w:rPr>
  </w:style>
  <w:style w:type="paragraph" w:styleId="Index3">
    <w:name w:val="index 3"/>
    <w:basedOn w:val="Normal"/>
    <w:next w:val="Normal"/>
    <w:autoRedefine/>
    <w:uiPriority w:val="99"/>
    <w:semiHidden/>
    <w:unhideWhenUsed/>
    <w:rsid w:val="00A81EB1"/>
    <w:pPr>
      <w:ind w:left="600" w:hanging="200"/>
    </w:pPr>
    <w:rPr>
      <w:lang w:val="en-US"/>
    </w:rPr>
  </w:style>
  <w:style w:type="paragraph" w:styleId="Index4">
    <w:name w:val="index 4"/>
    <w:basedOn w:val="Normal"/>
    <w:next w:val="Normal"/>
    <w:autoRedefine/>
    <w:uiPriority w:val="99"/>
    <w:semiHidden/>
    <w:unhideWhenUsed/>
    <w:rsid w:val="00A81EB1"/>
    <w:pPr>
      <w:ind w:left="800" w:hanging="200"/>
    </w:pPr>
    <w:rPr>
      <w:lang w:val="en-US"/>
    </w:rPr>
  </w:style>
  <w:style w:type="paragraph" w:styleId="Index5">
    <w:name w:val="index 5"/>
    <w:basedOn w:val="Normal"/>
    <w:next w:val="Normal"/>
    <w:autoRedefine/>
    <w:uiPriority w:val="99"/>
    <w:semiHidden/>
    <w:unhideWhenUsed/>
    <w:rsid w:val="00A81EB1"/>
    <w:pPr>
      <w:ind w:left="1000" w:hanging="200"/>
    </w:pPr>
    <w:rPr>
      <w:lang w:val="en-US"/>
    </w:rPr>
  </w:style>
  <w:style w:type="paragraph" w:styleId="Index6">
    <w:name w:val="index 6"/>
    <w:basedOn w:val="Normal"/>
    <w:next w:val="Normal"/>
    <w:autoRedefine/>
    <w:uiPriority w:val="99"/>
    <w:semiHidden/>
    <w:unhideWhenUsed/>
    <w:rsid w:val="00A81EB1"/>
    <w:pPr>
      <w:ind w:left="1200" w:hanging="200"/>
    </w:pPr>
    <w:rPr>
      <w:lang w:val="en-US"/>
    </w:rPr>
  </w:style>
  <w:style w:type="paragraph" w:styleId="Index7">
    <w:name w:val="index 7"/>
    <w:basedOn w:val="Normal"/>
    <w:next w:val="Normal"/>
    <w:autoRedefine/>
    <w:uiPriority w:val="99"/>
    <w:semiHidden/>
    <w:unhideWhenUsed/>
    <w:rsid w:val="00A81EB1"/>
    <w:pPr>
      <w:ind w:left="1400" w:hanging="200"/>
    </w:pPr>
    <w:rPr>
      <w:lang w:val="en-US"/>
    </w:rPr>
  </w:style>
  <w:style w:type="paragraph" w:styleId="Index8">
    <w:name w:val="index 8"/>
    <w:basedOn w:val="Normal"/>
    <w:next w:val="Normal"/>
    <w:autoRedefine/>
    <w:uiPriority w:val="99"/>
    <w:semiHidden/>
    <w:unhideWhenUsed/>
    <w:rsid w:val="00A81EB1"/>
    <w:pPr>
      <w:ind w:left="1600" w:hanging="200"/>
    </w:pPr>
    <w:rPr>
      <w:lang w:val="en-US"/>
    </w:rPr>
  </w:style>
  <w:style w:type="paragraph" w:styleId="Index9">
    <w:name w:val="index 9"/>
    <w:basedOn w:val="Normal"/>
    <w:next w:val="Normal"/>
    <w:autoRedefine/>
    <w:uiPriority w:val="99"/>
    <w:semiHidden/>
    <w:unhideWhenUsed/>
    <w:rsid w:val="00A81EB1"/>
    <w:pPr>
      <w:ind w:left="1800" w:hanging="200"/>
    </w:pPr>
    <w:rPr>
      <w:lang w:val="en-US"/>
    </w:rPr>
  </w:style>
  <w:style w:type="paragraph" w:styleId="IndexHeading">
    <w:name w:val="index heading"/>
    <w:basedOn w:val="Normal"/>
    <w:next w:val="Index1"/>
    <w:uiPriority w:val="99"/>
    <w:semiHidden/>
    <w:unhideWhenUsed/>
    <w:rsid w:val="00A81EB1"/>
    <w:rPr>
      <w:rFonts w:asciiTheme="majorHAnsi" w:eastAsiaTheme="majorEastAsia" w:hAnsiTheme="majorHAnsi" w:cstheme="majorBidi"/>
      <w:b/>
      <w:bCs/>
      <w:lang w:val="en-US"/>
    </w:rPr>
  </w:style>
  <w:style w:type="character" w:styleId="IntenseEmphasis">
    <w:name w:val="Intense Emphasis"/>
    <w:basedOn w:val="DefaultParagraphFont"/>
    <w:uiPriority w:val="21"/>
    <w:qFormat/>
    <w:rsid w:val="00A81EB1"/>
    <w:rPr>
      <w:i/>
      <w:iCs/>
      <w:color w:val="4472C4" w:themeColor="accent1"/>
    </w:rPr>
  </w:style>
  <w:style w:type="paragraph" w:styleId="IntenseQuote">
    <w:name w:val="Intense Quote"/>
    <w:basedOn w:val="Normal"/>
    <w:next w:val="Normal"/>
    <w:link w:val="IntenseQuoteChar"/>
    <w:uiPriority w:val="30"/>
    <w:qFormat/>
    <w:rsid w:val="00A81EB1"/>
    <w:pPr>
      <w:pBdr>
        <w:top w:val="single" w:sz="4" w:space="10" w:color="4472C4" w:themeColor="accent1"/>
        <w:bottom w:val="single" w:sz="4" w:space="10" w:color="4472C4" w:themeColor="accent1"/>
      </w:pBdr>
      <w:spacing w:before="360" w:after="360"/>
      <w:ind w:left="864" w:right="864"/>
      <w:jc w:val="center"/>
    </w:pPr>
    <w:rPr>
      <w:i/>
      <w:iCs/>
      <w:color w:val="4472C4" w:themeColor="accent1"/>
      <w:lang w:val="en-US"/>
    </w:rPr>
  </w:style>
  <w:style w:type="character" w:customStyle="1" w:styleId="IntenseQuoteChar">
    <w:name w:val="Intense Quote Char"/>
    <w:basedOn w:val="DefaultParagraphFont"/>
    <w:link w:val="IntenseQuote"/>
    <w:uiPriority w:val="30"/>
    <w:rsid w:val="00A81EB1"/>
    <w:rPr>
      <w:rFonts w:ascii="Times New Roman" w:eastAsia="Times New Roman" w:hAnsi="Times New Roman" w:cs="Times New Roman"/>
      <w:i/>
      <w:iCs/>
      <w:color w:val="4472C4" w:themeColor="accent1"/>
      <w:kern w:val="0"/>
      <w:sz w:val="20"/>
      <w:szCs w:val="20"/>
      <w:lang w:eastAsia="en-US"/>
      <w14:ligatures w14:val="none"/>
    </w:rPr>
  </w:style>
  <w:style w:type="character" w:styleId="IntenseReference">
    <w:name w:val="Intense Reference"/>
    <w:basedOn w:val="DefaultParagraphFont"/>
    <w:uiPriority w:val="32"/>
    <w:qFormat/>
    <w:rsid w:val="00A81EB1"/>
    <w:rPr>
      <w:b/>
      <w:bCs/>
      <w:smallCaps/>
      <w:color w:val="4472C4" w:themeColor="accent1"/>
      <w:spacing w:val="5"/>
    </w:rPr>
  </w:style>
  <w:style w:type="table" w:styleId="LightGrid">
    <w:name w:val="Light Grid"/>
    <w:basedOn w:val="TableNormal"/>
    <w:uiPriority w:val="62"/>
    <w:semiHidden/>
    <w:unhideWhenUsed/>
    <w:rsid w:val="00A81EB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A81EB1"/>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semiHidden/>
    <w:unhideWhenUsed/>
    <w:rsid w:val="00A81EB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A81EB1"/>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A81EB1"/>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A81EB1"/>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A81EB1"/>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A81EB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A81EB1"/>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semiHidden/>
    <w:unhideWhenUsed/>
    <w:rsid w:val="00A81EB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A81EB1"/>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A81EB1"/>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A81EB1"/>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A81EB1"/>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A81EB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A81EB1"/>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A81EB1"/>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A81EB1"/>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A81EB1"/>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A81EB1"/>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A81EB1"/>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A81EB1"/>
  </w:style>
  <w:style w:type="paragraph" w:styleId="List">
    <w:name w:val="List"/>
    <w:basedOn w:val="Normal"/>
    <w:uiPriority w:val="99"/>
    <w:semiHidden/>
    <w:unhideWhenUsed/>
    <w:rsid w:val="00A81EB1"/>
    <w:pPr>
      <w:ind w:left="283" w:hanging="283"/>
      <w:contextualSpacing/>
    </w:pPr>
    <w:rPr>
      <w:lang w:val="en-US"/>
    </w:rPr>
  </w:style>
  <w:style w:type="paragraph" w:styleId="List2">
    <w:name w:val="List 2"/>
    <w:basedOn w:val="Normal"/>
    <w:uiPriority w:val="99"/>
    <w:semiHidden/>
    <w:unhideWhenUsed/>
    <w:rsid w:val="00A81EB1"/>
    <w:pPr>
      <w:ind w:left="566" w:hanging="283"/>
      <w:contextualSpacing/>
    </w:pPr>
    <w:rPr>
      <w:lang w:val="en-US"/>
    </w:rPr>
  </w:style>
  <w:style w:type="paragraph" w:styleId="List3">
    <w:name w:val="List 3"/>
    <w:basedOn w:val="Normal"/>
    <w:uiPriority w:val="99"/>
    <w:semiHidden/>
    <w:unhideWhenUsed/>
    <w:rsid w:val="00A81EB1"/>
    <w:pPr>
      <w:ind w:left="849" w:hanging="283"/>
      <w:contextualSpacing/>
    </w:pPr>
    <w:rPr>
      <w:lang w:val="en-US"/>
    </w:rPr>
  </w:style>
  <w:style w:type="paragraph" w:styleId="List4">
    <w:name w:val="List 4"/>
    <w:basedOn w:val="Normal"/>
    <w:uiPriority w:val="99"/>
    <w:semiHidden/>
    <w:unhideWhenUsed/>
    <w:rsid w:val="00A81EB1"/>
    <w:pPr>
      <w:ind w:left="1132" w:hanging="283"/>
      <w:contextualSpacing/>
    </w:pPr>
    <w:rPr>
      <w:lang w:val="en-US"/>
    </w:rPr>
  </w:style>
  <w:style w:type="paragraph" w:styleId="List5">
    <w:name w:val="List 5"/>
    <w:basedOn w:val="Normal"/>
    <w:uiPriority w:val="99"/>
    <w:semiHidden/>
    <w:unhideWhenUsed/>
    <w:rsid w:val="00A81EB1"/>
    <w:pPr>
      <w:ind w:left="1415" w:hanging="283"/>
      <w:contextualSpacing/>
    </w:pPr>
    <w:rPr>
      <w:lang w:val="en-US"/>
    </w:rPr>
  </w:style>
  <w:style w:type="paragraph" w:styleId="ListBullet">
    <w:name w:val="List Bullet"/>
    <w:basedOn w:val="Normal"/>
    <w:uiPriority w:val="99"/>
    <w:semiHidden/>
    <w:unhideWhenUsed/>
    <w:rsid w:val="00A81EB1"/>
    <w:pPr>
      <w:numPr>
        <w:numId w:val="17"/>
      </w:numPr>
      <w:contextualSpacing/>
    </w:pPr>
    <w:rPr>
      <w:lang w:val="en-US"/>
    </w:rPr>
  </w:style>
  <w:style w:type="paragraph" w:styleId="ListBullet2">
    <w:name w:val="List Bullet 2"/>
    <w:basedOn w:val="Normal"/>
    <w:uiPriority w:val="99"/>
    <w:semiHidden/>
    <w:unhideWhenUsed/>
    <w:rsid w:val="00A81EB1"/>
    <w:pPr>
      <w:numPr>
        <w:numId w:val="18"/>
      </w:numPr>
      <w:contextualSpacing/>
    </w:pPr>
    <w:rPr>
      <w:lang w:val="en-US"/>
    </w:rPr>
  </w:style>
  <w:style w:type="paragraph" w:styleId="ListBullet3">
    <w:name w:val="List Bullet 3"/>
    <w:basedOn w:val="Normal"/>
    <w:uiPriority w:val="99"/>
    <w:semiHidden/>
    <w:unhideWhenUsed/>
    <w:rsid w:val="00A81EB1"/>
    <w:pPr>
      <w:numPr>
        <w:numId w:val="19"/>
      </w:numPr>
      <w:contextualSpacing/>
    </w:pPr>
    <w:rPr>
      <w:lang w:val="en-US"/>
    </w:rPr>
  </w:style>
  <w:style w:type="paragraph" w:styleId="ListBullet4">
    <w:name w:val="List Bullet 4"/>
    <w:basedOn w:val="Normal"/>
    <w:uiPriority w:val="99"/>
    <w:semiHidden/>
    <w:unhideWhenUsed/>
    <w:rsid w:val="00A81EB1"/>
    <w:pPr>
      <w:numPr>
        <w:numId w:val="20"/>
      </w:numPr>
      <w:contextualSpacing/>
    </w:pPr>
    <w:rPr>
      <w:lang w:val="en-US"/>
    </w:rPr>
  </w:style>
  <w:style w:type="paragraph" w:styleId="ListBullet5">
    <w:name w:val="List Bullet 5"/>
    <w:basedOn w:val="Normal"/>
    <w:uiPriority w:val="99"/>
    <w:semiHidden/>
    <w:unhideWhenUsed/>
    <w:rsid w:val="00A81EB1"/>
    <w:pPr>
      <w:numPr>
        <w:numId w:val="21"/>
      </w:numPr>
      <w:contextualSpacing/>
    </w:pPr>
    <w:rPr>
      <w:lang w:val="en-US"/>
    </w:rPr>
  </w:style>
  <w:style w:type="paragraph" w:styleId="ListContinue">
    <w:name w:val="List Continue"/>
    <w:basedOn w:val="Normal"/>
    <w:uiPriority w:val="99"/>
    <w:semiHidden/>
    <w:unhideWhenUsed/>
    <w:rsid w:val="00A81EB1"/>
    <w:pPr>
      <w:spacing w:after="120"/>
      <w:ind w:left="283"/>
      <w:contextualSpacing/>
    </w:pPr>
    <w:rPr>
      <w:lang w:val="en-US"/>
    </w:rPr>
  </w:style>
  <w:style w:type="paragraph" w:styleId="ListContinue2">
    <w:name w:val="List Continue 2"/>
    <w:basedOn w:val="Normal"/>
    <w:uiPriority w:val="99"/>
    <w:semiHidden/>
    <w:unhideWhenUsed/>
    <w:rsid w:val="00A81EB1"/>
    <w:pPr>
      <w:spacing w:after="120"/>
      <w:ind w:left="566"/>
      <w:contextualSpacing/>
    </w:pPr>
    <w:rPr>
      <w:lang w:val="en-US"/>
    </w:rPr>
  </w:style>
  <w:style w:type="paragraph" w:styleId="ListContinue3">
    <w:name w:val="List Continue 3"/>
    <w:basedOn w:val="Normal"/>
    <w:uiPriority w:val="99"/>
    <w:semiHidden/>
    <w:unhideWhenUsed/>
    <w:rsid w:val="00A81EB1"/>
    <w:pPr>
      <w:spacing w:after="120"/>
      <w:ind w:left="849"/>
      <w:contextualSpacing/>
    </w:pPr>
    <w:rPr>
      <w:lang w:val="en-US"/>
    </w:rPr>
  </w:style>
  <w:style w:type="paragraph" w:styleId="ListContinue4">
    <w:name w:val="List Continue 4"/>
    <w:basedOn w:val="Normal"/>
    <w:uiPriority w:val="99"/>
    <w:semiHidden/>
    <w:unhideWhenUsed/>
    <w:rsid w:val="00A81EB1"/>
    <w:pPr>
      <w:spacing w:after="120"/>
      <w:ind w:left="1132"/>
      <w:contextualSpacing/>
    </w:pPr>
    <w:rPr>
      <w:lang w:val="en-US"/>
    </w:rPr>
  </w:style>
  <w:style w:type="paragraph" w:styleId="ListContinue5">
    <w:name w:val="List Continue 5"/>
    <w:basedOn w:val="Normal"/>
    <w:uiPriority w:val="99"/>
    <w:semiHidden/>
    <w:unhideWhenUsed/>
    <w:rsid w:val="00A81EB1"/>
    <w:pPr>
      <w:spacing w:after="120"/>
      <w:ind w:left="1415"/>
      <w:contextualSpacing/>
    </w:pPr>
    <w:rPr>
      <w:lang w:val="en-US"/>
    </w:rPr>
  </w:style>
  <w:style w:type="paragraph" w:styleId="ListNumber">
    <w:name w:val="List Number"/>
    <w:basedOn w:val="Normal"/>
    <w:uiPriority w:val="99"/>
    <w:semiHidden/>
    <w:unhideWhenUsed/>
    <w:rsid w:val="00A81EB1"/>
    <w:pPr>
      <w:numPr>
        <w:numId w:val="22"/>
      </w:numPr>
      <w:contextualSpacing/>
    </w:pPr>
    <w:rPr>
      <w:lang w:val="en-US"/>
    </w:rPr>
  </w:style>
  <w:style w:type="paragraph" w:styleId="ListNumber2">
    <w:name w:val="List Number 2"/>
    <w:basedOn w:val="Normal"/>
    <w:uiPriority w:val="99"/>
    <w:semiHidden/>
    <w:unhideWhenUsed/>
    <w:rsid w:val="00A81EB1"/>
    <w:pPr>
      <w:numPr>
        <w:numId w:val="23"/>
      </w:numPr>
      <w:contextualSpacing/>
    </w:pPr>
    <w:rPr>
      <w:lang w:val="en-US"/>
    </w:rPr>
  </w:style>
  <w:style w:type="paragraph" w:styleId="ListNumber3">
    <w:name w:val="List Number 3"/>
    <w:basedOn w:val="Normal"/>
    <w:uiPriority w:val="99"/>
    <w:semiHidden/>
    <w:unhideWhenUsed/>
    <w:rsid w:val="00A81EB1"/>
    <w:pPr>
      <w:numPr>
        <w:numId w:val="24"/>
      </w:numPr>
      <w:contextualSpacing/>
    </w:pPr>
    <w:rPr>
      <w:lang w:val="en-US"/>
    </w:rPr>
  </w:style>
  <w:style w:type="paragraph" w:styleId="ListNumber4">
    <w:name w:val="List Number 4"/>
    <w:basedOn w:val="Normal"/>
    <w:uiPriority w:val="99"/>
    <w:semiHidden/>
    <w:unhideWhenUsed/>
    <w:rsid w:val="00A81EB1"/>
    <w:pPr>
      <w:numPr>
        <w:numId w:val="25"/>
      </w:numPr>
      <w:contextualSpacing/>
    </w:pPr>
    <w:rPr>
      <w:lang w:val="en-US"/>
    </w:rPr>
  </w:style>
  <w:style w:type="paragraph" w:styleId="ListNumber5">
    <w:name w:val="List Number 5"/>
    <w:basedOn w:val="Normal"/>
    <w:uiPriority w:val="99"/>
    <w:semiHidden/>
    <w:unhideWhenUsed/>
    <w:rsid w:val="00A81EB1"/>
    <w:pPr>
      <w:numPr>
        <w:numId w:val="26"/>
      </w:numPr>
      <w:contextualSpacing/>
    </w:pPr>
    <w:rPr>
      <w:lang w:val="en-US"/>
    </w:rPr>
  </w:style>
  <w:style w:type="table" w:styleId="ListTable1Light">
    <w:name w:val="List Table 1 Light"/>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2">
    <w:name w:val="List Table 1 Light Accent 2"/>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A81EB1"/>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A81EB1"/>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A81EB1"/>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2">
    <w:name w:val="List Table 2 Accent 2"/>
    <w:basedOn w:val="TableNormal"/>
    <w:uiPriority w:val="47"/>
    <w:rsid w:val="00A81EB1"/>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A81EB1"/>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A81EB1"/>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A81EB1"/>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A81EB1"/>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A81EB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A81EB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3-Accent2">
    <w:name w:val="List Table 3 Accent 2"/>
    <w:basedOn w:val="TableNormal"/>
    <w:uiPriority w:val="48"/>
    <w:rsid w:val="00A81EB1"/>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A81EB1"/>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A81EB1"/>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A81EB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A81EB1"/>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A81EB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A81EB1"/>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2">
    <w:name w:val="List Table 4 Accent 2"/>
    <w:basedOn w:val="TableNormal"/>
    <w:uiPriority w:val="49"/>
    <w:rsid w:val="00A81EB1"/>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A81EB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A81EB1"/>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A81EB1"/>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A81EB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A81EB1"/>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A81EB1"/>
    <w:pPr>
      <w:spacing w:after="0" w:line="240" w:lineRule="auto"/>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A81EB1"/>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A81EB1"/>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A81EB1"/>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A81EB1"/>
    <w:pPr>
      <w:spacing w:after="0" w:line="240" w:lineRule="auto"/>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A81EB1"/>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A81EB1"/>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A81EB1"/>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2">
    <w:name w:val="List Table 6 Colorful Accent 2"/>
    <w:basedOn w:val="TableNormal"/>
    <w:uiPriority w:val="51"/>
    <w:rsid w:val="00A81EB1"/>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A81EB1"/>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A81EB1"/>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A81EB1"/>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A81EB1"/>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A81EB1"/>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A81EB1"/>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A81EB1"/>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A81EB1"/>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A81EB1"/>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A81EB1"/>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A81EB1"/>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A81EB1"/>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kern w:val="0"/>
      <w:sz w:val="20"/>
      <w:szCs w:val="20"/>
      <w:lang w:val="en-US" w:eastAsia="en-US"/>
      <w14:ligatures w14:val="none"/>
    </w:rPr>
  </w:style>
  <w:style w:type="character" w:customStyle="1" w:styleId="MacroTextChar">
    <w:name w:val="Macro Text Char"/>
    <w:basedOn w:val="DefaultParagraphFont"/>
    <w:link w:val="MacroText"/>
    <w:uiPriority w:val="99"/>
    <w:semiHidden/>
    <w:rsid w:val="00A81EB1"/>
    <w:rPr>
      <w:rFonts w:ascii="Consolas" w:eastAsia="Times New Roman" w:hAnsi="Consolas" w:cs="Times New Roman"/>
      <w:kern w:val="0"/>
      <w:sz w:val="20"/>
      <w:szCs w:val="20"/>
      <w:lang w:eastAsia="en-US"/>
      <w14:ligatures w14:val="none"/>
    </w:rPr>
  </w:style>
  <w:style w:type="table" w:styleId="MediumGrid1">
    <w:name w:val="Medium Grid 1"/>
    <w:basedOn w:val="TableNormal"/>
    <w:uiPriority w:val="67"/>
    <w:semiHidden/>
    <w:unhideWhenUsed/>
    <w:rsid w:val="00A81EB1"/>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A81EB1"/>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semiHidden/>
    <w:unhideWhenUsed/>
    <w:rsid w:val="00A81EB1"/>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A81EB1"/>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A81EB1"/>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A81EB1"/>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A81EB1"/>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A81EB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A81EB1"/>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A81EB1"/>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A81EB1"/>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A81EB1"/>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A81EB1"/>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A81EB1"/>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A81EB1"/>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A81EB1"/>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A81EB1"/>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A81EB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A81EB1"/>
    <w:rPr>
      <w:color w:val="2B579A"/>
      <w:shd w:val="clear" w:color="auto" w:fill="E1DFDD"/>
    </w:rPr>
  </w:style>
  <w:style w:type="paragraph" w:styleId="MessageHeader">
    <w:name w:val="Message Header"/>
    <w:basedOn w:val="Normal"/>
    <w:link w:val="MessageHeaderChar"/>
    <w:uiPriority w:val="99"/>
    <w:semiHidden/>
    <w:unhideWhenUsed/>
    <w:rsid w:val="00A81EB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lang w:val="en-US"/>
    </w:rPr>
  </w:style>
  <w:style w:type="character" w:customStyle="1" w:styleId="MessageHeaderChar">
    <w:name w:val="Message Header Char"/>
    <w:basedOn w:val="DefaultParagraphFont"/>
    <w:link w:val="MessageHeader"/>
    <w:uiPriority w:val="99"/>
    <w:semiHidden/>
    <w:rsid w:val="00A81EB1"/>
    <w:rPr>
      <w:rFonts w:asciiTheme="majorHAnsi" w:eastAsiaTheme="majorEastAsia" w:hAnsiTheme="majorHAnsi" w:cstheme="majorBidi"/>
      <w:kern w:val="0"/>
      <w:sz w:val="24"/>
      <w:szCs w:val="24"/>
      <w:shd w:val="pct20" w:color="auto" w:fill="auto"/>
      <w:lang w:eastAsia="en-US"/>
      <w14:ligatures w14:val="none"/>
    </w:rPr>
  </w:style>
  <w:style w:type="paragraph" w:styleId="NormalIndent">
    <w:name w:val="Normal Indent"/>
    <w:basedOn w:val="Normal"/>
    <w:uiPriority w:val="99"/>
    <w:semiHidden/>
    <w:unhideWhenUsed/>
    <w:rsid w:val="00A81EB1"/>
    <w:pPr>
      <w:ind w:left="708"/>
    </w:pPr>
  </w:style>
  <w:style w:type="paragraph" w:styleId="NoteHeading">
    <w:name w:val="Note Heading"/>
    <w:basedOn w:val="Normal"/>
    <w:next w:val="Normal"/>
    <w:link w:val="NoteHeadingChar"/>
    <w:uiPriority w:val="99"/>
    <w:semiHidden/>
    <w:unhideWhenUsed/>
    <w:rsid w:val="00A81EB1"/>
  </w:style>
  <w:style w:type="character" w:customStyle="1" w:styleId="NoteHeadingChar">
    <w:name w:val="Note Heading Char"/>
    <w:basedOn w:val="DefaultParagraphFont"/>
    <w:link w:val="NoteHeading"/>
    <w:uiPriority w:val="99"/>
    <w:semiHidden/>
    <w:rsid w:val="00A81EB1"/>
    <w:rPr>
      <w:rFonts w:ascii="Times New Roman" w:eastAsia="Times New Roman" w:hAnsi="Times New Roman" w:cs="Times New Roman"/>
      <w:kern w:val="0"/>
      <w:sz w:val="20"/>
      <w:szCs w:val="20"/>
      <w:lang w:eastAsia="en-US"/>
      <w14:ligatures w14:val="none"/>
    </w:rPr>
  </w:style>
  <w:style w:type="table" w:styleId="PlainTable1">
    <w:name w:val="Plain Table 1"/>
    <w:basedOn w:val="TableNormal"/>
    <w:uiPriority w:val="41"/>
    <w:rsid w:val="00A81EB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A81EB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A81EB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81EB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81EB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A81EB1"/>
    <w:rPr>
      <w:rFonts w:ascii="Consolas" w:hAnsi="Consolas"/>
      <w:sz w:val="21"/>
      <w:szCs w:val="21"/>
    </w:rPr>
  </w:style>
  <w:style w:type="character" w:customStyle="1" w:styleId="PlainTextChar">
    <w:name w:val="Plain Text Char"/>
    <w:basedOn w:val="DefaultParagraphFont"/>
    <w:link w:val="PlainText"/>
    <w:uiPriority w:val="99"/>
    <w:semiHidden/>
    <w:rsid w:val="00A81EB1"/>
    <w:rPr>
      <w:rFonts w:ascii="Consolas" w:eastAsia="Times New Roman" w:hAnsi="Consolas" w:cs="Times New Roman"/>
      <w:kern w:val="0"/>
      <w:sz w:val="21"/>
      <w:szCs w:val="21"/>
      <w:lang w:eastAsia="en-US"/>
      <w14:ligatures w14:val="none"/>
    </w:rPr>
  </w:style>
  <w:style w:type="paragraph" w:styleId="Quote">
    <w:name w:val="Quote"/>
    <w:basedOn w:val="Normal"/>
    <w:next w:val="Normal"/>
    <w:link w:val="QuoteChar"/>
    <w:uiPriority w:val="29"/>
    <w:qFormat/>
    <w:rsid w:val="00A81EB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81EB1"/>
    <w:rPr>
      <w:rFonts w:ascii="Times New Roman" w:eastAsia="Times New Roman" w:hAnsi="Times New Roman" w:cs="Times New Roman"/>
      <w:i/>
      <w:iCs/>
      <w:color w:val="404040" w:themeColor="text1" w:themeTint="BF"/>
      <w:kern w:val="0"/>
      <w:sz w:val="20"/>
      <w:szCs w:val="20"/>
      <w:lang w:eastAsia="en-US"/>
      <w14:ligatures w14:val="none"/>
    </w:rPr>
  </w:style>
  <w:style w:type="paragraph" w:styleId="Salutation">
    <w:name w:val="Salutation"/>
    <w:basedOn w:val="Normal"/>
    <w:next w:val="Normal"/>
    <w:link w:val="SalutationChar"/>
    <w:uiPriority w:val="99"/>
    <w:semiHidden/>
    <w:unhideWhenUsed/>
    <w:rsid w:val="00A81EB1"/>
  </w:style>
  <w:style w:type="character" w:customStyle="1" w:styleId="SalutationChar">
    <w:name w:val="Salutation Char"/>
    <w:basedOn w:val="DefaultParagraphFont"/>
    <w:link w:val="Salutation"/>
    <w:uiPriority w:val="99"/>
    <w:semiHidden/>
    <w:rsid w:val="00A81EB1"/>
    <w:rPr>
      <w:rFonts w:ascii="Times New Roman" w:eastAsia="Times New Roman" w:hAnsi="Times New Roman" w:cs="Times New Roman"/>
      <w:kern w:val="0"/>
      <w:sz w:val="20"/>
      <w:szCs w:val="20"/>
      <w:lang w:eastAsia="en-US"/>
      <w14:ligatures w14:val="none"/>
    </w:rPr>
  </w:style>
  <w:style w:type="paragraph" w:styleId="Signature">
    <w:name w:val="Signature"/>
    <w:basedOn w:val="Normal"/>
    <w:link w:val="SignatureChar"/>
    <w:uiPriority w:val="99"/>
    <w:semiHidden/>
    <w:unhideWhenUsed/>
    <w:rsid w:val="00A81EB1"/>
    <w:pPr>
      <w:ind w:left="4252"/>
    </w:pPr>
  </w:style>
  <w:style w:type="character" w:customStyle="1" w:styleId="SignatureChar">
    <w:name w:val="Signature Char"/>
    <w:basedOn w:val="DefaultParagraphFont"/>
    <w:link w:val="Signature"/>
    <w:uiPriority w:val="99"/>
    <w:semiHidden/>
    <w:rsid w:val="00A81EB1"/>
    <w:rPr>
      <w:rFonts w:ascii="Times New Roman" w:eastAsia="Times New Roman" w:hAnsi="Times New Roman" w:cs="Times New Roman"/>
      <w:kern w:val="0"/>
      <w:sz w:val="20"/>
      <w:szCs w:val="20"/>
      <w:lang w:eastAsia="en-US"/>
      <w14:ligatures w14:val="none"/>
    </w:rPr>
  </w:style>
  <w:style w:type="character" w:styleId="SmartHyperlink">
    <w:name w:val="Smart Hyperlink"/>
    <w:basedOn w:val="DefaultParagraphFont"/>
    <w:uiPriority w:val="99"/>
    <w:semiHidden/>
    <w:unhideWhenUsed/>
    <w:rsid w:val="00A81EB1"/>
    <w:rPr>
      <w:u w:val="dotted"/>
    </w:rPr>
  </w:style>
  <w:style w:type="character" w:styleId="SmartLink">
    <w:name w:val="Smart Link"/>
    <w:basedOn w:val="DefaultParagraphFont"/>
    <w:uiPriority w:val="99"/>
    <w:semiHidden/>
    <w:unhideWhenUsed/>
    <w:rsid w:val="00A81EB1"/>
    <w:rPr>
      <w:color w:val="0000FF"/>
      <w:u w:val="single"/>
      <w:shd w:val="clear" w:color="auto" w:fill="F3F2F1"/>
    </w:rPr>
  </w:style>
  <w:style w:type="character" w:styleId="Strong">
    <w:name w:val="Strong"/>
    <w:basedOn w:val="DefaultParagraphFont"/>
    <w:semiHidden/>
    <w:qFormat/>
    <w:rsid w:val="00A81EB1"/>
    <w:rPr>
      <w:b/>
      <w:bCs/>
    </w:rPr>
  </w:style>
  <w:style w:type="paragraph" w:styleId="Subtitle">
    <w:name w:val="Subtitle"/>
    <w:basedOn w:val="Normal"/>
    <w:next w:val="Normal"/>
    <w:link w:val="SubtitleChar"/>
    <w:semiHidden/>
    <w:qFormat/>
    <w:rsid w:val="00A81EB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semiHidden/>
    <w:rsid w:val="00A220EF"/>
    <w:rPr>
      <w:color w:val="5A5A5A" w:themeColor="text1" w:themeTint="A5"/>
      <w:spacing w:val="15"/>
      <w:kern w:val="0"/>
      <w:lang w:val="en-GB"/>
      <w14:ligatures w14:val="none"/>
    </w:rPr>
  </w:style>
  <w:style w:type="character" w:styleId="SubtleEmphasis">
    <w:name w:val="Subtle Emphasis"/>
    <w:basedOn w:val="DefaultParagraphFont"/>
    <w:uiPriority w:val="19"/>
    <w:qFormat/>
    <w:rsid w:val="00A81EB1"/>
    <w:rPr>
      <w:i/>
      <w:iCs/>
      <w:color w:val="404040" w:themeColor="text1" w:themeTint="BF"/>
    </w:rPr>
  </w:style>
  <w:style w:type="character" w:styleId="SubtleReference">
    <w:name w:val="Subtle Reference"/>
    <w:basedOn w:val="DefaultParagraphFont"/>
    <w:uiPriority w:val="31"/>
    <w:qFormat/>
    <w:rsid w:val="00A81EB1"/>
    <w:rPr>
      <w:smallCaps/>
      <w:color w:val="5A5A5A" w:themeColor="text1" w:themeTint="A5"/>
    </w:rPr>
  </w:style>
  <w:style w:type="table" w:styleId="Table3Deffects1">
    <w:name w:val="Table 3D effects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A81EB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A81EB1"/>
    <w:pPr>
      <w:ind w:left="200" w:hanging="200"/>
    </w:pPr>
  </w:style>
  <w:style w:type="table" w:styleId="TableProfessional">
    <w:name w:val="Table Professional"/>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A81EB1"/>
    <w:pPr>
      <w:tabs>
        <w:tab w:val="left" w:pos="624"/>
        <w:tab w:val="left" w:pos="1247"/>
        <w:tab w:val="left" w:pos="1871"/>
        <w:tab w:val="left" w:pos="2495"/>
        <w:tab w:val="left" w:pos="3119"/>
        <w:tab w:val="left" w:pos="3742"/>
        <w:tab w:val="left" w:pos="4366"/>
      </w:tabs>
      <w:spacing w:after="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A81EB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1EB1"/>
    <w:rPr>
      <w:rFonts w:asciiTheme="majorHAnsi" w:eastAsiaTheme="majorEastAsia" w:hAnsiTheme="majorHAnsi" w:cstheme="majorBidi"/>
      <w:spacing w:val="-10"/>
      <w:kern w:val="28"/>
      <w:sz w:val="56"/>
      <w:szCs w:val="56"/>
      <w:lang w:eastAsia="en-US"/>
      <w14:ligatures w14:val="none"/>
    </w:rPr>
  </w:style>
  <w:style w:type="paragraph" w:styleId="TOAHeading">
    <w:name w:val="toa heading"/>
    <w:basedOn w:val="Normal"/>
    <w:next w:val="Normal"/>
    <w:uiPriority w:val="99"/>
    <w:semiHidden/>
    <w:unhideWhenUsed/>
    <w:rsid w:val="00A81EB1"/>
    <w:pPr>
      <w:spacing w:before="120"/>
    </w:pPr>
    <w:rPr>
      <w:rFonts w:asciiTheme="majorHAnsi" w:eastAsiaTheme="majorEastAsia" w:hAnsiTheme="majorHAnsi" w:cstheme="majorBidi"/>
      <w:b/>
      <w:bCs/>
    </w:rPr>
  </w:style>
  <w:style w:type="paragraph" w:styleId="TOCHeading">
    <w:name w:val="TOC Heading"/>
    <w:basedOn w:val="Heading1"/>
    <w:next w:val="Normal"/>
    <w:uiPriority w:val="39"/>
    <w:semiHidden/>
    <w:unhideWhenUsed/>
    <w:qFormat/>
    <w:rsid w:val="00A81EB1"/>
    <w:pPr>
      <w:keepLines/>
      <w:numPr>
        <w:numId w:val="0"/>
      </w:numPr>
      <w:spacing w:after="0"/>
      <w:outlineLvl w:val="9"/>
    </w:pPr>
    <w:rPr>
      <w:rFonts w:asciiTheme="majorHAnsi" w:eastAsiaTheme="majorEastAsia" w:hAnsiTheme="majorHAnsi" w:cstheme="majorBidi"/>
      <w:b w:val="0"/>
      <w:color w:val="2F5496" w:themeColor="accent1" w:themeShade="BF"/>
      <w:sz w:val="32"/>
      <w:szCs w:val="32"/>
    </w:rPr>
  </w:style>
  <w:style w:type="paragraph" w:customStyle="1" w:styleId="AText0">
    <w:name w:val="A_Text0"/>
    <w:basedOn w:val="AText"/>
    <w:next w:val="AText"/>
    <w:qFormat/>
    <w:rsid w:val="00DC2EC2"/>
    <w:pPr>
      <w:spacing w:before="0" w:after="120"/>
    </w:pPr>
  </w:style>
  <w:style w:type="table" w:customStyle="1" w:styleId="TableNormal1">
    <w:name w:val="Table Normal1"/>
    <w:next w:val="TableNormal"/>
    <w:semiHidden/>
    <w:rsid w:val="009C38E1"/>
    <w:pPr>
      <w:spacing w:after="0" w:line="240" w:lineRule="auto"/>
    </w:pPr>
    <w:rPr>
      <w:rFonts w:ascii="Times New Roman" w:eastAsia="Times New Roman" w:hAnsi="Times New Roman" w:cs="Times New Roman"/>
      <w:kern w:val="0"/>
      <w:sz w:val="20"/>
      <w:szCs w:val="20"/>
      <w:lang w:val="en-US"/>
      <w14:ligatures w14:val="none"/>
    </w:rPr>
    <w:tblPr>
      <w:tblInd w:w="0" w:type="dxa"/>
      <w:tblCellMar>
        <w:top w:w="0" w:type="dxa"/>
        <w:left w:w="108" w:type="dxa"/>
        <w:bottom w:w="0" w:type="dxa"/>
        <w:right w:w="108" w:type="dxa"/>
      </w:tblCellMar>
    </w:tblPr>
  </w:style>
  <w:style w:type="numbering" w:customStyle="1" w:styleId="NoList1">
    <w:name w:val="No List1"/>
    <w:next w:val="NoList"/>
    <w:semiHidden/>
    <w:rsid w:val="009C38E1"/>
  </w:style>
  <w:style w:type="paragraph" w:customStyle="1" w:styleId="Spacer">
    <w:name w:val="Spacer"/>
    <w:basedOn w:val="Normal"/>
    <w:semiHidden/>
    <w:rsid w:val="009C38E1"/>
    <w:pPr>
      <w:tabs>
        <w:tab w:val="left" w:pos="-720"/>
        <w:tab w:val="left" w:pos="0"/>
        <w:tab w:val="left" w:pos="720"/>
      </w:tabs>
      <w:suppressAutoHyphens/>
    </w:pPr>
    <w:rPr>
      <w:rFonts w:eastAsia="Times New Roman"/>
      <w:sz w:val="10"/>
      <w:szCs w:val="10"/>
      <w:lang w:eastAsia="en-US"/>
    </w:rPr>
  </w:style>
  <w:style w:type="paragraph" w:customStyle="1" w:styleId="Spacer1">
    <w:name w:val="Spacer1"/>
    <w:basedOn w:val="Normal"/>
    <w:semiHidden/>
    <w:rsid w:val="009C38E1"/>
    <w:rPr>
      <w:rFonts w:eastAsia="Times New Roman"/>
      <w:b/>
      <w:bCs/>
      <w:sz w:val="20"/>
      <w:szCs w:val="20"/>
      <w:lang w:eastAsia="en-US"/>
    </w:rPr>
  </w:style>
  <w:style w:type="paragraph" w:customStyle="1" w:styleId="Listings">
    <w:name w:val="Listings"/>
    <w:basedOn w:val="Normal"/>
    <w:semiHidden/>
    <w:rsid w:val="009C38E1"/>
    <w:pPr>
      <w:spacing w:after="40"/>
    </w:pPr>
    <w:rPr>
      <w:rFonts w:eastAsia="Times New Roman"/>
      <w:sz w:val="20"/>
      <w:szCs w:val="20"/>
      <w:lang w:eastAsia="en-US"/>
    </w:rPr>
  </w:style>
  <w:style w:type="paragraph" w:customStyle="1" w:styleId="ListBold">
    <w:name w:val="ListBold"/>
    <w:basedOn w:val="Listings"/>
    <w:semiHidden/>
    <w:rsid w:val="009C38E1"/>
    <w:rPr>
      <w:b/>
      <w:bCs/>
    </w:rPr>
  </w:style>
  <w:style w:type="paragraph" w:customStyle="1" w:styleId="ListAD">
    <w:name w:val="ListAD"/>
    <w:basedOn w:val="Listings"/>
    <w:semiHidden/>
    <w:rsid w:val="009C38E1"/>
    <w:pPr>
      <w:spacing w:after="0"/>
    </w:pPr>
  </w:style>
  <w:style w:type="paragraph" w:customStyle="1" w:styleId="Substance">
    <w:name w:val="Substance"/>
    <w:basedOn w:val="Heading1"/>
    <w:semiHidden/>
    <w:rsid w:val="009C38E1"/>
    <w:pPr>
      <w:numPr>
        <w:numId w:val="0"/>
      </w:numPr>
      <w:spacing w:before="160" w:after="160"/>
      <w:outlineLvl w:val="9"/>
    </w:pPr>
    <w:rPr>
      <w:bCs/>
      <w:kern w:val="28"/>
      <w:sz w:val="48"/>
      <w:szCs w:val="48"/>
      <w:lang w:val="en-GB"/>
    </w:rPr>
  </w:style>
  <w:style w:type="paragraph" w:customStyle="1" w:styleId="RefNo">
    <w:name w:val="RefNo"/>
    <w:basedOn w:val="Listings"/>
    <w:semiHidden/>
    <w:rsid w:val="009C38E1"/>
    <w:pPr>
      <w:spacing w:after="0"/>
      <w:jc w:val="right"/>
    </w:pPr>
    <w:rPr>
      <w:i/>
      <w:iCs/>
    </w:rPr>
  </w:style>
  <w:style w:type="paragraph" w:customStyle="1" w:styleId="Ripeat">
    <w:name w:val="Ripeat"/>
    <w:basedOn w:val="Normal"/>
    <w:next w:val="Normal"/>
    <w:semiHidden/>
    <w:rsid w:val="009C38E1"/>
    <w:rPr>
      <w:rFonts w:eastAsia="Times New Roman"/>
      <w:i/>
      <w:iCs/>
      <w:sz w:val="20"/>
      <w:szCs w:val="20"/>
      <w:lang w:eastAsia="en-US"/>
    </w:rPr>
  </w:style>
  <w:style w:type="paragraph" w:customStyle="1" w:styleId="Annex">
    <w:name w:val="Annex"/>
    <w:basedOn w:val="Normal"/>
    <w:next w:val="Normal"/>
    <w:autoRedefine/>
    <w:semiHidden/>
    <w:rsid w:val="009C38E1"/>
    <w:rPr>
      <w:rFonts w:eastAsia="Times New Roman"/>
      <w:smallCaps/>
      <w:sz w:val="22"/>
      <w:szCs w:val="22"/>
      <w:lang w:eastAsia="en-US"/>
    </w:rPr>
  </w:style>
  <w:style w:type="paragraph" w:customStyle="1" w:styleId="ca">
    <w:name w:val="ca"/>
    <w:basedOn w:val="Normal"/>
    <w:autoRedefine/>
    <w:semiHidden/>
    <w:rsid w:val="009C38E1"/>
    <w:pPr>
      <w:widowControl w:val="0"/>
    </w:pPr>
    <w:rPr>
      <w:rFonts w:eastAsia="Times New Roman"/>
      <w:snapToGrid w:val="0"/>
      <w:color w:val="000000"/>
      <w:sz w:val="20"/>
      <w:szCs w:val="20"/>
      <w:lang w:eastAsia="en-US"/>
    </w:rPr>
  </w:style>
  <w:style w:type="paragraph" w:customStyle="1" w:styleId="biblio">
    <w:name w:val="biblio"/>
    <w:basedOn w:val="Normal"/>
    <w:semiHidden/>
    <w:rsid w:val="009C38E1"/>
    <w:pPr>
      <w:widowControl w:val="0"/>
      <w:tabs>
        <w:tab w:val="left" w:pos="90"/>
      </w:tabs>
    </w:pPr>
    <w:rPr>
      <w:rFonts w:eastAsia="Times New Roman"/>
      <w:snapToGrid w:val="0"/>
      <w:color w:val="000000"/>
      <w:sz w:val="22"/>
      <w:szCs w:val="22"/>
      <w:lang w:eastAsia="en-US"/>
    </w:rPr>
  </w:style>
  <w:style w:type="paragraph" w:customStyle="1" w:styleId="ad">
    <w:name w:val="ad"/>
    <w:basedOn w:val="Normal"/>
    <w:semiHidden/>
    <w:rsid w:val="009C38E1"/>
    <w:pPr>
      <w:widowControl w:val="0"/>
      <w:tabs>
        <w:tab w:val="left" w:pos="6480"/>
        <w:tab w:val="left" w:pos="7200"/>
      </w:tabs>
    </w:pPr>
    <w:rPr>
      <w:rFonts w:ascii="Abadi MT Condensed" w:eastAsia="Times New Roman" w:hAnsi="Abadi MT Condensed"/>
      <w:snapToGrid w:val="0"/>
      <w:color w:val="000000"/>
      <w:sz w:val="20"/>
      <w:szCs w:val="20"/>
      <w:lang w:eastAsia="en-US"/>
    </w:rPr>
  </w:style>
  <w:style w:type="paragraph" w:customStyle="1" w:styleId="TH">
    <w:name w:val="TH"/>
    <w:basedOn w:val="ad"/>
    <w:next w:val="Normal"/>
    <w:semiHidden/>
    <w:rsid w:val="009C38E1"/>
    <w:pPr>
      <w:tabs>
        <w:tab w:val="clear" w:pos="6480"/>
        <w:tab w:val="clear" w:pos="7200"/>
      </w:tabs>
      <w:spacing w:before="80"/>
    </w:pPr>
    <w:rPr>
      <w:rFonts w:ascii="Arial Narrow" w:hAnsi="Arial Narrow"/>
      <w:b/>
      <w:bCs/>
      <w:sz w:val="24"/>
      <w:szCs w:val="24"/>
    </w:rPr>
  </w:style>
  <w:style w:type="paragraph" w:customStyle="1" w:styleId="mainpara">
    <w:name w:val="mainpara"/>
    <w:basedOn w:val="Normal"/>
    <w:semiHidden/>
    <w:rsid w:val="009C38E1"/>
    <w:pPr>
      <w:numPr>
        <w:numId w:val="27"/>
      </w:numPr>
      <w:tabs>
        <w:tab w:val="clear" w:pos="473"/>
        <w:tab w:val="left" w:pos="720"/>
        <w:tab w:val="left" w:pos="1440"/>
      </w:tabs>
    </w:pPr>
    <w:rPr>
      <w:rFonts w:eastAsia="Times New Roman"/>
      <w:snapToGrid w:val="0"/>
      <w:sz w:val="22"/>
      <w:szCs w:val="22"/>
      <w:lang w:eastAsia="en-US"/>
    </w:rPr>
  </w:style>
  <w:style w:type="paragraph" w:customStyle="1" w:styleId="Level1">
    <w:name w:val="Level1"/>
    <w:basedOn w:val="Normal"/>
    <w:semiHidden/>
    <w:rsid w:val="009C38E1"/>
    <w:pPr>
      <w:tabs>
        <w:tab w:val="left" w:pos="578"/>
        <w:tab w:val="left" w:pos="1157"/>
      </w:tabs>
      <w:suppressAutoHyphens/>
      <w:spacing w:after="240"/>
    </w:pPr>
    <w:rPr>
      <w:rFonts w:eastAsia="Times New Roman"/>
      <w:sz w:val="22"/>
      <w:szCs w:val="22"/>
      <w:lang w:eastAsia="en-US"/>
    </w:rPr>
  </w:style>
  <w:style w:type="character" w:customStyle="1" w:styleId="EmailStyle20">
    <w:name w:val="EmailStyle20"/>
    <w:semiHidden/>
    <w:rsid w:val="009C38E1"/>
    <w:rPr>
      <w:rFonts w:ascii="Arial" w:hAnsi="Arial" w:cs="Arial"/>
      <w:color w:val="000000"/>
      <w:sz w:val="20"/>
      <w:szCs w:val="20"/>
    </w:rPr>
  </w:style>
  <w:style w:type="character" w:customStyle="1" w:styleId="emailstyle15">
    <w:name w:val="emailstyle15"/>
    <w:semiHidden/>
    <w:rsid w:val="009C38E1"/>
    <w:rPr>
      <w:rFonts w:ascii="Arial" w:hAnsi="Arial" w:cs="Arial"/>
      <w:color w:val="000000"/>
      <w:sz w:val="20"/>
      <w:szCs w:val="20"/>
    </w:rPr>
  </w:style>
  <w:style w:type="character" w:customStyle="1" w:styleId="code">
    <w:name w:val="code"/>
    <w:basedOn w:val="DefaultParagraphFont"/>
    <w:semiHidden/>
    <w:rsid w:val="009C38E1"/>
  </w:style>
  <w:style w:type="character" w:customStyle="1" w:styleId="UnresolvedMention1">
    <w:name w:val="Unresolved Mention1"/>
    <w:uiPriority w:val="99"/>
    <w:semiHidden/>
    <w:rsid w:val="009C38E1"/>
    <w:rPr>
      <w:color w:val="605E5C"/>
      <w:shd w:val="clear" w:color="auto" w:fill="E1DFDD"/>
    </w:rPr>
  </w:style>
  <w:style w:type="character" w:customStyle="1" w:styleId="separatedcasnumbers">
    <w:name w:val="separatedcasnumbers"/>
    <w:basedOn w:val="DefaultParagraphFont"/>
    <w:semiHidden/>
    <w:rsid w:val="009C38E1"/>
  </w:style>
  <w:style w:type="character" w:customStyle="1" w:styleId="hgkelc">
    <w:name w:val="hgkelc"/>
    <w:basedOn w:val="DefaultParagraphFont"/>
    <w:semiHidden/>
    <w:rsid w:val="009C38E1"/>
  </w:style>
  <w:style w:type="paragraph" w:customStyle="1" w:styleId="Default">
    <w:name w:val="Default"/>
    <w:semiHidden/>
    <w:rsid w:val="009C38E1"/>
    <w:pPr>
      <w:autoSpaceDE w:val="0"/>
      <w:autoSpaceDN w:val="0"/>
      <w:adjustRightInd w:val="0"/>
      <w:spacing w:after="0" w:line="240" w:lineRule="auto"/>
    </w:pPr>
    <w:rPr>
      <w:rFonts w:ascii="Calibri" w:eastAsia="SimSun" w:hAnsi="Calibri" w:cs="Calibri"/>
      <w:color w:val="000000"/>
      <w:kern w:val="0"/>
      <w:sz w:val="24"/>
      <w:szCs w:val="24"/>
      <w:lang w:val="en-GB" w:eastAsia="en-GB"/>
      <w14:ligatures w14:val="none"/>
    </w:rPr>
  </w:style>
  <w:style w:type="paragraph" w:styleId="Revision">
    <w:name w:val="Revision"/>
    <w:hidden/>
    <w:uiPriority w:val="99"/>
    <w:semiHidden/>
    <w:rsid w:val="009C38E1"/>
    <w:pPr>
      <w:spacing w:after="0" w:line="240" w:lineRule="auto"/>
    </w:pPr>
    <w:rPr>
      <w:rFonts w:ascii="Times New Roman" w:eastAsia="SimSun" w:hAnsi="Times New Roman" w:cs="Times New Roman"/>
      <w:kern w:val="0"/>
      <w:sz w:val="24"/>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2.xml"/><Relationship Id="rId26" Type="http://schemas.openxmlformats.org/officeDocument/2006/relationships/hyperlink" Target="http://ipam-global.org/" TargetMode="External"/><Relationship Id="rId39" Type="http://schemas.openxmlformats.org/officeDocument/2006/relationships/hyperlink" Target="https://inchem.org/documents/jmpr/jmpmono/v2003pr08.htm" TargetMode="External"/><Relationship Id="rId21" Type="http://schemas.openxmlformats.org/officeDocument/2006/relationships/header" Target="header3.xml"/><Relationship Id="rId34" Type="http://schemas.openxmlformats.org/officeDocument/2006/relationships/hyperlink" Target="http://www.inchem.org/documents/hsg/hsg/hsg051.htm" TargetMode="External"/><Relationship Id="rId42" Type="http://schemas.openxmlformats.org/officeDocument/2006/relationships/hyperlink" Target="https://www.who.int/publications/i/item/9789240005662" TargetMode="External"/><Relationship Id="rId47" Type="http://schemas.openxmlformats.org/officeDocument/2006/relationships/hyperlink" Target="https://www.fao.org/publications/card/en/c/ebf95954-e6af-504c-a2e8-bf8671009bf7/" TargetMode="External"/><Relationship Id="rId50" Type="http://schemas.openxmlformats.org/officeDocument/2006/relationships/hyperlink" Target="http://www.basel.int" TargetMode="External"/><Relationship Id="rId55" Type="http://schemas.openxmlformats.org/officeDocument/2006/relationships/image" Target="media/image6.png"/><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file:///S:\Marin\Agenda\!UNEP.WPG" TargetMode="External"/><Relationship Id="rId29" Type="http://schemas.openxmlformats.org/officeDocument/2006/relationships/hyperlink" Target="https://www.fao.org/fao-who-codexalimentarius/codex-texts/dbs/pestres/pesticide-detail/en/?p_id=57" TargetMode="External"/><Relationship Id="rId11" Type="http://schemas.openxmlformats.org/officeDocument/2006/relationships/image" Target="media/image1.png"/><Relationship Id="rId24" Type="http://schemas.openxmlformats.org/officeDocument/2006/relationships/hyperlink" Target="https://sitem.herts.ac.uk/aeru/ppdb/en/Reports/505.htm" TargetMode="External"/><Relationship Id="rId32" Type="http://schemas.openxmlformats.org/officeDocument/2006/relationships/hyperlink" Target="http://www.inchem.org/documents/pims/chemical/pim399.htm" TargetMode="External"/><Relationship Id="rId37" Type="http://schemas.openxmlformats.org/officeDocument/2006/relationships/hyperlink" Target="http://www.inchem.org/documents/hsg/hsg/hsg051.htm" TargetMode="External"/><Relationship Id="rId40" Type="http://schemas.openxmlformats.org/officeDocument/2006/relationships/hyperlink" Target="http://www.fao.org/fileadmin/templates/agphome/documents/Pests_Pesticides/Code/Report.pdf" TargetMode="External"/><Relationship Id="rId45" Type="http://schemas.openxmlformats.org/officeDocument/2006/relationships/hyperlink" Target="https://archive.epa.gov/pesticides/reregistration/web/pdf/0262fact.pdf" TargetMode="External"/><Relationship Id="rId53" Type="http://schemas.openxmlformats.org/officeDocument/2006/relationships/hyperlink" Target="http://www.fao.org/agriculture/crops/thematic-sitemap/theme/pests/code/list-guide-new/en/" TargetMode="External"/><Relationship Id="rId58" Type="http://schemas.openxmlformats.org/officeDocument/2006/relationships/header" Target="header5.xml"/><Relationship Id="rId5" Type="http://schemas.openxmlformats.org/officeDocument/2006/relationships/numbering" Target="numbering.xml"/><Relationship Id="rId61" Type="http://schemas.openxmlformats.org/officeDocument/2006/relationships/header" Target="header6.xml"/><Relationship Id="rId19" Type="http://schemas.openxmlformats.org/officeDocument/2006/relationships/footer" Target="footer1.xml"/><Relationship Id="rId14" Type="http://schemas.openxmlformats.org/officeDocument/2006/relationships/image" Target="file:///S:\Marin\Agenda\!OLEGENE.WPG" TargetMode="External"/><Relationship Id="rId22" Type="http://schemas.openxmlformats.org/officeDocument/2006/relationships/footer" Target="footer3.xml"/><Relationship Id="rId27" Type="http://schemas.openxmlformats.org/officeDocument/2006/relationships/hyperlink" Target="http://www.oisat.org/" TargetMode="External"/><Relationship Id="rId30" Type="http://schemas.openxmlformats.org/officeDocument/2006/relationships/hyperlink" Target="https://ec.europa.eu/food/plant/pesticides/eu-pesticides-database/mrls/?event=details&amp;pest_res_ids=172&amp;product_ids=&amp;v=1&amp;e=search.pr" TargetMode="External"/><Relationship Id="rId35" Type="http://schemas.openxmlformats.org/officeDocument/2006/relationships/hyperlink" Target="https://www.fao.org/pest-and-pesticide-management/pesticide-risk-reduction/code-conduct/waste-management/en/" TargetMode="External"/><Relationship Id="rId43" Type="http://schemas.openxmlformats.org/officeDocument/2006/relationships/hyperlink" Target="http://www.efsa.europa.eu/en/efsajournal/pub/1501.htm" TargetMode="External"/><Relationship Id="rId48" Type="http://schemas.openxmlformats.org/officeDocument/2006/relationships/hyperlink" Target="https://www.fao.org/publications/card/en/c/CB2748EN" TargetMode="External"/><Relationship Id="rId56" Type="http://schemas.openxmlformats.org/officeDocument/2006/relationships/oleObject" Target="embeddings/oleObject1.bin"/><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fao.org/3/a-v7460e.pdf" TargetMode="Externa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header" Target="header1.xml"/><Relationship Id="rId25" Type="http://schemas.openxmlformats.org/officeDocument/2006/relationships/hyperlink" Target="http://www.fao.org/agroecology/en/" TargetMode="External"/><Relationship Id="rId33" Type="http://schemas.openxmlformats.org/officeDocument/2006/relationships/hyperlink" Target="https://inchem.org/documents/icsc/icsc/eics0005.htm" TargetMode="External"/><Relationship Id="rId38" Type="http://schemas.openxmlformats.org/officeDocument/2006/relationships/hyperlink" Target="https://ec.europa.eu/food/plant/pesticides/eu-pesticides-database/backend/api/active_substance/download/1106" TargetMode="External"/><Relationship Id="rId46" Type="http://schemas.openxmlformats.org/officeDocument/2006/relationships/hyperlink" Target="https://www.fao.org/publications/card/en/c/028c7c7a-7cbb-5953-be19-56fca560156d/" TargetMode="External"/><Relationship Id="rId59" Type="http://schemas.openxmlformats.org/officeDocument/2006/relationships/footer" Target="footer4.xml"/><Relationship Id="rId20" Type="http://schemas.openxmlformats.org/officeDocument/2006/relationships/footer" Target="footer2.xml"/><Relationship Id="rId41" Type="http://schemas.openxmlformats.org/officeDocument/2006/relationships/hyperlink" Target="https://www.who.int/publications" TargetMode="External"/><Relationship Id="rId54" Type="http://schemas.openxmlformats.org/officeDocument/2006/relationships/hyperlink" Target="https://www.fao.org/3/i4854e/i4854e.pdf" TargetMode="External"/><Relationship Id="rId62"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5.emf"/><Relationship Id="rId28" Type="http://schemas.openxmlformats.org/officeDocument/2006/relationships/hyperlink" Target="https://saicmknowledge.org/library/replacing-chemicals-biology-phasing-out-highly-hazardous-pesticides-agroecology" TargetMode="External"/><Relationship Id="rId36" Type="http://schemas.openxmlformats.org/officeDocument/2006/relationships/hyperlink" Target="https://www.fao.org/publications/search/en/?serialtitle=RkFPIFBlc3RpY2lkZSBEaXNwb3NhbCBTZXJpZXM" TargetMode="External"/><Relationship Id="rId49" Type="http://schemas.openxmlformats.org/officeDocument/2006/relationships/hyperlink" Target="https://webgate.ec.europa.eu/dyna2/extdoc/getfile/090166e5dab32131" TargetMode="External"/><Relationship Id="rId57" Type="http://schemas.openxmlformats.org/officeDocument/2006/relationships/header" Target="header4.xml"/><Relationship Id="rId10" Type="http://schemas.openxmlformats.org/officeDocument/2006/relationships/endnotes" Target="endnotes.xml"/><Relationship Id="rId31" Type="http://schemas.openxmlformats.org/officeDocument/2006/relationships/hyperlink" Target="https://inchem.org/documents/icsc/icsc/eics0005.htm" TargetMode="External"/><Relationship Id="rId44" Type="http://schemas.openxmlformats.org/officeDocument/2006/relationships/hyperlink" Target="http://www.inchem.org/documents/pims/chemical/pim399.htm" TargetMode="External"/><Relationship Id="rId52" Type="http://schemas.openxmlformats.org/officeDocument/2006/relationships/hyperlink" Target="http://www.fao.org/agriculture/crops/thematic-sitemap/theme/pests/code/list-guide-new/en/" TargetMode="External"/><Relationship Id="rId60"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8527E0A0837F64083645E115EB57567" ma:contentTypeVersion="12" ma:contentTypeDescription="Create a new document." ma:contentTypeScope="" ma:versionID="af15abcd28502138ec9db060e2e0082a">
  <xsd:schema xmlns:xsd="http://www.w3.org/2001/XMLSchema" xmlns:xs="http://www.w3.org/2001/XMLSchema" xmlns:p="http://schemas.microsoft.com/office/2006/metadata/properties" xmlns:ns2="44b29a07-ae0c-4297-aad9-2f7ae2e24b8e" xmlns:ns3="a591afa8-fd54-42f1-9ea9-749d51e1c00b" targetNamespace="http://schemas.microsoft.com/office/2006/metadata/properties" ma:root="true" ma:fieldsID="2820a95b044474b4e901ae50fb64eb05" ns2:_="" ns3:_="">
    <xsd:import namespace="44b29a07-ae0c-4297-aad9-2f7ae2e24b8e"/>
    <xsd:import namespace="a591afa8-fd54-42f1-9ea9-749d51e1c0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b29a07-ae0c-4297-aad9-2f7ae2e24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91afa8-fd54-42f1-9ea9-749d51e1c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235E97-C68E-4544-AE34-1AD5A2EBD5D7}">
  <ds:schemaRefs>
    <ds:schemaRef ds:uri="http://schemas.openxmlformats.org/officeDocument/2006/bibliography"/>
  </ds:schemaRefs>
</ds:datastoreItem>
</file>

<file path=customXml/itemProps2.xml><?xml version="1.0" encoding="utf-8"?>
<ds:datastoreItem xmlns:ds="http://schemas.openxmlformats.org/officeDocument/2006/customXml" ds:itemID="{BE312B7D-C22A-4214-86CD-2DEDA377BF5C}">
  <ds:schemaRefs>
    <ds:schemaRef ds:uri="http://schemas.microsoft.com/sharepoint/v3/contenttype/forms"/>
  </ds:schemaRefs>
</ds:datastoreItem>
</file>

<file path=customXml/itemProps3.xml><?xml version="1.0" encoding="utf-8"?>
<ds:datastoreItem xmlns:ds="http://schemas.openxmlformats.org/officeDocument/2006/customXml" ds:itemID="{AA9F9F43-F759-4E2D-A125-29AA03883F1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725F6A6-533C-47DB-A8BA-DFE81BA1C2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b29a07-ae0c-4297-aad9-2f7ae2e24b8e"/>
    <ds:schemaRef ds:uri="a591afa8-fd54-42f1-9ea9-749d51e1c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40</Pages>
  <Words>17770</Words>
  <Characters>97737</Characters>
  <Application>Microsoft Office Word</Application>
  <DocSecurity>0</DocSecurity>
  <PresentationFormat/>
  <Lines>814</Lines>
  <Paragraphs>230</Paragraphs>
  <ScaleCrop>false</ScaleCrop>
  <Manager/>
  <Company/>
  <LinksUpToDate>false</LinksUpToDate>
  <CharactersWithSpaces>115277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Lieven</dc:creator>
  <cp:keywords/>
  <dc:description/>
  <cp:lastModifiedBy>Dan Dar-Ziv</cp:lastModifiedBy>
  <cp:revision>6</cp:revision>
  <cp:lastPrinted>2023-06-27T06:48:00Z</cp:lastPrinted>
  <dcterms:created xsi:type="dcterms:W3CDTF">2023-06-27T06:45:00Z</dcterms:created>
  <dcterms:modified xsi:type="dcterms:W3CDTF">2023-08-14T12:09:00Z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UNEP-FAO-RC-CRC</vt:lpwstr>
  </property>
  <property fmtid="{D5CDD505-2E9C-101B-9397-08002B2CF9AE}" pid="5" name="UNONDCSTES-NoSymbol">
    <vt:lpwstr>1</vt:lpwstr>
  </property>
  <property fmtid="{D5CDD505-2E9C-101B-9397-08002B2CF9AE}" pid="6" name="UNONDCSTES-LangDistr">
    <vt:lpwstr>EN_EN</vt:lpwstr>
  </property>
  <property fmtid="{D5CDD505-2E9C-101B-9397-08002B2CF9AE}" pid="7" name="UNONDCSTES-ReqEmail">
    <vt:lpwstr/>
  </property>
  <property fmtid="{D5CDD505-2E9C-101B-9397-08002B2CF9AE}" pid="8" name="UNONDCSTES-ReqID">
    <vt:lpwstr/>
  </property>
  <property fmtid="{D5CDD505-2E9C-101B-9397-08002B2CF9AE}" pid="9" name="ContentTypeId">
    <vt:lpwstr>0x010100A8527E0A0837F64083645E115EB57567</vt:lpwstr>
  </property>
  <property fmtid="{D5CDD505-2E9C-101B-9397-08002B2CF9AE}" pid="10" name="MediaServiceImageTags">
    <vt:lpwstr/>
  </property>
  <property fmtid="{D5CDD505-2E9C-101B-9397-08002B2CF9AE}" pid="11" name="Order">
    <vt:r8>245800</vt:r8>
  </property>
  <property fmtid="{D5CDD505-2E9C-101B-9397-08002B2CF9AE}" pid="12" name="xd_Signature">
    <vt:bool>false</vt:bool>
  </property>
  <property fmtid="{D5CDD505-2E9C-101B-9397-08002B2CF9AE}" pid="13" name="xd_ProgID">
    <vt:lpwstr/>
  </property>
  <property fmtid="{D5CDD505-2E9C-101B-9397-08002B2CF9AE}" pid="14" name="ComplianceAssetId">
    <vt:lpwstr/>
  </property>
  <property fmtid="{D5CDD505-2E9C-101B-9397-08002B2CF9AE}" pid="15" name="TemplateUrl">
    <vt:lpwstr/>
  </property>
  <property fmtid="{D5CDD505-2E9C-101B-9397-08002B2CF9AE}" pid="16" name="_ExtendedDescription">
    <vt:lpwstr/>
  </property>
  <property fmtid="{D5CDD505-2E9C-101B-9397-08002B2CF9AE}" pid="17" name="TriggerFlowInfo">
    <vt:lpwstr/>
  </property>
</Properties>
</file>