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CFFE4" w14:textId="77777777" w:rsidR="00001893" w:rsidRPr="00731744" w:rsidRDefault="00001893" w:rsidP="00001893">
      <w:pPr>
        <w:pStyle w:val="CH1"/>
        <w:keepNext w:val="0"/>
        <w:keepLines w:val="0"/>
        <w:ind w:firstLine="0"/>
        <w:rPr>
          <w:rFonts w:eastAsia="HGMaruGothicMPRO"/>
          <w:lang w:val="en-GB"/>
        </w:rPr>
      </w:pPr>
      <w:bookmarkStart w:id="0" w:name="_Hlk116037716"/>
      <w:r w:rsidRPr="00731744">
        <w:rPr>
          <w:rFonts w:eastAsia="HGMaruGothicMPRO"/>
          <w:lang w:val="en-GB"/>
        </w:rPr>
        <w:t xml:space="preserve">CRC-18/4: Paraquat </w:t>
      </w:r>
    </w:p>
    <w:bookmarkEnd w:id="0"/>
    <w:p w14:paraId="66419AED" w14:textId="77777777" w:rsidR="00001893" w:rsidRPr="00001893" w:rsidRDefault="00001893" w:rsidP="00001893">
      <w:pPr>
        <w:tabs>
          <w:tab w:val="left" w:pos="624"/>
        </w:tabs>
        <w:spacing w:after="120"/>
        <w:ind w:left="1247" w:firstLine="624"/>
        <w:rPr>
          <w:rFonts w:ascii="Times New Roman" w:eastAsia="SimSun" w:hAnsi="Times New Roman" w:cs="Times New Roman"/>
          <w:kern w:val="0"/>
          <w:sz w:val="20"/>
          <w:szCs w:val="20"/>
          <w:lang w:val="en-GB"/>
          <w14:ligatures w14:val="none"/>
        </w:rPr>
      </w:pPr>
      <w:r w:rsidRPr="00001893">
        <w:rPr>
          <w:rFonts w:ascii="Times New Roman" w:eastAsia="SimSun" w:hAnsi="Times New Roman" w:cs="Times New Roman"/>
          <w:kern w:val="0"/>
          <w:sz w:val="20"/>
          <w:szCs w:val="20"/>
          <w:lang w:val="en-GB"/>
          <w14:ligatures w14:val="none"/>
        </w:rPr>
        <w:t>The Chemical Review Committee,</w:t>
      </w:r>
    </w:p>
    <w:p w14:paraId="7DE172C6" w14:textId="77777777" w:rsidR="00001893" w:rsidRPr="00001893" w:rsidRDefault="00001893" w:rsidP="00001893">
      <w:pPr>
        <w:tabs>
          <w:tab w:val="left" w:pos="624"/>
        </w:tabs>
        <w:spacing w:after="120"/>
        <w:ind w:left="1247" w:firstLine="624"/>
        <w:rPr>
          <w:rFonts w:ascii="Times New Roman" w:eastAsia="SimSun" w:hAnsi="Times New Roman" w:cs="Times New Roman"/>
          <w:kern w:val="0"/>
          <w:sz w:val="20"/>
          <w:szCs w:val="20"/>
          <w:lang w:val="en-GB"/>
          <w14:ligatures w14:val="none"/>
        </w:rPr>
      </w:pPr>
      <w:r w:rsidRPr="00001893">
        <w:rPr>
          <w:rFonts w:ascii="Times New Roman" w:eastAsia="SimSun" w:hAnsi="Times New Roman" w:cs="Times New Roman"/>
          <w:kern w:val="0"/>
          <w:sz w:val="20"/>
          <w:szCs w:val="20"/>
          <w:lang w:val="en-GB"/>
          <w14:ligatures w14:val="none"/>
        </w:rPr>
        <w:t>Recalling Article 5 of the Rotterdam Convention on the Prior Informed Consent Procedure for Certain Hazardous Chemicals and Pesticides in International Trade,</w:t>
      </w:r>
    </w:p>
    <w:p w14:paraId="4CFD1FB9" w14:textId="77777777" w:rsidR="00001893" w:rsidRPr="00001893" w:rsidRDefault="00001893" w:rsidP="00001893">
      <w:pPr>
        <w:numPr>
          <w:ilvl w:val="0"/>
          <w:numId w:val="2"/>
        </w:numPr>
        <w:tabs>
          <w:tab w:val="left" w:pos="624"/>
          <w:tab w:val="left" w:pos="1247"/>
          <w:tab w:val="left" w:pos="1814"/>
          <w:tab w:val="left" w:pos="2381"/>
          <w:tab w:val="left" w:pos="2948"/>
          <w:tab w:val="left" w:pos="3515"/>
        </w:tabs>
        <w:spacing w:after="120" w:line="240" w:lineRule="auto"/>
        <w:ind w:left="1247" w:firstLine="624"/>
        <w:rPr>
          <w:rFonts w:ascii="Times New Roman" w:eastAsia="SimSun" w:hAnsi="Times New Roman" w:cs="Times New Roman"/>
          <w:kern w:val="0"/>
          <w:sz w:val="20"/>
          <w:szCs w:val="20"/>
          <w:lang w:val="en-GB"/>
          <w14:ligatures w14:val="none"/>
        </w:rPr>
      </w:pPr>
      <w:r w:rsidRPr="00001893">
        <w:rPr>
          <w:rFonts w:ascii="Times New Roman" w:eastAsia="SimSun" w:hAnsi="Times New Roman" w:cs="Times New Roman"/>
          <w:kern w:val="0"/>
          <w:sz w:val="20"/>
          <w:szCs w:val="20"/>
          <w:lang w:val="en-GB"/>
          <w14:ligatures w14:val="none"/>
        </w:rPr>
        <w:t>Concludes that the notifications of final regulatory action for paraquat submitted by Malaysia and Mozambique</w:t>
      </w:r>
      <w:r w:rsidRPr="00001893">
        <w:rPr>
          <w:rFonts w:ascii="Times New Roman" w:eastAsia="SimSun" w:hAnsi="Times New Roman" w:cs="Times New Roman"/>
          <w:kern w:val="0"/>
          <w:sz w:val="20"/>
          <w:szCs w:val="20"/>
          <w:lang w:val="en-GB"/>
          <w14:ligatures w14:val="none"/>
        </w:rPr>
        <w:footnoteReference w:id="1"/>
      </w:r>
      <w:r w:rsidRPr="00001893">
        <w:rPr>
          <w:rFonts w:ascii="Times New Roman" w:eastAsia="SimSun" w:hAnsi="Times New Roman" w:cs="Times New Roman"/>
          <w:kern w:val="0"/>
          <w:sz w:val="20"/>
          <w:szCs w:val="20"/>
          <w:lang w:val="en-GB"/>
          <w14:ligatures w14:val="none"/>
        </w:rPr>
        <w:t xml:space="preserve"> meet the criteria set out in Annex II to the </w:t>
      </w:r>
      <w:proofErr w:type="gramStart"/>
      <w:r w:rsidRPr="00001893">
        <w:rPr>
          <w:rFonts w:ascii="Times New Roman" w:eastAsia="SimSun" w:hAnsi="Times New Roman" w:cs="Times New Roman"/>
          <w:kern w:val="0"/>
          <w:sz w:val="20"/>
          <w:szCs w:val="20"/>
          <w:lang w:val="en-GB"/>
          <w14:ligatures w14:val="none"/>
        </w:rPr>
        <w:t>Convention;</w:t>
      </w:r>
      <w:proofErr w:type="gramEnd"/>
    </w:p>
    <w:p w14:paraId="25B6D78C" w14:textId="77777777" w:rsidR="00001893" w:rsidRPr="00001893" w:rsidRDefault="00001893" w:rsidP="00001893">
      <w:pPr>
        <w:numPr>
          <w:ilvl w:val="0"/>
          <w:numId w:val="2"/>
        </w:numPr>
        <w:tabs>
          <w:tab w:val="left" w:pos="624"/>
          <w:tab w:val="left" w:pos="1247"/>
          <w:tab w:val="left" w:pos="1814"/>
          <w:tab w:val="left" w:pos="2381"/>
          <w:tab w:val="left" w:pos="2948"/>
          <w:tab w:val="left" w:pos="3515"/>
        </w:tabs>
        <w:spacing w:after="120" w:line="240" w:lineRule="auto"/>
        <w:ind w:left="1247" w:firstLine="624"/>
        <w:rPr>
          <w:rFonts w:ascii="Times New Roman" w:eastAsia="SimSun" w:hAnsi="Times New Roman" w:cs="Times New Roman"/>
          <w:kern w:val="0"/>
          <w:sz w:val="20"/>
          <w:szCs w:val="20"/>
          <w:lang w:val="en-GB"/>
          <w14:ligatures w14:val="none"/>
        </w:rPr>
      </w:pPr>
      <w:r w:rsidRPr="00001893">
        <w:rPr>
          <w:rFonts w:ascii="Times New Roman" w:eastAsia="SimSun" w:hAnsi="Times New Roman" w:cs="Times New Roman"/>
          <w:kern w:val="0"/>
          <w:sz w:val="20"/>
          <w:szCs w:val="20"/>
          <w:lang w:val="en-GB"/>
          <w14:ligatures w14:val="none"/>
        </w:rPr>
        <w:t xml:space="preserve">Adopts the rationale for the Committee’s conclusion set out in the annex to the present </w:t>
      </w:r>
      <w:proofErr w:type="gramStart"/>
      <w:r w:rsidRPr="00001893">
        <w:rPr>
          <w:rFonts w:ascii="Times New Roman" w:eastAsia="SimSun" w:hAnsi="Times New Roman" w:cs="Times New Roman"/>
          <w:kern w:val="0"/>
          <w:sz w:val="20"/>
          <w:szCs w:val="20"/>
          <w:lang w:val="en-GB"/>
          <w14:ligatures w14:val="none"/>
        </w:rPr>
        <w:t>decision;</w:t>
      </w:r>
      <w:proofErr w:type="gramEnd"/>
    </w:p>
    <w:p w14:paraId="7277D971" w14:textId="77777777" w:rsidR="00001893" w:rsidRPr="00001893" w:rsidRDefault="00001893" w:rsidP="00001893">
      <w:pPr>
        <w:numPr>
          <w:ilvl w:val="0"/>
          <w:numId w:val="2"/>
        </w:numPr>
        <w:tabs>
          <w:tab w:val="left" w:pos="624"/>
          <w:tab w:val="left" w:pos="1247"/>
          <w:tab w:val="left" w:pos="1814"/>
          <w:tab w:val="left" w:pos="2381"/>
          <w:tab w:val="left" w:pos="2948"/>
          <w:tab w:val="left" w:pos="3515"/>
        </w:tabs>
        <w:spacing w:after="120" w:line="240" w:lineRule="auto"/>
        <w:ind w:left="1247" w:firstLine="624"/>
        <w:rPr>
          <w:rFonts w:ascii="Times New Roman" w:eastAsia="SimSun" w:hAnsi="Times New Roman" w:cs="Times New Roman"/>
          <w:kern w:val="0"/>
          <w:sz w:val="20"/>
          <w:szCs w:val="20"/>
          <w:lang w:val="en-GB"/>
          <w14:ligatures w14:val="none"/>
        </w:rPr>
      </w:pPr>
      <w:r w:rsidRPr="00001893">
        <w:rPr>
          <w:rFonts w:ascii="Times New Roman" w:eastAsia="SimSun" w:hAnsi="Times New Roman" w:cs="Times New Roman"/>
          <w:kern w:val="0"/>
          <w:sz w:val="20"/>
          <w:szCs w:val="20"/>
          <w:lang w:val="en-GB"/>
          <w14:ligatures w14:val="none"/>
        </w:rPr>
        <w:t xml:space="preserve">Recommends, in accordance with paragraph 6 of Article 5 of the Convention, that the Conference of the Parties list paraquat in Annex III to the Convention as a </w:t>
      </w:r>
      <w:proofErr w:type="gramStart"/>
      <w:r w:rsidRPr="00001893">
        <w:rPr>
          <w:rFonts w:ascii="Times New Roman" w:eastAsia="SimSun" w:hAnsi="Times New Roman" w:cs="Times New Roman"/>
          <w:kern w:val="0"/>
          <w:sz w:val="20"/>
          <w:szCs w:val="20"/>
          <w:lang w:val="en-GB"/>
          <w14:ligatures w14:val="none"/>
        </w:rPr>
        <w:t>pesticide;</w:t>
      </w:r>
      <w:proofErr w:type="gramEnd"/>
    </w:p>
    <w:p w14:paraId="7ADDBE1B" w14:textId="77777777" w:rsidR="00001893" w:rsidRPr="00001893" w:rsidRDefault="00001893" w:rsidP="00001893">
      <w:pPr>
        <w:numPr>
          <w:ilvl w:val="0"/>
          <w:numId w:val="2"/>
        </w:numPr>
        <w:tabs>
          <w:tab w:val="left" w:pos="624"/>
          <w:tab w:val="left" w:pos="1247"/>
          <w:tab w:val="left" w:pos="1814"/>
          <w:tab w:val="left" w:pos="2381"/>
          <w:tab w:val="left" w:pos="2948"/>
          <w:tab w:val="left" w:pos="3515"/>
        </w:tabs>
        <w:spacing w:after="120" w:line="240" w:lineRule="auto"/>
        <w:ind w:left="1247" w:firstLine="624"/>
        <w:rPr>
          <w:rFonts w:ascii="Times New Roman" w:eastAsia="SimSun" w:hAnsi="Times New Roman" w:cs="Times New Roman"/>
          <w:kern w:val="0"/>
          <w:sz w:val="20"/>
          <w:szCs w:val="20"/>
          <w:lang w:val="en-GB"/>
          <w14:ligatures w14:val="none"/>
        </w:rPr>
      </w:pPr>
      <w:r w:rsidRPr="00001893">
        <w:rPr>
          <w:rFonts w:ascii="Times New Roman" w:eastAsia="SimSun" w:hAnsi="Times New Roman" w:cs="Times New Roman"/>
          <w:kern w:val="0"/>
          <w:sz w:val="20"/>
          <w:szCs w:val="20"/>
          <w:lang w:val="en-GB"/>
          <w14:ligatures w14:val="none"/>
        </w:rPr>
        <w:t xml:space="preserve">Decides, in accordance with paragraph 1 of Article 7 of the Convention, to prepare a draft decision guidance document for </w:t>
      </w:r>
      <w:proofErr w:type="gramStart"/>
      <w:r w:rsidRPr="00001893">
        <w:rPr>
          <w:rFonts w:ascii="Times New Roman" w:eastAsia="SimSun" w:hAnsi="Times New Roman" w:cs="Times New Roman"/>
          <w:kern w:val="0"/>
          <w:sz w:val="20"/>
          <w:szCs w:val="20"/>
          <w:lang w:val="en-GB"/>
          <w14:ligatures w14:val="none"/>
        </w:rPr>
        <w:t>paraquat;</w:t>
      </w:r>
      <w:proofErr w:type="gramEnd"/>
    </w:p>
    <w:p w14:paraId="27D30DF7" w14:textId="77777777" w:rsidR="00001893" w:rsidRPr="00001893" w:rsidRDefault="00001893" w:rsidP="00001893">
      <w:pPr>
        <w:numPr>
          <w:ilvl w:val="0"/>
          <w:numId w:val="2"/>
        </w:numPr>
        <w:tabs>
          <w:tab w:val="left" w:pos="624"/>
          <w:tab w:val="left" w:pos="1247"/>
          <w:tab w:val="left" w:pos="1814"/>
          <w:tab w:val="left" w:pos="2381"/>
          <w:tab w:val="left" w:pos="2948"/>
          <w:tab w:val="left" w:pos="3515"/>
        </w:tabs>
        <w:spacing w:after="120" w:line="240" w:lineRule="auto"/>
        <w:ind w:left="1247" w:firstLine="624"/>
        <w:rPr>
          <w:rFonts w:ascii="Times New Roman" w:eastAsia="SimSun" w:hAnsi="Times New Roman" w:cs="Times New Roman"/>
          <w:kern w:val="0"/>
          <w:sz w:val="20"/>
          <w:szCs w:val="20"/>
          <w:lang w:val="en-GB"/>
          <w14:ligatures w14:val="none"/>
        </w:rPr>
      </w:pPr>
      <w:r w:rsidRPr="00001893">
        <w:rPr>
          <w:rFonts w:ascii="Times New Roman" w:eastAsia="SimSun" w:hAnsi="Times New Roman" w:cs="Times New Roman"/>
          <w:kern w:val="0"/>
          <w:sz w:val="20"/>
          <w:szCs w:val="20"/>
          <w:lang w:val="en-GB"/>
          <w14:ligatures w14:val="none"/>
        </w:rPr>
        <w:t>Also decides, in accordance with the process for drafting decision guidance documents set out in decision RC-2/2 and amended by decision RC-6/3, that the composition of the intersessional drafting group to prepare the draft decision guidance document for paraquat and the workplan of the group shall be as set out in annexes II and III, respectively, to the report of the Committee on the work of its eighteenth meeting.</w:t>
      </w:r>
    </w:p>
    <w:p w14:paraId="3B13CEDC" w14:textId="77777777" w:rsidR="009033A1" w:rsidRPr="00001893" w:rsidRDefault="009033A1" w:rsidP="00001893">
      <w:pPr>
        <w:rPr>
          <w:lang w:val="en-GB"/>
        </w:rPr>
      </w:pPr>
    </w:p>
    <w:sectPr w:rsidR="009033A1" w:rsidRPr="00001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D375A" w14:textId="77777777" w:rsidR="00AA41B4" w:rsidRDefault="00AA41B4" w:rsidP="00AA41B4">
      <w:pPr>
        <w:spacing w:after="0" w:line="240" w:lineRule="auto"/>
      </w:pPr>
      <w:r>
        <w:separator/>
      </w:r>
    </w:p>
  </w:endnote>
  <w:endnote w:type="continuationSeparator" w:id="0">
    <w:p w14:paraId="74C5E840" w14:textId="77777777" w:rsidR="00AA41B4" w:rsidRDefault="00AA41B4" w:rsidP="00AA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4FC48" w14:textId="77777777" w:rsidR="00AA41B4" w:rsidRDefault="00AA41B4" w:rsidP="00AA41B4">
      <w:pPr>
        <w:spacing w:after="0" w:line="240" w:lineRule="auto"/>
      </w:pPr>
      <w:r>
        <w:separator/>
      </w:r>
    </w:p>
  </w:footnote>
  <w:footnote w:type="continuationSeparator" w:id="0">
    <w:p w14:paraId="39847BF3" w14:textId="77777777" w:rsidR="00AA41B4" w:rsidRDefault="00AA41B4" w:rsidP="00AA41B4">
      <w:pPr>
        <w:spacing w:after="0" w:line="240" w:lineRule="auto"/>
      </w:pPr>
      <w:r>
        <w:continuationSeparator/>
      </w:r>
    </w:p>
  </w:footnote>
  <w:footnote w:id="1">
    <w:p w14:paraId="66CB95D1" w14:textId="77777777" w:rsidR="00001893" w:rsidRPr="007112FF" w:rsidRDefault="00001893" w:rsidP="00001893">
      <w:pPr>
        <w:pStyle w:val="Footnote-Text"/>
      </w:pPr>
      <w:r w:rsidRPr="007112FF">
        <w:rPr>
          <w:rStyle w:val="FootnoteReference"/>
        </w:rPr>
        <w:footnoteRef/>
      </w:r>
      <w:r w:rsidRPr="007112FF">
        <w:t xml:space="preserve"> See UNEP/FAO/RC/CRC.18/13.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F3759"/>
    <w:multiLevelType w:val="hybridMultilevel"/>
    <w:tmpl w:val="100610EA"/>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 w15:restartNumberingAfterBreak="0">
    <w:nsid w:val="2B7269FB"/>
    <w:multiLevelType w:val="hybridMultilevel"/>
    <w:tmpl w:val="3CE45830"/>
    <w:lvl w:ilvl="0" w:tplc="A066F10E">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5234496">
    <w:abstractNumId w:val="1"/>
  </w:num>
  <w:num w:numId="2" w16cid:durableId="88133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41B4"/>
    <w:rsid w:val="00001893"/>
    <w:rsid w:val="009033A1"/>
    <w:rsid w:val="00AA41B4"/>
    <w:rsid w:val="00CD0DDB"/>
    <w:rsid w:val="00DE7A3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7E9"/>
  <w15:chartTrackingRefBased/>
  <w15:docId w15:val="{C17AF3B1-A555-4F29-884E-99605B40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Normal"/>
    <w:qFormat/>
    <w:rsid w:val="00AA41B4"/>
    <w:pPr>
      <w:keepNext/>
      <w:keepLines/>
      <w:tabs>
        <w:tab w:val="clear" w:pos="624"/>
        <w:tab w:val="right" w:pos="851"/>
      </w:tabs>
      <w:suppressAutoHyphens/>
      <w:spacing w:before="240" w:after="120"/>
      <w:ind w:left="1247" w:right="284" w:hanging="1247"/>
    </w:pPr>
    <w:rPr>
      <w:b/>
      <w:sz w:val="28"/>
      <w:szCs w:val="28"/>
    </w:rPr>
  </w:style>
  <w:style w:type="paragraph" w:customStyle="1" w:styleId="Normal-pool">
    <w:name w:val="Normal-pool"/>
    <w:link w:val="Normal-poolChar"/>
    <w:qFormat/>
    <w:rsid w:val="00AA41B4"/>
    <w:pPr>
      <w:tabs>
        <w:tab w:val="left" w:pos="624"/>
        <w:tab w:val="left" w:pos="1247"/>
        <w:tab w:val="left" w:pos="1871"/>
        <w:tab w:val="left" w:pos="2495"/>
        <w:tab w:val="left" w:pos="3119"/>
        <w:tab w:val="left" w:pos="3742"/>
        <w:tab w:val="left" w:pos="4366"/>
        <w:tab w:val="left" w:pos="4990"/>
      </w:tabs>
      <w:spacing w:after="0" w:line="240" w:lineRule="auto"/>
    </w:pPr>
    <w:rPr>
      <w:rFonts w:ascii="Times New Roman" w:eastAsia="Times New Roman" w:hAnsi="Times New Roman" w:cs="Times New Roman"/>
      <w:kern w:val="0"/>
      <w:sz w:val="20"/>
      <w:szCs w:val="20"/>
    </w:rPr>
  </w:style>
  <w:style w:type="character" w:customStyle="1" w:styleId="Normal-poolChar">
    <w:name w:val="Normal-pool Char"/>
    <w:link w:val="Normal-pool"/>
    <w:locked/>
    <w:rsid w:val="00AA41B4"/>
    <w:rPr>
      <w:rFonts w:ascii="Times New Roman" w:eastAsia="Times New Roman" w:hAnsi="Times New Roman" w:cs="Times New Roman"/>
      <w:kern w:val="0"/>
      <w:sz w:val="20"/>
      <w:szCs w:val="20"/>
    </w:rPr>
  </w:style>
  <w:style w:type="paragraph" w:customStyle="1" w:styleId="Footnote-Text">
    <w:name w:val="Footnote-Text"/>
    <w:basedOn w:val="Normal-pool"/>
    <w:rsid w:val="00AA41B4"/>
    <w:pPr>
      <w:spacing w:before="20" w:after="40"/>
      <w:ind w:left="1247"/>
    </w:pPr>
    <w:rPr>
      <w:sz w:val="18"/>
    </w:rPr>
  </w:style>
  <w:style w:type="character" w:styleId="FootnoteReference">
    <w:name w:val="footnote reference"/>
    <w:aliases w:val="16 Point,Superscript 6 Point,ftref,(Ref. de nota al pie),number,SUPERS,Footnote Reference Superscript,fr,Ref,de nota al pie,註腳內容,de nota al pie + (Asian) MS Mincho,Footnotes refss,JFR-Fußnotenzeichen,-E Fußnotenzeichen,11 pt,stylish"/>
    <w:link w:val="BVIfnrCharCharCharChar"/>
    <w:rsid w:val="00AA41B4"/>
    <w:rPr>
      <w:szCs w:val="18"/>
      <w:vertAlign w:val="superscript"/>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w:basedOn w:val="Normal"/>
    <w:link w:val="FootnoteReference"/>
    <w:semiHidden/>
    <w:rsid w:val="00AA41B4"/>
    <w:pPr>
      <w:tabs>
        <w:tab w:val="left" w:pos="1814"/>
        <w:tab w:val="left" w:pos="2381"/>
        <w:tab w:val="left" w:pos="2948"/>
        <w:tab w:val="left" w:pos="3515"/>
      </w:tabs>
      <w:spacing w:before="120" w:line="240" w:lineRule="exact"/>
    </w:pPr>
    <w:rPr>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Mihajlovski, Aleksandar (NSP)</dc:creator>
  <cp:keywords/>
  <dc:description/>
  <cp:lastModifiedBy>Le C. Gong</cp:lastModifiedBy>
  <cp:revision>2</cp:revision>
  <dcterms:created xsi:type="dcterms:W3CDTF">2023-12-19T18:03:00Z</dcterms:created>
  <dcterms:modified xsi:type="dcterms:W3CDTF">2024-05-10T08:24:00Z</dcterms:modified>
</cp:coreProperties>
</file>